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autoSpaceDE w:val="0"/>
        <w:autoSpaceDN w:val="0"/>
        <w:spacing w:line="580" w:lineRule="exact"/>
        <w:jc w:val="center"/>
        <w:rPr>
          <w:rFonts w:ascii="黑体" w:hAnsi="黑体" w:eastAsia="黑体"/>
          <w:sz w:val="36"/>
          <w:szCs w:val="36"/>
          <w:lang w:val="zh-CN" w:bidi="zh-CN"/>
        </w:rPr>
      </w:pPr>
    </w:p>
    <w:p>
      <w:pPr>
        <w:pStyle w:val="29"/>
        <w:autoSpaceDE w:val="0"/>
        <w:autoSpaceDN w:val="0"/>
        <w:spacing w:line="580" w:lineRule="exact"/>
        <w:jc w:val="both"/>
        <w:rPr>
          <w:rFonts w:ascii="黑体" w:hAnsi="黑体" w:eastAsia="黑体"/>
          <w:sz w:val="36"/>
          <w:szCs w:val="36"/>
          <w:lang w:val="zh-CN" w:bidi="zh-CN"/>
        </w:rPr>
      </w:pPr>
    </w:p>
    <w:p>
      <w:pPr>
        <w:pStyle w:val="29"/>
        <w:autoSpaceDE w:val="0"/>
        <w:autoSpaceDN w:val="0"/>
        <w:spacing w:line="580" w:lineRule="exact"/>
        <w:jc w:val="center"/>
        <w:rPr>
          <w:rFonts w:ascii="黑体" w:hAnsi="黑体" w:eastAsia="黑体"/>
          <w:sz w:val="36"/>
          <w:szCs w:val="36"/>
          <w:lang w:val="zh-CN" w:bidi="zh-CN"/>
        </w:rPr>
      </w:pPr>
    </w:p>
    <w:p>
      <w:pPr>
        <w:pStyle w:val="29"/>
        <w:autoSpaceDE w:val="0"/>
        <w:autoSpaceDN w:val="0"/>
        <w:spacing w:line="580" w:lineRule="exact"/>
        <w:jc w:val="center"/>
        <w:rPr>
          <w:rFonts w:ascii="黑体" w:hAnsi="黑体" w:eastAsia="黑体"/>
          <w:sz w:val="36"/>
          <w:szCs w:val="36"/>
          <w:lang w:val="zh-CN" w:bidi="zh-CN"/>
        </w:rPr>
      </w:pPr>
    </w:p>
    <w:p>
      <w:pPr>
        <w:pStyle w:val="29"/>
        <w:autoSpaceDE w:val="0"/>
        <w:autoSpaceDN w:val="0"/>
        <w:spacing w:line="580" w:lineRule="exact"/>
        <w:jc w:val="center"/>
        <w:rPr>
          <w:rFonts w:ascii="黑体" w:hAnsi="黑体" w:eastAsia="黑体"/>
          <w:sz w:val="36"/>
          <w:szCs w:val="36"/>
          <w:lang w:val="zh-CN" w:bidi="zh-CN"/>
        </w:rPr>
      </w:pPr>
    </w:p>
    <w:p>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val="en-US" w:eastAsia="zh-CN"/>
        </w:rPr>
        <w:t>2018年度山亭区“四好农村路”李东线李庄至西崮城段改建工程项目绩效评价报告</w:t>
      </w:r>
    </w:p>
    <w:p>
      <w:pPr>
        <w:spacing w:line="580" w:lineRule="exact"/>
        <w:ind w:firstLine="640" w:firstLineChars="200"/>
        <w:jc w:val="center"/>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line="580" w:lineRule="exact"/>
        <w:rPr>
          <w:rFonts w:ascii="仿宋_GB2312" w:eastAsia="仿宋_GB2312"/>
          <w:color w:val="000000"/>
          <w:sz w:val="32"/>
          <w:szCs w:val="32"/>
        </w:rPr>
      </w:pPr>
    </w:p>
    <w:p>
      <w:pPr>
        <w:pStyle w:val="7"/>
      </w:pPr>
    </w:p>
    <w:p>
      <w:pPr>
        <w:spacing w:line="580" w:lineRule="exact"/>
        <w:ind w:firstLine="640" w:firstLineChars="200"/>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p>
    <w:p>
      <w:pPr>
        <w:spacing w:before="120" w:after="120" w:line="580" w:lineRule="exact"/>
        <w:jc w:val="left"/>
        <w:rPr>
          <w:rFonts w:hint="eastAsia" w:ascii="文星简黑体" w:eastAsia="文星简黑体"/>
          <w:sz w:val="32"/>
          <w:szCs w:val="32"/>
          <w:lang w:val="en-US" w:eastAsia="zh-CN"/>
        </w:rPr>
      </w:pPr>
      <w:r>
        <w:rPr>
          <w:rFonts w:hint="eastAsia" w:ascii="文星简黑体" w:eastAsia="文星简黑体" w:cs="文星简黑体"/>
          <w:sz w:val="32"/>
          <w:szCs w:val="32"/>
        </w:rPr>
        <w:t>委托单位：</w:t>
      </w:r>
      <w:r>
        <w:rPr>
          <w:rFonts w:hint="eastAsia" w:ascii="文星简黑体" w:eastAsia="文星简黑体" w:cs="文星简黑体"/>
          <w:sz w:val="32"/>
          <w:szCs w:val="32"/>
          <w:lang w:val="en-US" w:eastAsia="zh-CN"/>
        </w:rPr>
        <w:t>枣庄市</w:t>
      </w:r>
      <w:r>
        <w:rPr>
          <w:rFonts w:hint="eastAsia" w:ascii="文星简黑体" w:hAnsi="黑体" w:eastAsia="文星简黑体" w:cs="文星简黑体"/>
          <w:sz w:val="32"/>
          <w:szCs w:val="32"/>
          <w:lang w:val="en-US" w:eastAsia="zh-CN"/>
        </w:rPr>
        <w:t>山亭区</w:t>
      </w:r>
      <w:r>
        <w:rPr>
          <w:rFonts w:hint="eastAsia" w:ascii="文星简黑体" w:hAnsi="黑体" w:eastAsia="文星简黑体" w:cs="文星简黑体"/>
          <w:sz w:val="32"/>
          <w:szCs w:val="32"/>
        </w:rPr>
        <w:t>财政</w:t>
      </w:r>
      <w:r>
        <w:rPr>
          <w:rFonts w:hint="eastAsia" w:ascii="文星简黑体" w:hAnsi="黑体" w:eastAsia="文星简黑体" w:cs="文星简黑体"/>
          <w:sz w:val="32"/>
          <w:szCs w:val="32"/>
          <w:lang w:val="en-US" w:eastAsia="zh-CN"/>
        </w:rPr>
        <w:t>局</w:t>
      </w:r>
    </w:p>
    <w:p>
      <w:pPr>
        <w:spacing w:before="120" w:after="120" w:line="580" w:lineRule="exact"/>
        <w:jc w:val="left"/>
        <w:rPr>
          <w:rFonts w:hint="default" w:ascii="文星简黑体" w:eastAsia="文星简黑体"/>
          <w:sz w:val="32"/>
          <w:szCs w:val="32"/>
          <w:lang w:val="en-US"/>
        </w:rPr>
      </w:pPr>
      <w:r>
        <w:rPr>
          <w:rFonts w:hint="eastAsia" w:ascii="文星简黑体" w:eastAsia="文星简黑体" w:cs="文星简黑体"/>
          <w:sz w:val="32"/>
          <w:szCs w:val="32"/>
        </w:rPr>
        <w:t>项目主管部门：</w:t>
      </w:r>
      <w:r>
        <w:rPr>
          <w:rFonts w:hint="eastAsia" w:ascii="文星简黑体" w:eastAsia="文星简黑体" w:cs="文星简黑体"/>
          <w:sz w:val="32"/>
          <w:szCs w:val="32"/>
          <w:lang w:val="en-US" w:eastAsia="zh-CN"/>
        </w:rPr>
        <w:t>枣庄市</w:t>
      </w:r>
      <w:r>
        <w:rPr>
          <w:rFonts w:hint="eastAsia" w:ascii="文星简黑体" w:hAnsi="黑体" w:eastAsia="文星简黑体" w:cs="文星简黑体"/>
          <w:sz w:val="32"/>
          <w:szCs w:val="32"/>
          <w:lang w:val="en-US" w:eastAsia="zh-CN"/>
        </w:rPr>
        <w:t>山亭区交通局</w:t>
      </w:r>
    </w:p>
    <w:p>
      <w:pPr>
        <w:jc w:val="both"/>
        <w:rPr>
          <w:rFonts w:ascii="黑体" w:hAnsi="黑体" w:eastAsia="黑体"/>
          <w:sz w:val="30"/>
          <w:szCs w:val="30"/>
        </w:rPr>
      </w:pPr>
      <w:r>
        <w:rPr>
          <w:rFonts w:hint="eastAsia" w:ascii="文星简黑体" w:eastAsia="文星简黑体" w:cs="文星简黑体"/>
          <w:sz w:val="32"/>
          <w:szCs w:val="32"/>
        </w:rPr>
        <w:t>评价机构：</w:t>
      </w:r>
      <w:r>
        <w:rPr>
          <w:rFonts w:hint="eastAsia" w:ascii="黑体" w:hAnsi="黑体" w:eastAsia="黑体"/>
          <w:sz w:val="30"/>
          <w:szCs w:val="30"/>
          <w:lang w:val="en-US" w:eastAsia="zh-CN"/>
        </w:rPr>
        <w:t>中景瑞晟（北京）管理咨询有限公司</w:t>
      </w:r>
    </w:p>
    <w:p>
      <w:pPr>
        <w:spacing w:before="120" w:after="120" w:line="580" w:lineRule="exact"/>
        <w:jc w:val="left"/>
        <w:rPr>
          <w:rFonts w:hint="eastAsia" w:ascii="文星简黑体" w:eastAsia="文星简黑体"/>
          <w:sz w:val="32"/>
          <w:szCs w:val="32"/>
          <w:lang w:eastAsia="zh-CN"/>
        </w:rPr>
      </w:pPr>
    </w:p>
    <w:p>
      <w:pPr>
        <w:ind w:firstLine="3000" w:firstLineChars="1000"/>
        <w:jc w:val="both"/>
        <w:rPr>
          <w:rStyle w:val="30"/>
          <w:rFonts w:hint="default" w:ascii="Times New Roman" w:hAnsi="Times New Roman" w:eastAsia="黑体" w:cs="Times New Roman"/>
          <w:b/>
          <w:bCs/>
          <w:color w:val="auto"/>
          <w:kern w:val="44"/>
          <w:sz w:val="32"/>
          <w:szCs w:val="44"/>
          <w:lang w:val="en-US" w:eastAsia="zh-CN"/>
        </w:rPr>
        <w:sectPr>
          <w:headerReference r:id="rId4" w:type="first"/>
          <w:headerReference r:id="rId3" w:type="default"/>
          <w:pgSz w:w="11906" w:h="16838"/>
          <w:pgMar w:top="1440" w:right="1800" w:bottom="1440" w:left="1800" w:header="851" w:footer="992" w:gutter="0"/>
          <w:pgNumType w:fmt="decimal" w:start="1"/>
          <w:cols w:space="425" w:num="1"/>
          <w:titlePg/>
          <w:docGrid w:type="lines" w:linePitch="312" w:charSpace="0"/>
        </w:sectPr>
      </w:pPr>
      <w:r>
        <w:rPr>
          <w:rFonts w:hint="eastAsia" w:ascii="黑体" w:hAnsi="黑体" w:eastAsia="黑体"/>
          <w:sz w:val="30"/>
          <w:szCs w:val="30"/>
        </w:rPr>
        <w:t>二〇二〇年</w:t>
      </w:r>
      <w:r>
        <w:rPr>
          <w:rFonts w:hint="eastAsia" w:ascii="黑体" w:hAnsi="黑体" w:eastAsia="黑体"/>
          <w:sz w:val="30"/>
          <w:szCs w:val="30"/>
          <w:lang w:val="en-US" w:eastAsia="zh-CN"/>
        </w:rPr>
        <w:t>九月</w:t>
      </w:r>
    </w:p>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default" w:ascii="方正小标宋简体" w:hAnsi="方正小标宋简体" w:eastAsia="方正小标宋简体" w:cs="方正小标宋简体"/>
          <w:sz w:val="24"/>
          <w:szCs w:val="44"/>
          <w:lang w:val="en-US" w:bidi="zh-CN"/>
        </w:rPr>
      </w:pPr>
      <w:r>
        <w:rPr>
          <w:rFonts w:ascii="宋体" w:hAnsi="宋体" w:eastAsia="宋体"/>
          <w:b w:val="0"/>
          <w:bCs w:val="0"/>
          <w:sz w:val="40"/>
          <w:szCs w:val="32"/>
        </w:rPr>
        <w:t>目录</w:t>
      </w:r>
    </w:p>
    <w:p>
      <w:pPr>
        <w:pStyle w:val="2"/>
        <w:ind w:left="0" w:leftChars="0" w:firstLine="0" w:firstLineChars="0"/>
        <w:rPr>
          <w:rFonts w:hint="default" w:ascii="方正小标宋简体" w:hAnsi="方正小标宋简体" w:eastAsia="方正小标宋简体" w:cs="方正小标宋简体"/>
          <w:sz w:val="24"/>
          <w:szCs w:val="44"/>
          <w:lang w:val="en-US" w:bidi="zh-CN"/>
        </w:rPr>
      </w:pPr>
    </w:p>
    <w:sdt>
      <w:sdtPr>
        <w:rPr>
          <w:rFonts w:ascii="宋体" w:hAnsi="宋体" w:eastAsia="宋体" w:cstheme="minorBidi"/>
          <w:kern w:val="2"/>
          <w:sz w:val="21"/>
          <w:szCs w:val="22"/>
          <w:lang w:val="en-US" w:eastAsia="zh-CN" w:bidi="ar-SA"/>
        </w:rPr>
        <w:id w:val="147462752"/>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sz w:val="24"/>
              <w:szCs w:val="24"/>
            </w:rPr>
          </w:pPr>
          <w:r>
            <w:rPr>
              <w:rFonts w:eastAsia="宋体"/>
              <w:sz w:val="28"/>
            </w:rPr>
            <w:fldChar w:fldCharType="begin"/>
          </w:r>
          <w:r>
            <w:rPr>
              <w:rFonts w:eastAsia="宋体"/>
              <w:sz w:val="28"/>
            </w:rPr>
            <w:instrText xml:space="preserve">TOC \o "1-3" \h \u </w:instrText>
          </w:r>
          <w:r>
            <w:rPr>
              <w:rFonts w:eastAsia="宋体"/>
              <w:sz w:val="28"/>
            </w:rPr>
            <w:fldChar w:fldCharType="separate"/>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_Toc4394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_Toc4394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_Toc12908 </w:instrText>
          </w:r>
          <w:r>
            <w:rPr>
              <w:rFonts w:hint="eastAsia" w:ascii="宋体" w:hAnsi="宋体" w:eastAsia="宋体" w:cs="宋体"/>
              <w:sz w:val="24"/>
              <w:szCs w:val="24"/>
            </w:rPr>
            <w:fldChar w:fldCharType="separate"/>
          </w:r>
          <w:r>
            <w:rPr>
              <w:rFonts w:hint="eastAsia" w:ascii="宋体" w:hAnsi="宋体" w:eastAsia="宋体" w:cs="宋体"/>
              <w:sz w:val="24"/>
              <w:szCs w:val="24"/>
              <w:highlight w:val="none"/>
              <w:lang w:bidi="zh-CN"/>
            </w:rPr>
            <w:t>二、项目绩效目标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_Toc12908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_Toc2070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rPr>
            <w:t>三、</w:t>
          </w:r>
          <w:r>
            <w:rPr>
              <w:rFonts w:hint="eastAsia" w:ascii="宋体" w:hAnsi="宋体" w:eastAsia="宋体" w:cs="宋体"/>
              <w:sz w:val="24"/>
              <w:szCs w:val="24"/>
            </w:rPr>
            <w:t>绩效评价情况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_Toc2070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_Toc15544 </w:instrText>
          </w:r>
          <w:r>
            <w:rPr>
              <w:rFonts w:hint="eastAsia" w:ascii="宋体" w:hAnsi="宋体" w:eastAsia="宋体" w:cs="宋体"/>
              <w:sz w:val="24"/>
              <w:szCs w:val="24"/>
            </w:rPr>
            <w:fldChar w:fldCharType="separate"/>
          </w:r>
          <w:r>
            <w:rPr>
              <w:rFonts w:hint="eastAsia" w:ascii="宋体" w:hAnsi="宋体" w:eastAsia="宋体" w:cs="宋体"/>
              <w:sz w:val="24"/>
              <w:szCs w:val="24"/>
            </w:rPr>
            <w:t>（一）评价目</w:t>
          </w:r>
          <w:r>
            <w:rPr>
              <w:rFonts w:hint="eastAsia" w:ascii="宋体" w:hAnsi="宋体" w:eastAsia="宋体" w:cs="宋体"/>
              <w:sz w:val="24"/>
              <w:szCs w:val="24"/>
              <w:lang w:val="en-US"/>
            </w:rPr>
            <w:t>的</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_Toc15544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_Toc6177 </w:instrText>
          </w:r>
          <w:r>
            <w:rPr>
              <w:rFonts w:hint="eastAsia" w:ascii="宋体" w:hAnsi="宋体" w:eastAsia="宋体" w:cs="宋体"/>
              <w:sz w:val="24"/>
              <w:szCs w:val="24"/>
            </w:rPr>
            <w:fldChar w:fldCharType="separate"/>
          </w: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）评价</w:t>
          </w:r>
          <w:r>
            <w:rPr>
              <w:rFonts w:hint="eastAsia" w:ascii="宋体" w:hAnsi="宋体" w:eastAsia="宋体" w:cs="宋体"/>
              <w:sz w:val="24"/>
              <w:szCs w:val="24"/>
              <w:lang w:val="en-US" w:eastAsia="zh-CN"/>
            </w:rPr>
            <w:t>依据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_Toc6177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_Toc3238 </w:instrText>
          </w:r>
          <w:r>
            <w:rPr>
              <w:rFonts w:hint="eastAsia" w:ascii="宋体" w:hAnsi="宋体" w:eastAsia="宋体" w:cs="宋体"/>
              <w:sz w:val="24"/>
              <w:szCs w:val="24"/>
            </w:rPr>
            <w:fldChar w:fldCharType="separate"/>
          </w:r>
          <w:r>
            <w:rPr>
              <w:rFonts w:hint="eastAsia" w:ascii="宋体" w:hAnsi="宋体" w:eastAsia="宋体" w:cs="宋体"/>
              <w:sz w:val="24"/>
              <w:szCs w:val="24"/>
            </w:rPr>
            <w:t>（三）</w:t>
          </w:r>
          <w:r>
            <w:rPr>
              <w:rFonts w:hint="eastAsia" w:ascii="宋体" w:hAnsi="宋体" w:eastAsia="宋体" w:cs="宋体"/>
              <w:bCs/>
              <w:sz w:val="24"/>
              <w:szCs w:val="24"/>
              <w:lang w:val="en-US" w:bidi="ar-SA"/>
            </w:rPr>
            <w:t>评价对象和范围</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_Toc3238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_Toc29847 </w:instrText>
          </w:r>
          <w:r>
            <w:rPr>
              <w:rFonts w:hint="eastAsia" w:ascii="宋体" w:hAnsi="宋体" w:eastAsia="宋体" w:cs="宋体"/>
              <w:sz w:val="24"/>
              <w:szCs w:val="24"/>
            </w:rPr>
            <w:fldChar w:fldCharType="separate"/>
          </w:r>
          <w:r>
            <w:rPr>
              <w:rFonts w:hint="eastAsia" w:ascii="宋体" w:hAnsi="宋体" w:eastAsia="宋体" w:cs="宋体"/>
              <w:bCs/>
              <w:sz w:val="24"/>
              <w:szCs w:val="24"/>
              <w:lang w:val="en-US" w:bidi="ar-SA"/>
            </w:rPr>
            <w:t>（</w:t>
          </w:r>
          <w:r>
            <w:rPr>
              <w:rFonts w:hint="eastAsia" w:ascii="宋体" w:hAnsi="宋体" w:eastAsia="宋体" w:cs="宋体"/>
              <w:bCs/>
              <w:sz w:val="24"/>
              <w:szCs w:val="24"/>
              <w:lang w:val="en-US" w:eastAsia="zh-CN" w:bidi="ar-SA"/>
            </w:rPr>
            <w:t>四</w:t>
          </w:r>
          <w:r>
            <w:rPr>
              <w:rFonts w:hint="eastAsia" w:ascii="宋体" w:hAnsi="宋体" w:eastAsia="宋体" w:cs="宋体"/>
              <w:bCs/>
              <w:sz w:val="24"/>
              <w:szCs w:val="24"/>
              <w:lang w:val="en-US" w:bidi="ar-SA"/>
            </w:rPr>
            <w:t>）评价原则和方法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_Toc29847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_Toc5387 </w:instrText>
          </w:r>
          <w:r>
            <w:rPr>
              <w:rFonts w:hint="eastAsia" w:ascii="宋体" w:hAnsi="宋体" w:eastAsia="宋体" w:cs="宋体"/>
              <w:sz w:val="24"/>
              <w:szCs w:val="24"/>
            </w:rPr>
            <w:fldChar w:fldCharType="separate"/>
          </w:r>
          <w:r>
            <w:rPr>
              <w:rFonts w:hint="eastAsia" w:ascii="宋体" w:hAnsi="宋体" w:eastAsia="宋体" w:cs="宋体"/>
              <w:sz w:val="24"/>
              <w:szCs w:val="24"/>
            </w:rPr>
            <w:t>（五）</w:t>
          </w:r>
          <w:r>
            <w:rPr>
              <w:rFonts w:hint="eastAsia" w:ascii="宋体" w:hAnsi="宋体" w:eastAsia="宋体" w:cs="宋体"/>
              <w:bCs w:val="0"/>
              <w:kern w:val="44"/>
              <w:sz w:val="24"/>
              <w:szCs w:val="24"/>
              <w:lang w:eastAsia="zh-CN"/>
            </w:rPr>
            <w:t>绩效评价指标体系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_Toc5387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_Toc2583 </w:instrText>
          </w:r>
          <w:r>
            <w:rPr>
              <w:rFonts w:hint="eastAsia" w:ascii="宋体" w:hAnsi="宋体" w:eastAsia="宋体" w:cs="宋体"/>
              <w:sz w:val="24"/>
              <w:szCs w:val="24"/>
            </w:rPr>
            <w:fldChar w:fldCharType="separate"/>
          </w:r>
          <w:r>
            <w:rPr>
              <w:rFonts w:hint="eastAsia" w:ascii="宋体" w:hAnsi="宋体" w:eastAsia="宋体" w:cs="宋体"/>
              <w:sz w:val="24"/>
              <w:szCs w:val="24"/>
            </w:rPr>
            <w:t>（六）评价人员组成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_Toc2583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_Toc19591 </w:instrText>
          </w:r>
          <w:r>
            <w:rPr>
              <w:rFonts w:hint="eastAsia" w:ascii="宋体" w:hAnsi="宋体" w:eastAsia="宋体" w:cs="宋体"/>
              <w:sz w:val="24"/>
              <w:szCs w:val="24"/>
            </w:rPr>
            <w:fldChar w:fldCharType="separate"/>
          </w:r>
          <w:r>
            <w:rPr>
              <w:rFonts w:hint="eastAsia" w:ascii="宋体" w:hAnsi="宋体" w:eastAsia="宋体" w:cs="宋体"/>
              <w:sz w:val="24"/>
              <w:szCs w:val="24"/>
            </w:rPr>
            <w:t>（七）绩效评价工作过程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_Toc19591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_Toc18817 </w:instrText>
          </w:r>
          <w:r>
            <w:rPr>
              <w:rFonts w:hint="eastAsia" w:ascii="宋体" w:hAnsi="宋体" w:eastAsia="宋体" w:cs="宋体"/>
              <w:sz w:val="24"/>
              <w:szCs w:val="24"/>
            </w:rPr>
            <w:fldChar w:fldCharType="separate"/>
          </w:r>
          <w:r>
            <w:rPr>
              <w:rFonts w:hint="eastAsia" w:ascii="宋体" w:hAnsi="宋体" w:eastAsia="宋体" w:cs="宋体"/>
              <w:bCs/>
              <w:kern w:val="44"/>
              <w:sz w:val="24"/>
              <w:szCs w:val="24"/>
              <w:lang w:val="en-US" w:eastAsia="zh-CN"/>
            </w:rPr>
            <w:t>四</w:t>
          </w:r>
          <w:r>
            <w:rPr>
              <w:rFonts w:hint="eastAsia" w:ascii="宋体" w:hAnsi="宋体" w:eastAsia="宋体" w:cs="宋体"/>
              <w:bCs/>
              <w:kern w:val="44"/>
              <w:sz w:val="24"/>
              <w:szCs w:val="24"/>
              <w:lang w:eastAsia="zh-CN"/>
            </w:rPr>
            <w:t>、</w:t>
          </w:r>
          <w:r>
            <w:rPr>
              <w:rFonts w:hint="eastAsia" w:ascii="宋体" w:hAnsi="宋体" w:eastAsia="宋体" w:cs="宋体"/>
              <w:sz w:val="24"/>
              <w:szCs w:val="24"/>
            </w:rPr>
            <w:t>评价结论及分析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_Toc18817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_Toc6811 </w:instrText>
          </w:r>
          <w:r>
            <w:rPr>
              <w:rFonts w:hint="eastAsia" w:ascii="宋体" w:hAnsi="宋体" w:eastAsia="宋体" w:cs="宋体"/>
              <w:sz w:val="24"/>
              <w:szCs w:val="24"/>
            </w:rPr>
            <w:fldChar w:fldCharType="separate"/>
          </w:r>
          <w:r>
            <w:rPr>
              <w:rFonts w:hint="eastAsia" w:ascii="宋体" w:hAnsi="宋体" w:eastAsia="宋体" w:cs="宋体"/>
              <w:sz w:val="24"/>
              <w:szCs w:val="24"/>
            </w:rPr>
            <w:t>（一）综合评价结论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_Toc6811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_Toc16939 </w:instrText>
          </w:r>
          <w:r>
            <w:rPr>
              <w:rFonts w:hint="eastAsia" w:ascii="宋体" w:hAnsi="宋体" w:eastAsia="宋体" w:cs="宋体"/>
              <w:sz w:val="24"/>
              <w:szCs w:val="24"/>
            </w:rPr>
            <w:fldChar w:fldCharType="separate"/>
          </w:r>
          <w:r>
            <w:rPr>
              <w:rFonts w:hint="eastAsia" w:ascii="宋体" w:hAnsi="宋体" w:eastAsia="宋体" w:cs="宋体"/>
              <w:sz w:val="24"/>
              <w:szCs w:val="24"/>
            </w:rPr>
            <w:t>（二）各指标得分情况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_Toc16939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_Toc13948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五</w:t>
          </w:r>
          <w:r>
            <w:rPr>
              <w:rFonts w:hint="eastAsia" w:ascii="宋体" w:hAnsi="宋体" w:eastAsia="宋体" w:cs="宋体"/>
              <w:sz w:val="24"/>
              <w:szCs w:val="24"/>
            </w:rPr>
            <w:t>、项目主要绩效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_Toc13948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_Toc32060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六</w:t>
          </w:r>
          <w:r>
            <w:rPr>
              <w:rFonts w:hint="eastAsia" w:ascii="宋体" w:hAnsi="宋体" w:eastAsia="宋体" w:cs="宋体"/>
              <w:bCs/>
              <w:kern w:val="44"/>
              <w:sz w:val="24"/>
              <w:szCs w:val="24"/>
              <w:lang w:eastAsia="zh-CN"/>
            </w:rPr>
            <w:t>、</w:t>
          </w:r>
          <w:r>
            <w:rPr>
              <w:rFonts w:hint="eastAsia" w:ascii="宋体" w:hAnsi="宋体" w:eastAsia="宋体" w:cs="宋体"/>
              <w:bCs/>
              <w:sz w:val="24"/>
              <w:szCs w:val="24"/>
              <w:lang w:bidi="ar"/>
            </w:rPr>
            <w:t>存在的问题和建议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_Toc32060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_Toc16125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七</w:t>
          </w:r>
          <w:r>
            <w:rPr>
              <w:rFonts w:hint="eastAsia" w:ascii="宋体" w:hAnsi="宋体" w:eastAsia="宋体" w:cs="宋体"/>
              <w:bCs/>
              <w:kern w:val="44"/>
              <w:sz w:val="24"/>
              <w:szCs w:val="24"/>
              <w:lang w:val="en-US" w:eastAsia="zh-CN"/>
            </w:rPr>
            <w:t>、本报告的局限性</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_Toc16125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sz w:val="28"/>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_Toc20488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八</w:t>
          </w:r>
          <w:r>
            <w:rPr>
              <w:rFonts w:hint="eastAsia" w:ascii="宋体" w:hAnsi="宋体" w:eastAsia="宋体" w:cs="宋体"/>
              <w:bCs/>
              <w:kern w:val="44"/>
              <w:sz w:val="24"/>
              <w:szCs w:val="24"/>
              <w:lang w:val="en-US" w:eastAsia="zh-CN"/>
            </w:rPr>
            <w:t>、</w:t>
          </w:r>
          <w:r>
            <w:rPr>
              <w:rFonts w:hint="eastAsia" w:ascii="宋体" w:hAnsi="宋体" w:eastAsia="宋体" w:cs="宋体"/>
              <w:bCs/>
              <w:kern w:val="44"/>
              <w:sz w:val="24"/>
              <w:szCs w:val="24"/>
              <w:lang w:eastAsia="zh-CN"/>
            </w:rPr>
            <w:t>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_Toc20488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sz w:val="44"/>
              <w:szCs w:val="44"/>
              <w:lang w:val="zh-CN" w:bidi="zh-CN"/>
            </w:rPr>
          </w:pPr>
          <w:r>
            <w:rPr>
              <w:rFonts w:eastAsia="宋体"/>
              <w:sz w:val="28"/>
            </w:rPr>
            <w:fldChar w:fldCharType="end"/>
          </w:r>
        </w:p>
      </w:sdtContent>
    </w:sdt>
    <w:p>
      <w:pPr>
        <w:spacing w:line="580" w:lineRule="exact"/>
        <w:jc w:val="center"/>
        <w:outlineLvl w:val="0"/>
        <w:rPr>
          <w:rFonts w:hint="eastAsia" w:ascii="方正小标宋简体" w:hAnsi="方正小标宋简体" w:eastAsia="方正小标宋简体" w:cs="方正小标宋简体"/>
          <w:sz w:val="44"/>
          <w:szCs w:val="44"/>
          <w:lang w:val="zh-CN" w:bidi="zh-CN"/>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pPr>
        <w:keepNext w:val="0"/>
        <w:keepLines w:val="0"/>
        <w:pageBreakBefore w:val="0"/>
        <w:numPr>
          <w:ilvl w:val="0"/>
          <w:numId w:val="1"/>
        </w:numPr>
        <w:kinsoku/>
        <w:wordWrap/>
        <w:overflowPunct/>
        <w:topLinePunct w:val="0"/>
        <w:autoSpaceDE/>
        <w:autoSpaceDN/>
        <w:bidi w:val="0"/>
        <w:snapToGrid/>
        <w:spacing w:beforeAutospacing="0" w:afterAutospacing="0" w:line="580" w:lineRule="exact"/>
        <w:ind w:left="0" w:leftChars="0" w:firstLine="640" w:firstLineChars="200"/>
        <w:jc w:val="both"/>
        <w:textAlignment w:val="auto"/>
        <w:outlineLvl w:val="0"/>
        <w:rPr>
          <w:rFonts w:hint="eastAsia" w:ascii="黑体" w:hAnsi="黑体" w:eastAsia="黑体" w:cs="黑体"/>
          <w:sz w:val="32"/>
          <w:szCs w:val="32"/>
          <w:lang w:val="en-US" w:eastAsia="zh-CN"/>
        </w:rPr>
      </w:pPr>
      <w:bookmarkStart w:id="0" w:name="_Toc4394"/>
      <w:r>
        <w:rPr>
          <w:rFonts w:hint="eastAsia" w:ascii="黑体" w:hAnsi="黑体" w:eastAsia="黑体" w:cs="黑体"/>
          <w:sz w:val="32"/>
          <w:szCs w:val="32"/>
          <w:lang w:val="en-US" w:eastAsia="zh-CN"/>
        </w:rPr>
        <w:t>项目基本情况</w:t>
      </w:r>
      <w:bookmarkEnd w:id="0"/>
    </w:p>
    <w:p>
      <w:pPr>
        <w:keepNext w:val="0"/>
        <w:keepLines w:val="0"/>
        <w:pageBreakBefore w:val="0"/>
        <w:numPr>
          <w:ilvl w:val="0"/>
          <w:numId w:val="0"/>
        </w:numPr>
        <w:kinsoku/>
        <w:wordWrap/>
        <w:overflowPunct/>
        <w:topLinePunct w:val="0"/>
        <w:autoSpaceDE/>
        <w:autoSpaceDN/>
        <w:bidi w:val="0"/>
        <w:snapToGrid/>
        <w:spacing w:beforeAutospacing="0" w:afterAutospacing="0" w:line="58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lang w:val="en-US" w:eastAsia="zh-CN"/>
        </w:rPr>
        <w:t>（一）项目</w:t>
      </w:r>
      <w:bookmarkStart w:id="1" w:name="_Toc424636649_WPSOffice_Level3"/>
      <w:r>
        <w:rPr>
          <w:rFonts w:hint="eastAsia" w:ascii="楷体_GB2312" w:hAnsi="楷体_GB2312" w:eastAsia="楷体_GB2312" w:cs="楷体_GB2312"/>
          <w:sz w:val="32"/>
          <w:szCs w:val="32"/>
          <w:lang w:val="en-US" w:eastAsia="zh-CN"/>
        </w:rPr>
        <w:t>立项</w:t>
      </w:r>
      <w:bookmarkEnd w:id="1"/>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outlineLvl w:val="0"/>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为深入贯彻习近平总书记对“四好农村路”建设的重要批示指示精神，全面落实国务院批复的《山东新旧动能转换综合试验区建设总体方案》，加快推进全省农村公路建管养运协调可持续发展，2018年3月31日山东省人民政府办公厅印发《山东省人民政府办公厅关于进一步做好“四好农村路”工作的实施意见》，文件提出“到2020年，新建改造农村公路3.4万公里，具备条件的自然村全部通公路，农村公路列养率保持100%，具备条件的行政村全部通客车，农村客运公交化改造比例达到75%以上，物流服务网点覆盖率达到90%以上，具备条件的300人以上岛屿建有陆岛交通码头；到2022年，进一步提升“四好农村路”建设水平，全面推进城乡交通运输一体化建设深度，农村客运公交化改造比例达到90%以上，全省所有行政村物流服务网点覆盖率达到100%，基本建成体制机制顺畅、结构科学合理、组织集约高效、能力总体适应、技术先进适用、安全保障有力、生态环境友好的农村公路交通服务体系”。</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outlineLvl w:val="0"/>
        <w:rPr>
          <w:rFonts w:hint="default"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为落实国家、省、市关于进一步加快“四好农村路”建设的要求，山亭区抓住农村公路建设新机遇，制定了《山亭区“四好农村路”三年集中攻坚专项行动实施方案》，全力抓好“四好农村路”建设，为加快推进山亭区高质量发展提供强力支撑。</w:t>
      </w:r>
    </w:p>
    <w:p>
      <w:pPr>
        <w:pStyle w:val="29"/>
        <w:keepNext w:val="0"/>
        <w:keepLines w:val="0"/>
        <w:pageBreakBefore w:val="0"/>
        <w:kinsoku/>
        <w:wordWrap/>
        <w:overflowPunct/>
        <w:topLinePunct w:val="0"/>
        <w:autoSpaceDE/>
        <w:autoSpaceDN/>
        <w:bidi w:val="0"/>
        <w:snapToGrid/>
        <w:spacing w:line="580" w:lineRule="exact"/>
        <w:ind w:firstLine="640" w:firstLineChars="200"/>
        <w:textAlignment w:val="auto"/>
        <w:outlineLvl w:val="1"/>
        <w:rPr>
          <w:rFonts w:hint="eastAsia" w:ascii="仿宋_GB2312" w:eastAsia="仿宋_GB2312"/>
          <w:color w:val="000000"/>
          <w:sz w:val="32"/>
          <w:szCs w:val="32"/>
          <w:highlight w:val="none"/>
          <w:lang w:val="en-US" w:eastAsia="zh-CN"/>
        </w:rPr>
      </w:pPr>
      <w:bookmarkStart w:id="2" w:name="_Toc856582848"/>
      <w:r>
        <w:rPr>
          <w:rFonts w:hint="eastAsia" w:ascii="楷体_GB2312" w:hAnsi="楷体" w:eastAsia="楷体_GB2312"/>
          <w:sz w:val="32"/>
          <w:szCs w:val="32"/>
          <w:highlight w:val="none"/>
        </w:rPr>
        <w:t>（二）项目预算和实施内容</w:t>
      </w:r>
      <w:bookmarkEnd w:id="2"/>
    </w:p>
    <w:p>
      <w:pPr>
        <w:keepNext w:val="0"/>
        <w:keepLines w:val="0"/>
        <w:pageBreakBefore w:val="0"/>
        <w:numPr>
          <w:ilvl w:val="0"/>
          <w:numId w:val="0"/>
        </w:numPr>
        <w:kinsoku/>
        <w:wordWrap/>
        <w:overflowPunct/>
        <w:topLinePunct w:val="0"/>
        <w:autoSpaceDE/>
        <w:autoSpaceDN/>
        <w:bidi w:val="0"/>
        <w:adjustRightInd w:val="0"/>
        <w:snapToGrid/>
        <w:spacing w:beforeAutospacing="0" w:afterAutospacing="0" w:line="58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1.项目预算</w:t>
      </w:r>
    </w:p>
    <w:p>
      <w:pPr>
        <w:pStyle w:val="2"/>
        <w:keepNext w:val="0"/>
        <w:keepLines w:val="0"/>
        <w:pageBreakBefore w:val="0"/>
        <w:kinsoku/>
        <w:wordWrap/>
        <w:overflowPunct/>
        <w:topLinePunct w:val="0"/>
        <w:autoSpaceDE/>
        <w:autoSpaceDN/>
        <w:bidi w:val="0"/>
        <w:snapToGrid/>
        <w:spacing w:line="580" w:lineRule="exact"/>
        <w:textAlignment w:val="auto"/>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201</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8</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年</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山亭区财政局</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安排财政资金</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2266.33</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万元，</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用于“四好农村路”</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李东线李庄至西崮城段改建工程</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的实施，</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改变贫困群众出行难，明显改善贫困地区落后的交通运</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输</w:t>
      </w:r>
      <w:r>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状况</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p>
    <w:p>
      <w:pPr>
        <w:pStyle w:val="2"/>
        <w:keepNext w:val="0"/>
        <w:keepLines w:val="0"/>
        <w:pageBreakBefore w:val="0"/>
        <w:kinsoku/>
        <w:wordWrap/>
        <w:overflowPunct/>
        <w:topLinePunct w:val="0"/>
        <w:autoSpaceDE/>
        <w:autoSpaceDN/>
        <w:bidi w:val="0"/>
        <w:snapToGrid/>
        <w:spacing w:line="580" w:lineRule="exact"/>
        <w:textAlignment w:val="auto"/>
        <w:rPr>
          <w:rFonts w:hint="default"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2.项目实施内容</w:t>
      </w:r>
    </w:p>
    <w:p>
      <w:pPr>
        <w:pStyle w:val="29"/>
        <w:keepNext w:val="0"/>
        <w:keepLines w:val="0"/>
        <w:pageBreakBefore w:val="0"/>
        <w:kinsoku/>
        <w:wordWrap/>
        <w:overflowPunct/>
        <w:topLinePunct w:val="0"/>
        <w:autoSpaceDE/>
        <w:autoSpaceDN/>
        <w:bidi w:val="0"/>
        <w:snapToGrid/>
        <w:spacing w:line="580" w:lineRule="exact"/>
        <w:ind w:firstLine="640" w:firstLineChars="200"/>
        <w:textAlignment w:val="auto"/>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“四好农村路”李东线李庄至西崮城段共计</w:t>
      </w:r>
      <w:r>
        <w:rPr>
          <w:rFonts w:hint="eastAsia" w:ascii="仿宋_GB2312" w:hAnsi="仿宋_GB2312" w:eastAsia="仿宋_GB2312" w:cs="仿宋_GB2312"/>
          <w:b w:val="0"/>
          <w:bCs w:val="0"/>
          <w:color w:val="auto"/>
          <w:sz w:val="32"/>
          <w:szCs w:val="32"/>
          <w:highlight w:val="none"/>
          <w:lang w:val="en-US" w:eastAsia="zh-CN"/>
        </w:rPr>
        <w:t>完成10.5公里的路网提升工程。主要实施内容见下表：</w:t>
      </w:r>
    </w:p>
    <w:p>
      <w:pPr>
        <w:snapToGrid w:val="0"/>
        <w:spacing w:line="580" w:lineRule="atLeast"/>
        <w:ind w:firstLine="562" w:firstLineChars="200"/>
        <w:jc w:val="center"/>
        <w:outlineLvl w:val="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表</w:t>
      </w: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项目实施内容</w:t>
      </w:r>
    </w:p>
    <w:tbl>
      <w:tblPr>
        <w:tblStyle w:val="19"/>
        <w:tblW w:w="8396" w:type="dxa"/>
        <w:jc w:val="center"/>
        <w:shd w:val="clear" w:color="auto" w:fill="auto"/>
        <w:tblLayout w:type="fixed"/>
        <w:tblCellMar>
          <w:top w:w="0" w:type="dxa"/>
          <w:left w:w="0" w:type="dxa"/>
          <w:bottom w:w="0" w:type="dxa"/>
          <w:right w:w="0" w:type="dxa"/>
        </w:tblCellMar>
      </w:tblPr>
      <w:tblGrid>
        <w:gridCol w:w="503"/>
        <w:gridCol w:w="1804"/>
        <w:gridCol w:w="6089"/>
      </w:tblGrid>
      <w:tr>
        <w:tblPrEx>
          <w:shd w:val="clear" w:color="auto" w:fill="auto"/>
          <w:tblCellMar>
            <w:top w:w="0" w:type="dxa"/>
            <w:left w:w="0" w:type="dxa"/>
            <w:bottom w:w="0" w:type="dxa"/>
            <w:right w:w="0" w:type="dxa"/>
          </w:tblCellMar>
        </w:tblPrEx>
        <w:trPr>
          <w:trHeight w:val="382"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80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工程名称</w:t>
            </w:r>
          </w:p>
        </w:tc>
        <w:tc>
          <w:tcPr>
            <w:tcW w:w="60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实施内容</w:t>
            </w:r>
          </w:p>
        </w:tc>
      </w:tr>
      <w:tr>
        <w:tblPrEx>
          <w:shd w:val="clear" w:color="auto" w:fill="auto"/>
          <w:tblCellMar>
            <w:top w:w="0" w:type="dxa"/>
            <w:left w:w="0" w:type="dxa"/>
            <w:bottom w:w="0" w:type="dxa"/>
            <w:right w:w="0" w:type="dxa"/>
          </w:tblCellMar>
        </w:tblPrEx>
        <w:trPr>
          <w:trHeight w:val="1267"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804" w:type="dxa"/>
            <w:vMerge w:val="restart"/>
            <w:tcBorders>
              <w:top w:val="single" w:color="000000" w:sz="4" w:space="0"/>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路网提档升级工程</w:t>
            </w:r>
          </w:p>
        </w:tc>
        <w:tc>
          <w:tcPr>
            <w:tcW w:w="60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施“窄路基路面”提升工程：对境内路面宽度窄于4米的主要农村道路实施加宽改造，保证公交通行安全。新改建农村公路的路面宽度一般不低于6米，全区的区域中心村、中心社区以及具备条件的行政村拥有一条路面宽度6米以上的公路通达。</w:t>
            </w:r>
          </w:p>
        </w:tc>
      </w:tr>
      <w:tr>
        <w:tblPrEx>
          <w:tblCellMar>
            <w:top w:w="0" w:type="dxa"/>
            <w:left w:w="0" w:type="dxa"/>
            <w:bottom w:w="0" w:type="dxa"/>
            <w:right w:w="0" w:type="dxa"/>
          </w:tblCellMar>
        </w:tblPrEx>
        <w:trPr>
          <w:trHeight w:val="1126"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1804"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p>
        </w:tc>
        <w:tc>
          <w:tcPr>
            <w:tcW w:w="60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继续推进村级公路网化示范县工程建设:到2018年底，完成全区“村级公路网化示范县”工程建设任务，在实现每个行政村拥有1-2条穿村公路的基础上，结合“户户通”工程建设，持续加大村内道路建设力度。</w:t>
            </w:r>
          </w:p>
        </w:tc>
      </w:tr>
      <w:tr>
        <w:tblPrEx>
          <w:tblCellMar>
            <w:top w:w="0" w:type="dxa"/>
            <w:left w:w="0" w:type="dxa"/>
            <w:bottom w:w="0" w:type="dxa"/>
            <w:right w:w="0" w:type="dxa"/>
          </w:tblCellMar>
        </w:tblPrEx>
        <w:trPr>
          <w:trHeight w:val="1182"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1804"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p>
        </w:tc>
        <w:tc>
          <w:tcPr>
            <w:tcW w:w="60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完善道路配套设施工程:结合路域环境整治、美丽乡村创建、村级公路安防工程、城乡公交一体化建设，完善既有农村公路的安全防护、排水、绿化、公交站点等配套设施，新改建农村公路确保安全防护、运输服务设施与主体工程实现“三同时”。</w:t>
            </w:r>
          </w:p>
        </w:tc>
      </w:tr>
      <w:tr>
        <w:tblPrEx>
          <w:shd w:val="clear" w:color="auto" w:fill="auto"/>
          <w:tblCellMar>
            <w:top w:w="0" w:type="dxa"/>
            <w:left w:w="0" w:type="dxa"/>
            <w:bottom w:w="0" w:type="dxa"/>
            <w:right w:w="0" w:type="dxa"/>
          </w:tblCellMar>
        </w:tblPrEx>
        <w:trPr>
          <w:trHeight w:val="815"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1804" w:type="dxa"/>
            <w:vMerge w:val="continue"/>
            <w:tcBorders>
              <w:left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p>
        </w:tc>
        <w:tc>
          <w:tcPr>
            <w:tcW w:w="60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开展路域环境综合整治：各镇街要结合城乡环卫一体化、美丽乡村、全域旅游等相关工作，统筹谋划、同步安排，加大路域环境整治力度，保证具备条件的农村公路路段全部实现路田分家、路宅分家。</w:t>
            </w:r>
          </w:p>
        </w:tc>
      </w:tr>
      <w:tr>
        <w:tblPrEx>
          <w:shd w:val="clear" w:color="auto" w:fill="auto"/>
          <w:tblCellMar>
            <w:top w:w="0" w:type="dxa"/>
            <w:left w:w="0" w:type="dxa"/>
            <w:bottom w:w="0" w:type="dxa"/>
            <w:right w:w="0" w:type="dxa"/>
          </w:tblCellMar>
        </w:tblPrEx>
        <w:trPr>
          <w:trHeight w:val="806"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1804" w:type="dxa"/>
            <w:vMerge w:val="continue"/>
            <w:tcBorders>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kern w:val="0"/>
                <w:sz w:val="21"/>
                <w:szCs w:val="21"/>
                <w:u w:val="none"/>
                <w:lang w:val="en-US" w:eastAsia="zh-CN" w:bidi="ar"/>
              </w:rPr>
            </w:pPr>
          </w:p>
        </w:tc>
        <w:tc>
          <w:tcPr>
            <w:tcW w:w="608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提升新建公路路面结构标准：新建公路面层采用沥青混凝土的，厚度不低于5厘米，面层下部须设置水泥稳定碎石类基层；采用水泥混凝土的，厚度不低于20厘米，面层下部须设置基层。</w:t>
            </w:r>
          </w:p>
        </w:tc>
      </w:tr>
    </w:tbl>
    <w:p>
      <w:pPr>
        <w:pStyle w:val="29"/>
        <w:pageBreakBefore w:val="0"/>
        <w:kinsoku/>
        <w:wordWrap/>
        <w:topLinePunct w:val="0"/>
        <w:bidi w:val="0"/>
        <w:spacing w:line="580" w:lineRule="exact"/>
        <w:ind w:firstLine="640" w:firstLineChars="200"/>
        <w:jc w:val="both"/>
        <w:outlineLvl w:val="1"/>
        <w:rPr>
          <w:rFonts w:ascii="楷体_GB2312" w:hAnsi="楷体" w:eastAsia="楷体_GB2312"/>
          <w:sz w:val="32"/>
          <w:szCs w:val="32"/>
          <w:highlight w:val="none"/>
        </w:rPr>
      </w:pPr>
      <w:r>
        <w:rPr>
          <w:rFonts w:hint="eastAsia" w:ascii="楷体_GB2312" w:hAnsi="楷体" w:eastAsia="楷体_GB2312"/>
          <w:sz w:val="32"/>
          <w:szCs w:val="32"/>
          <w:highlight w:val="none"/>
        </w:rPr>
        <w:t>（三）项目组织管理</w:t>
      </w:r>
    </w:p>
    <w:p>
      <w:pPr>
        <w:pageBreakBefore w:val="0"/>
        <w:kinsoku/>
        <w:wordWrap/>
        <w:topLinePunct w:val="0"/>
        <w:bidi w:val="0"/>
        <w:spacing w:line="580" w:lineRule="exact"/>
        <w:ind w:firstLine="640" w:firstLineChars="200"/>
        <w:jc w:val="both"/>
        <w:rPr>
          <w:rFonts w:hint="eastAsia" w:ascii="仿宋_GB2312" w:hAnsi="仿宋_GB2312" w:eastAsia="仿宋_GB2312" w:cs="仿宋_GB2312"/>
          <w:sz w:val="32"/>
          <w:szCs w:val="32"/>
          <w:highlight w:val="none"/>
          <w:lang w:val="en-US" w:eastAsia="zh-CN"/>
        </w:rPr>
      </w:pPr>
      <w:bookmarkStart w:id="3" w:name="_Toc11060"/>
      <w:r>
        <w:rPr>
          <w:rFonts w:hint="eastAsia" w:ascii="仿宋_GB2312" w:hAnsi="仿宋_GB2312" w:eastAsia="仿宋_GB2312" w:cs="仿宋_GB2312"/>
          <w:sz w:val="32"/>
          <w:szCs w:val="32"/>
          <w:highlight w:val="none"/>
          <w:lang w:val="en-US" w:eastAsia="zh-CN"/>
        </w:rPr>
        <w:t>1.山亭区“四好农村路”建设工作领导小组：负责统筹推进“四好农村路”建设工作。领导小组下设办公室，具体负责专项行动的组织实施。</w:t>
      </w:r>
    </w:p>
    <w:p>
      <w:pPr>
        <w:pageBreakBefore w:val="0"/>
        <w:kinsoku/>
        <w:wordWrap/>
        <w:topLinePunct w:val="0"/>
        <w:bidi w:val="0"/>
        <w:spacing w:line="58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bookmarkEnd w:id="3"/>
      <w:r>
        <w:rPr>
          <w:rFonts w:hint="eastAsia" w:ascii="仿宋_GB2312" w:hAnsi="仿宋_GB2312" w:eastAsia="仿宋_GB2312" w:cs="仿宋_GB2312"/>
          <w:sz w:val="32"/>
          <w:szCs w:val="32"/>
          <w:highlight w:val="none"/>
          <w:lang w:val="en-US" w:eastAsia="zh-CN"/>
        </w:rPr>
        <w:t>山亭</w:t>
      </w:r>
      <w:r>
        <w:rPr>
          <w:rFonts w:hint="eastAsia" w:ascii="仿宋_GB2312" w:hAnsi="仿宋_GB2312" w:eastAsia="仿宋_GB2312" w:cs="仿宋_GB2312"/>
          <w:sz w:val="32"/>
          <w:szCs w:val="32"/>
          <w:highlight w:val="none"/>
        </w:rPr>
        <w:t>区财政</w:t>
      </w:r>
      <w:r>
        <w:rPr>
          <w:rFonts w:hint="eastAsia" w:ascii="仿宋_GB2312" w:hAnsi="仿宋_GB2312" w:eastAsia="仿宋_GB2312" w:cs="仿宋_GB2312"/>
          <w:sz w:val="32"/>
          <w:szCs w:val="32"/>
          <w:highlight w:val="none"/>
          <w:lang w:val="en-US" w:eastAsia="zh-CN"/>
        </w:rPr>
        <w:t>局（以下简称“区财政局”）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负责将农村公路管理机构运行经费、人员基本支出以及建设养护资金纳入同级财政预算；负责“六大工程”中的路网提档升级、自然村通达工程、路面状况改善工程和“网化”工程的路面工程投资；按规定标准拨付日常养护资金，负责养护大中修工程的路面工程投资和主要道路上的危桥改造地方配套资金。</w:t>
      </w:r>
    </w:p>
    <w:p>
      <w:pPr>
        <w:pStyle w:val="2"/>
        <w:pageBreakBefore w:val="0"/>
        <w:kinsoku/>
        <w:wordWrap/>
        <w:topLinePunct w:val="0"/>
        <w:bidi w:val="0"/>
        <w:spacing w:line="580" w:lineRule="exact"/>
        <w:jc w:val="both"/>
        <w:rPr>
          <w:rFonts w:hint="eastAsia" w:ascii="仿宋_GB2312" w:hAnsi="黑体" w:eastAsia="仿宋_GB2312"/>
          <w:sz w:val="32"/>
          <w:szCs w:val="32"/>
          <w:lang w:eastAsia="zh-CN"/>
        </w:rPr>
      </w:pPr>
      <w:r>
        <w:rPr>
          <w:rFonts w:hint="eastAsia" w:ascii="仿宋_GB2312" w:hAnsi="仿宋_GB2312" w:eastAsia="仿宋_GB2312" w:cs="仿宋_GB2312"/>
          <w:sz w:val="32"/>
          <w:szCs w:val="32"/>
          <w:highlight w:val="none"/>
          <w:lang w:val="en-US" w:eastAsia="zh-CN"/>
        </w:rPr>
        <w:t>3.山亭区交通运输局（以下简称“区交通局”）：</w:t>
      </w:r>
      <w:r>
        <w:rPr>
          <w:rFonts w:hint="eastAsia" w:ascii="仿宋_GB2312" w:hAnsi="黑体" w:eastAsia="仿宋_GB2312"/>
          <w:sz w:val="32"/>
          <w:szCs w:val="32"/>
          <w:lang w:val="en-US" w:eastAsia="zh-CN"/>
        </w:rPr>
        <w:t>负责</w:t>
      </w:r>
      <w:r>
        <w:rPr>
          <w:rFonts w:hint="eastAsia" w:ascii="仿宋_GB2312" w:hAnsi="黑体" w:eastAsia="仿宋_GB2312"/>
          <w:sz w:val="32"/>
          <w:szCs w:val="32"/>
          <w:lang w:eastAsia="zh-CN"/>
        </w:rPr>
        <w:t>项目的</w:t>
      </w:r>
      <w:r>
        <w:rPr>
          <w:rFonts w:hint="eastAsia" w:ascii="仿宋_GB2312" w:hAnsi="黑体" w:eastAsia="仿宋_GB2312"/>
          <w:sz w:val="32"/>
          <w:szCs w:val="32"/>
        </w:rPr>
        <w:t>日常巡查、检查验收、计量支付等具体工作</w:t>
      </w:r>
      <w:r>
        <w:rPr>
          <w:rFonts w:hint="eastAsia" w:ascii="仿宋_GB2312" w:hAnsi="黑体" w:eastAsia="仿宋_GB2312"/>
          <w:sz w:val="32"/>
          <w:szCs w:val="32"/>
          <w:lang w:eastAsia="zh-CN"/>
        </w:rPr>
        <w:t>；</w:t>
      </w:r>
      <w:r>
        <w:rPr>
          <w:rFonts w:hint="eastAsia" w:ascii="仿宋_GB2312" w:hAnsi="黑体" w:eastAsia="仿宋_GB2312"/>
          <w:sz w:val="32"/>
          <w:szCs w:val="32"/>
        </w:rPr>
        <w:t>牵头组织查阅工程各项资料，现场抽查工程实体</w:t>
      </w:r>
      <w:r>
        <w:rPr>
          <w:rFonts w:hint="eastAsia" w:ascii="仿宋_GB2312" w:hAnsi="黑体" w:eastAsia="仿宋_GB2312"/>
          <w:sz w:val="32"/>
          <w:szCs w:val="32"/>
          <w:lang w:eastAsia="zh-CN"/>
        </w:rPr>
        <w:t>，</w:t>
      </w:r>
      <w:r>
        <w:rPr>
          <w:rFonts w:hint="eastAsia" w:ascii="仿宋_GB2312" w:hAnsi="黑体" w:eastAsia="仿宋_GB2312"/>
          <w:sz w:val="32"/>
          <w:szCs w:val="32"/>
        </w:rPr>
        <w:t>综合分析工程监理单位</w:t>
      </w:r>
      <w:r>
        <w:rPr>
          <w:rFonts w:hint="eastAsia" w:ascii="仿宋_GB2312" w:hAnsi="黑体" w:eastAsia="仿宋_GB2312"/>
          <w:sz w:val="32"/>
          <w:szCs w:val="32"/>
          <w:lang w:eastAsia="zh-CN"/>
        </w:rPr>
        <w:t>对</w:t>
      </w:r>
      <w:r>
        <w:rPr>
          <w:rFonts w:hint="eastAsia" w:ascii="仿宋_GB2312" w:hAnsi="黑体" w:eastAsia="仿宋_GB2312"/>
          <w:sz w:val="32"/>
          <w:szCs w:val="32"/>
        </w:rPr>
        <w:t>具体负责项目实施过程中的质量、进度、投资控制</w:t>
      </w:r>
      <w:r>
        <w:rPr>
          <w:rFonts w:hint="eastAsia" w:ascii="仿宋_GB2312" w:hAnsi="黑体" w:eastAsia="仿宋_GB2312"/>
          <w:sz w:val="32"/>
          <w:szCs w:val="32"/>
          <w:lang w:eastAsia="zh-CN"/>
        </w:rPr>
        <w:t>；</w:t>
      </w:r>
      <w:r>
        <w:rPr>
          <w:rFonts w:hint="eastAsia" w:ascii="仿宋_GB2312" w:hAnsi="黑体" w:eastAsia="仿宋_GB2312"/>
          <w:sz w:val="32"/>
          <w:szCs w:val="32"/>
        </w:rPr>
        <w:t>负责项目工程量审计工作</w:t>
      </w:r>
      <w:r>
        <w:rPr>
          <w:rFonts w:hint="eastAsia" w:ascii="仿宋_GB2312" w:hAnsi="黑体" w:eastAsia="仿宋_GB2312"/>
          <w:sz w:val="32"/>
          <w:szCs w:val="32"/>
          <w:lang w:eastAsia="zh-CN"/>
        </w:rPr>
        <w:t>。</w:t>
      </w:r>
    </w:p>
    <w:p>
      <w:pPr>
        <w:pStyle w:val="2"/>
        <w:pageBreakBefore w:val="0"/>
        <w:kinsoku/>
        <w:wordWrap/>
        <w:topLinePunct w:val="0"/>
        <w:bidi w:val="0"/>
        <w:spacing w:line="580" w:lineRule="exact"/>
        <w:jc w:val="both"/>
        <w:rPr>
          <w:rFonts w:hint="default" w:eastAsia="仿宋_GB2312"/>
          <w:lang w:val="en-US" w:eastAsia="zh-CN"/>
        </w:rPr>
      </w:pPr>
      <w:r>
        <w:rPr>
          <w:rFonts w:hint="eastAsia" w:ascii="仿宋_GB2312" w:hAnsi="仿宋_GB2312" w:eastAsia="仿宋_GB2312" w:cs="仿宋_GB2312"/>
          <w:sz w:val="32"/>
          <w:szCs w:val="32"/>
          <w:highlight w:val="none"/>
          <w:lang w:val="en-US" w:eastAsia="zh-CN"/>
        </w:rPr>
        <w:t>4.各镇街：负责工程的征地、地物清理、路基桥涵、路肩培护、绿化、排水等配套设施和村道安全生命防护投入；按规定落实养护机构、充实人员、拨付养护经费，落实辖区内乡、村道路日常养护工作和农村道路的路域环境整治等工作。</w:t>
      </w:r>
    </w:p>
    <w:p>
      <w:pPr>
        <w:pageBreakBefore w:val="0"/>
        <w:kinsoku/>
        <w:wordWrap/>
        <w:topLinePunct w:val="0"/>
        <w:bidi w:val="0"/>
        <w:spacing w:beforeAutospacing="0" w:afterAutospacing="0" w:line="580" w:lineRule="exact"/>
        <w:ind w:left="0" w:leftChars="0" w:firstLine="640" w:firstLineChars="200"/>
        <w:jc w:val="both"/>
        <w:outlineLvl w:val="0"/>
        <w:rPr>
          <w:rFonts w:ascii="黑体" w:hAnsi="仿宋_GB2312" w:eastAsia="黑体" w:cs="仿宋_GB2312"/>
          <w:sz w:val="32"/>
          <w:szCs w:val="32"/>
          <w:highlight w:val="none"/>
          <w:lang w:bidi="zh-CN"/>
        </w:rPr>
      </w:pPr>
      <w:bookmarkStart w:id="4" w:name="_Toc12908"/>
      <w:bookmarkStart w:id="5" w:name="_Toc929971525_WPSOffice_Level1"/>
      <w:r>
        <w:rPr>
          <w:rFonts w:ascii="黑体" w:hAnsi="仿宋_GB2312" w:eastAsia="黑体" w:cs="仿宋_GB2312"/>
          <w:sz w:val="32"/>
          <w:szCs w:val="32"/>
          <w:highlight w:val="none"/>
          <w:lang w:bidi="zh-CN"/>
        </w:rPr>
        <w:t>二、</w:t>
      </w:r>
      <w:r>
        <w:rPr>
          <w:rFonts w:hint="eastAsia" w:ascii="黑体" w:hAnsi="仿宋_GB2312" w:eastAsia="黑体" w:cs="仿宋_GB2312"/>
          <w:sz w:val="32"/>
          <w:szCs w:val="32"/>
          <w:highlight w:val="none"/>
          <w:lang w:bidi="zh-CN"/>
        </w:rPr>
        <w:t>项目绩效目标</w:t>
      </w:r>
      <w:bookmarkEnd w:id="4"/>
      <w:bookmarkEnd w:id="5"/>
    </w:p>
    <w:p>
      <w:pPr>
        <w:pStyle w:val="17"/>
        <w:pageBreakBefore w:val="0"/>
        <w:kinsoku/>
        <w:wordWrap/>
        <w:topLinePunct w:val="0"/>
        <w:bidi w:val="0"/>
        <w:spacing w:before="0" w:beforeLines="0" w:beforeAutospacing="0" w:after="0" w:afterLines="0" w:afterAutospacing="0" w:line="580" w:lineRule="exact"/>
        <w:ind w:left="0" w:leftChars="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健全完善农村公路配套服务设施，整治路域环境，提升服务水平；实施日常性养护和大中修工程，实现主要农村公路日常养护全覆盖，基本消除路网主要路径中的危桥和县乡道主干线上的窄桥，提升农村公路服务能力；进一步深化农村公路管理体制机制改革，落实农村公路分级管理主体责任，稳定资金来源渠道，健全建管养运长效机制</w:t>
      </w:r>
      <w:r>
        <w:rPr>
          <w:rFonts w:hint="eastAsia" w:ascii="仿宋_GB2312" w:hAnsi="仿宋_GB2312" w:eastAsia="仿宋_GB2312" w:cs="仿宋_GB2312"/>
          <w:sz w:val="32"/>
          <w:szCs w:val="32"/>
          <w:lang w:eastAsia="zh-CN"/>
        </w:rPr>
        <w:t>。</w:t>
      </w:r>
    </w:p>
    <w:p>
      <w:pPr>
        <w:pStyle w:val="7"/>
        <w:pageBreakBefore w:val="0"/>
        <w:widowControl w:val="0"/>
        <w:kinsoku/>
        <w:wordWrap/>
        <w:overflowPunct/>
        <w:topLinePunct w:val="0"/>
        <w:bidi w:val="0"/>
        <w:spacing w:before="0" w:beforeAutospacing="0" w:afterAutospacing="0" w:line="580" w:lineRule="exact"/>
        <w:ind w:left="0" w:leftChars="0" w:firstLine="640" w:firstLineChars="200"/>
        <w:jc w:val="both"/>
        <w:textAlignment w:val="auto"/>
        <w:outlineLvl w:val="0"/>
        <w:rPr>
          <w:rFonts w:ascii="黑体" w:eastAsia="黑体"/>
        </w:rPr>
      </w:pPr>
      <w:bookmarkStart w:id="6" w:name="_Toc2070"/>
      <w:bookmarkStart w:id="7" w:name="_Toc645437809_WPSOffice_Level1"/>
      <w:r>
        <w:rPr>
          <w:rFonts w:hint="eastAsia" w:ascii="黑体" w:eastAsia="黑体"/>
          <w:lang w:val="en-US"/>
        </w:rPr>
        <w:t>三、</w:t>
      </w:r>
      <w:r>
        <w:rPr>
          <w:rFonts w:hint="eastAsia" w:ascii="黑体" w:eastAsia="黑体"/>
        </w:rPr>
        <w:t>绩效评价情况</w:t>
      </w:r>
      <w:bookmarkEnd w:id="6"/>
      <w:bookmarkEnd w:id="7"/>
    </w:p>
    <w:p>
      <w:pPr>
        <w:pStyle w:val="7"/>
        <w:pageBreakBefore w:val="0"/>
        <w:widowControl w:val="0"/>
        <w:kinsoku/>
        <w:wordWrap/>
        <w:overflowPunct/>
        <w:topLinePunct w:val="0"/>
        <w:bidi w:val="0"/>
        <w:spacing w:before="0" w:beforeAutospacing="0" w:afterAutospacing="0" w:line="580" w:lineRule="exact"/>
        <w:ind w:left="0" w:leftChars="0" w:firstLine="640" w:firstLineChars="200"/>
        <w:jc w:val="both"/>
        <w:textAlignment w:val="auto"/>
        <w:outlineLvl w:val="1"/>
        <w:rPr>
          <w:rFonts w:ascii="楷体_GB2312" w:hAnsi="楷体_GB2312" w:eastAsia="楷体_GB2312" w:cs="楷体_GB2312"/>
          <w:highlight w:val="none"/>
          <w:lang w:val="en-US"/>
        </w:rPr>
      </w:pPr>
      <w:bookmarkStart w:id="8" w:name="_Toc403828180_WPSOffice_Level2"/>
      <w:bookmarkStart w:id="9" w:name="_Toc2073533326_WPSOffice_Level2"/>
      <w:bookmarkStart w:id="10" w:name="_Toc1490535342_WPSOffice_Level2"/>
      <w:bookmarkStart w:id="11" w:name="_Toc1470087009_WPSOffice_Level2"/>
      <w:bookmarkStart w:id="12" w:name="_Toc804498804_WPSOffice_Level2"/>
      <w:bookmarkStart w:id="13" w:name="_Toc955671792"/>
      <w:bookmarkStart w:id="14" w:name="_Toc29423568_WPSOffice_Level2"/>
      <w:bookmarkStart w:id="15" w:name="_Toc929971525_WPSOffice_Level2"/>
      <w:bookmarkStart w:id="16" w:name="_Toc15544"/>
      <w:bookmarkStart w:id="17" w:name="_Toc1942047429_WPSOffice_Level2"/>
      <w:bookmarkStart w:id="18" w:name="_Toc44183104_WPSOffice_Level2"/>
      <w:bookmarkStart w:id="19" w:name="_Toc1068751230_WPSOffice_Level2"/>
      <w:r>
        <w:rPr>
          <w:rFonts w:hint="eastAsia" w:ascii="楷体_GB2312" w:hAnsi="楷体_GB2312" w:eastAsia="楷体_GB2312" w:cs="楷体_GB2312"/>
          <w:highlight w:val="none"/>
        </w:rPr>
        <w:t>（一）评价目</w:t>
      </w:r>
      <w:r>
        <w:rPr>
          <w:rFonts w:hint="eastAsia" w:ascii="楷体_GB2312" w:hAnsi="楷体_GB2312" w:eastAsia="楷体_GB2312" w:cs="楷体_GB2312"/>
          <w:highlight w:val="none"/>
          <w:lang w:val="en-US"/>
        </w:rPr>
        <w:t>的</w:t>
      </w:r>
      <w:bookmarkEnd w:id="8"/>
      <w:bookmarkEnd w:id="9"/>
      <w:bookmarkEnd w:id="10"/>
      <w:bookmarkEnd w:id="11"/>
      <w:bookmarkEnd w:id="12"/>
      <w:bookmarkEnd w:id="13"/>
      <w:bookmarkEnd w:id="14"/>
      <w:bookmarkEnd w:id="15"/>
      <w:bookmarkEnd w:id="16"/>
      <w:bookmarkEnd w:id="17"/>
      <w:bookmarkEnd w:id="18"/>
      <w:bookmarkEnd w:id="19"/>
    </w:p>
    <w:p>
      <w:pPr>
        <w:keepNext w:val="0"/>
        <w:keepLines w:val="0"/>
        <w:pageBreakBefore w:val="0"/>
        <w:kinsoku/>
        <w:wordWrap/>
        <w:overflowPunct/>
        <w:topLinePunct w:val="0"/>
        <w:autoSpaceDE/>
        <w:autoSpaceDN/>
        <w:bidi w:val="0"/>
        <w:spacing w:beforeAutospacing="0" w:afterAutospacing="0" w:line="580" w:lineRule="exact"/>
        <w:ind w:left="0" w:leftChars="0"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lang w:eastAsia="zh-CN"/>
        </w:rPr>
        <w:t>为进一步加强预算绩效管理，强化支出责任，做好</w:t>
      </w:r>
      <w:r>
        <w:rPr>
          <w:rFonts w:hint="eastAsia" w:ascii="仿宋_GB2312" w:hAnsi="仿宋" w:eastAsia="仿宋_GB2312"/>
          <w:sz w:val="32"/>
          <w:szCs w:val="32"/>
          <w:lang w:val="en-US" w:eastAsia="zh-CN"/>
        </w:rPr>
        <w:t>重点项目</w:t>
      </w:r>
      <w:r>
        <w:rPr>
          <w:rFonts w:hint="eastAsia" w:ascii="仿宋_GB2312" w:hAnsi="仿宋" w:eastAsia="仿宋_GB2312"/>
          <w:sz w:val="32"/>
          <w:szCs w:val="32"/>
          <w:lang w:eastAsia="zh-CN"/>
        </w:rPr>
        <w:t>支出绩效评价工作，</w:t>
      </w:r>
      <w:r>
        <w:rPr>
          <w:rFonts w:hint="eastAsia" w:ascii="仿宋_GB2312" w:hAnsi="仿宋" w:eastAsia="仿宋_GB2312"/>
          <w:sz w:val="32"/>
          <w:szCs w:val="32"/>
          <w:lang w:val="en-US" w:eastAsia="zh-CN"/>
        </w:rPr>
        <w:t>山亭区</w:t>
      </w:r>
      <w:r>
        <w:rPr>
          <w:rFonts w:hint="eastAsia" w:ascii="仿宋_GB2312" w:hAnsi="仿宋" w:eastAsia="仿宋_GB2312"/>
          <w:sz w:val="32"/>
          <w:szCs w:val="32"/>
          <w:lang w:eastAsia="zh-CN"/>
        </w:rPr>
        <w:t>财政局委托</w:t>
      </w:r>
      <w:r>
        <w:rPr>
          <w:rFonts w:hint="eastAsia" w:ascii="仿宋_GB2312" w:hAnsi="仿宋" w:eastAsia="仿宋_GB2312"/>
          <w:sz w:val="32"/>
          <w:szCs w:val="32"/>
          <w:lang w:val="en-US" w:eastAsia="zh-CN"/>
        </w:rPr>
        <w:t>中景瑞晟（北京）管理咨询有限公司（以下简称评价机构）</w:t>
      </w:r>
      <w:r>
        <w:rPr>
          <w:rFonts w:hint="eastAsia" w:ascii="仿宋_GB2312" w:hAnsi="仿宋" w:eastAsia="仿宋_GB2312"/>
          <w:sz w:val="32"/>
          <w:szCs w:val="32"/>
          <w:lang w:eastAsia="zh-CN"/>
        </w:rPr>
        <w:t>对2018年度山亭区“四好农村路”李东线李庄至西崮城段改建工程</w:t>
      </w:r>
      <w:r>
        <w:rPr>
          <w:rFonts w:hint="eastAsia" w:ascii="仿宋_GB2312" w:hAnsi="仿宋" w:eastAsia="仿宋_GB2312"/>
          <w:sz w:val="32"/>
          <w:szCs w:val="32"/>
          <w:lang w:val="en-US" w:eastAsia="zh-CN"/>
        </w:rPr>
        <w:t>项目进行绩效评价。</w:t>
      </w:r>
      <w:r>
        <w:rPr>
          <w:rFonts w:hint="eastAsia" w:ascii="仿宋_GB2312" w:eastAsia="仿宋_GB2312"/>
          <w:sz w:val="32"/>
          <w:szCs w:val="32"/>
          <w:highlight w:val="none"/>
          <w:lang w:val="en-US" w:eastAsia="zh-CN"/>
        </w:rPr>
        <w:t>本项目绩效评价内容为</w:t>
      </w:r>
      <w:r>
        <w:rPr>
          <w:rFonts w:hint="eastAsia" w:ascii="仿宋_GB2312" w:eastAsia="仿宋_GB2312"/>
          <w:sz w:val="32"/>
          <w:szCs w:val="32"/>
          <w:highlight w:val="none"/>
          <w:lang w:eastAsia="zh-CN"/>
        </w:rPr>
        <w:t>项目立项依据和程序、绩效目标、资金管理、业务管理、</w:t>
      </w:r>
      <w:r>
        <w:rPr>
          <w:rFonts w:hint="eastAsia" w:ascii="仿宋_GB2312" w:eastAsia="仿宋_GB2312"/>
          <w:sz w:val="32"/>
          <w:szCs w:val="32"/>
          <w:highlight w:val="none"/>
          <w:lang w:val="en-US" w:eastAsia="zh-CN"/>
        </w:rPr>
        <w:t>产出</w:t>
      </w:r>
      <w:r>
        <w:rPr>
          <w:rFonts w:hint="eastAsia" w:ascii="仿宋_GB2312" w:eastAsia="仿宋_GB2312"/>
          <w:sz w:val="32"/>
          <w:szCs w:val="32"/>
          <w:highlight w:val="none"/>
          <w:lang w:eastAsia="zh-CN"/>
        </w:rPr>
        <w:t>以及实现的社会效益、</w:t>
      </w:r>
      <w:r>
        <w:rPr>
          <w:rFonts w:hint="eastAsia" w:ascii="仿宋_GB2312" w:eastAsia="仿宋_GB2312"/>
          <w:sz w:val="32"/>
          <w:szCs w:val="32"/>
          <w:highlight w:val="none"/>
          <w:lang w:val="en-US" w:eastAsia="zh-CN"/>
        </w:rPr>
        <w:t>受益群众</w:t>
      </w:r>
      <w:r>
        <w:rPr>
          <w:rFonts w:hint="eastAsia" w:ascii="仿宋_GB2312" w:eastAsia="仿宋_GB2312"/>
          <w:sz w:val="32"/>
          <w:szCs w:val="32"/>
          <w:highlight w:val="none"/>
          <w:lang w:eastAsia="zh-CN"/>
        </w:rPr>
        <w:t>满意度等方面。</w:t>
      </w:r>
      <w:r>
        <w:rPr>
          <w:rFonts w:hint="eastAsia" w:ascii="仿宋_GB2312" w:eastAsia="仿宋_GB2312"/>
          <w:sz w:val="32"/>
          <w:szCs w:val="32"/>
          <w:highlight w:val="none"/>
          <w:lang w:val="en-US" w:eastAsia="zh-CN"/>
        </w:rPr>
        <w:t>重点关注“四好农村路”李东线李庄至西崮城段改建工程建成后是否能够完全达到建设要求、是否满足出行群众的现实需求、是否完善山亭区的路网结构、是否落实运行维护责任。</w:t>
      </w:r>
    </w:p>
    <w:p>
      <w:pPr>
        <w:pStyle w:val="7"/>
        <w:pageBreakBefore w:val="0"/>
        <w:widowControl w:val="0"/>
        <w:kinsoku/>
        <w:wordWrap/>
        <w:overflowPunct/>
        <w:topLinePunct w:val="0"/>
        <w:bidi w:val="0"/>
        <w:spacing w:before="0" w:beforeAutospacing="0" w:afterAutospacing="0" w:line="580" w:lineRule="exact"/>
        <w:ind w:left="0" w:leftChars="0" w:firstLine="640" w:firstLineChars="200"/>
        <w:jc w:val="both"/>
        <w:textAlignment w:val="auto"/>
        <w:outlineLvl w:val="1"/>
        <w:rPr>
          <w:rFonts w:hint="eastAsia" w:ascii="楷体_GB2312" w:hAnsi="楷体_GB2312" w:eastAsia="楷体_GB2312" w:cs="楷体_GB2312"/>
          <w:highlight w:val="none"/>
          <w:lang w:val="en-US" w:eastAsia="zh-CN"/>
        </w:rPr>
      </w:pPr>
      <w:bookmarkStart w:id="20" w:name="_Toc6177"/>
      <w:bookmarkStart w:id="21" w:name="_Toc3021"/>
      <w:bookmarkStart w:id="22" w:name="_Toc23220"/>
      <w:bookmarkStart w:id="23" w:name="_Toc22666"/>
      <w:bookmarkStart w:id="24" w:name="_Toc16682"/>
      <w:r>
        <w:rPr>
          <w:rFonts w:hint="eastAsia" w:ascii="楷体_GB2312" w:hAnsi="楷体_GB2312" w:eastAsia="楷体_GB2312" w:cs="楷体_GB2312"/>
          <w:highlight w:val="none"/>
        </w:rPr>
        <w:t>（</w:t>
      </w:r>
      <w:r>
        <w:rPr>
          <w:rFonts w:hint="eastAsia" w:ascii="楷体_GB2312" w:hAnsi="楷体_GB2312" w:eastAsia="楷体_GB2312" w:cs="楷体_GB2312"/>
          <w:highlight w:val="none"/>
          <w:lang w:val="en-US" w:eastAsia="zh-CN"/>
        </w:rPr>
        <w:t>二</w:t>
      </w:r>
      <w:r>
        <w:rPr>
          <w:rFonts w:hint="eastAsia" w:ascii="楷体_GB2312" w:hAnsi="楷体_GB2312" w:eastAsia="楷体_GB2312" w:cs="楷体_GB2312"/>
          <w:highlight w:val="none"/>
        </w:rPr>
        <w:t>）评价</w:t>
      </w:r>
      <w:r>
        <w:rPr>
          <w:rFonts w:hint="eastAsia" w:ascii="楷体_GB2312" w:hAnsi="楷体_GB2312" w:eastAsia="楷体_GB2312" w:cs="楷体_GB2312"/>
          <w:highlight w:val="none"/>
          <w:lang w:val="en-US" w:eastAsia="zh-CN"/>
        </w:rPr>
        <w:t>依据</w:t>
      </w:r>
      <w:bookmarkEnd w:id="20"/>
    </w:p>
    <w:bookmarkEnd w:id="21"/>
    <w:bookmarkEnd w:id="22"/>
    <w:bookmarkEnd w:id="23"/>
    <w:bookmarkEnd w:id="24"/>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0"/>
        <w:rPr>
          <w:rFonts w:hint="eastAsia"/>
        </w:rPr>
      </w:pPr>
      <w:bookmarkStart w:id="25" w:name="_Toc3238"/>
      <w:r>
        <w:rPr>
          <w:rFonts w:hint="eastAsia" w:ascii="仿宋_GB2312" w:eastAsia="仿宋_GB2312"/>
          <w:sz w:val="32"/>
          <w:szCs w:val="32"/>
          <w:lang w:val="en-US" w:eastAsia="zh-CN"/>
        </w:rPr>
        <w:t>1.中共中央、国务院《关于全面实施预算绩效管理的</w:t>
      </w:r>
      <w:r>
        <w:rPr>
          <w:rFonts w:hint="eastAsia" w:ascii="仿宋_GB2312" w:eastAsia="仿宋_GB2312"/>
          <w:sz w:val="32"/>
          <w:szCs w:val="32"/>
        </w:rPr>
        <w:t>意见》（中发〔2018〕34号）；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2.《关于印发项目支出绩效评价管理办法的通知》（财预〔2020〕10号）</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outlineLvl w:val="0"/>
        <w:rPr>
          <w:rFonts w:hint="eastAsia" w:ascii="仿宋_GB2312" w:eastAsia="仿宋_GB2312"/>
          <w:sz w:val="32"/>
          <w:szCs w:val="32"/>
          <w:lang w:val="en-US" w:eastAsia="zh-CN"/>
        </w:rPr>
      </w:pPr>
      <w:r>
        <w:rPr>
          <w:rFonts w:hint="eastAsia" w:ascii="仿宋_GB2312" w:eastAsia="仿宋_GB2312"/>
          <w:sz w:val="32"/>
          <w:szCs w:val="32"/>
          <w:lang w:val="en-US" w:eastAsia="zh-CN"/>
        </w:rPr>
        <w:t>3.《中华人民共和国公路法》；</w:t>
      </w:r>
    </w:p>
    <w:p>
      <w:pPr>
        <w:pStyle w:val="7"/>
        <w:keepNext w:val="0"/>
        <w:keepLines w:val="0"/>
        <w:pageBreakBefore w:val="0"/>
        <w:numPr>
          <w:ilvl w:val="0"/>
          <w:numId w:val="0"/>
        </w:numPr>
        <w:kinsoku/>
        <w:wordWrap/>
        <w:overflowPunct/>
        <w:topLinePunct w:val="0"/>
        <w:autoSpaceDE/>
        <w:autoSpaceDN/>
        <w:bidi w:val="0"/>
        <w:spacing w:before="0" w:beforeAutospacing="0" w:afterAutospacing="0" w:line="580" w:lineRule="exact"/>
        <w:ind w:left="0" w:leftChars="0" w:firstLine="640" w:firstLineChars="200"/>
        <w:jc w:val="both"/>
        <w:textAlignment w:val="auto"/>
        <w:rPr>
          <w:rFonts w:hint="default"/>
          <w:lang w:val="en-US" w:eastAsia="zh-CN"/>
        </w:rPr>
      </w:pPr>
      <w:r>
        <w:rPr>
          <w:rFonts w:hint="eastAsia"/>
          <w:lang w:val="en-US" w:eastAsia="zh-CN"/>
        </w:rPr>
        <w:t>4.</w:t>
      </w:r>
      <w:r>
        <w:rPr>
          <w:rFonts w:hint="default"/>
          <w:lang w:val="en-US" w:eastAsia="zh-CN"/>
        </w:rPr>
        <w:t>交通运输部《关于推进“四好农村路”建设的意见》</w:t>
      </w:r>
      <w:r>
        <w:rPr>
          <w:rFonts w:hint="eastAsia"/>
          <w:lang w:val="en-US" w:eastAsia="zh-CN"/>
        </w:rPr>
        <w:t>（</w:t>
      </w:r>
      <w:r>
        <w:rPr>
          <w:rFonts w:hint="default"/>
          <w:lang w:val="en-US" w:eastAsia="zh-CN"/>
        </w:rPr>
        <w:t>交公路发〔2015〕73号</w:t>
      </w:r>
      <w:r>
        <w:rPr>
          <w:rFonts w:hint="eastAsia"/>
          <w:lang w:val="en-US"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pPr>
      <w:r>
        <w:rPr>
          <w:rFonts w:hint="eastAsia" w:ascii="仿宋_GB2312" w:eastAsia="仿宋_GB2312"/>
          <w:sz w:val="32"/>
          <w:szCs w:val="32"/>
          <w:lang w:val="en-US" w:eastAsia="zh-CN"/>
        </w:rPr>
        <w:t>5.</w:t>
      </w:r>
      <w:r>
        <w:rPr>
          <w:rFonts w:hint="eastAsia" w:ascii="仿宋_GB2312" w:eastAsia="仿宋_GB2312"/>
          <w:sz w:val="32"/>
          <w:szCs w:val="32"/>
        </w:rPr>
        <w:t>省委办公厅、省政府办公厅《关于全面推进预算绩效管理的实施意见》（鲁发〔2019〕2号）；</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《关于全面落实预算绩效管理的实施意见》（汶发〔2019〕15号）；</w:t>
      </w:r>
    </w:p>
    <w:p>
      <w:pPr>
        <w:keepNext w:val="0"/>
        <w:keepLines w:val="0"/>
        <w:pageBreakBefore w:val="0"/>
        <w:widowControl/>
        <w:suppressLineNumbers w:val="0"/>
        <w:kinsoku/>
        <w:wordWrap/>
        <w:topLinePunct w:val="0"/>
        <w:bidi w:val="0"/>
        <w:spacing w:line="58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7.山东省人民政府办公厅《关于进一步做好“四好农村路”工作的实施意见》（鲁政办发</w:t>
      </w:r>
      <w:r>
        <w:rPr>
          <w:rFonts w:hint="eastAsia" w:ascii="仿宋_GB2312" w:hAnsi="仿宋_GB2312" w:eastAsia="仿宋_GB2312" w:cs="仿宋_GB2312"/>
          <w:sz w:val="32"/>
          <w:szCs w:val="32"/>
          <w:lang w:val="en-US" w:eastAsia="zh-CN"/>
        </w:rPr>
        <w:t>〔2018〕13号</w:t>
      </w:r>
      <w:r>
        <w:rPr>
          <w:rFonts w:hint="eastAsia" w:ascii="仿宋_GB2312" w:eastAsia="仿宋_GB2312"/>
          <w:sz w:val="32"/>
          <w:szCs w:val="32"/>
          <w:lang w:val="en-US" w:eastAsia="zh-CN"/>
        </w:rPr>
        <w:t>）；</w:t>
      </w:r>
    </w:p>
    <w:p>
      <w:pPr>
        <w:pStyle w:val="2"/>
        <w:pageBreakBefore w:val="0"/>
        <w:kinsoku/>
        <w:wordWrap/>
        <w:topLinePunct w:val="0"/>
        <w:bidi w:val="0"/>
        <w:spacing w:line="580" w:lineRule="exact"/>
        <w:jc w:val="both"/>
        <w:rPr>
          <w:rFonts w:hint="default"/>
          <w:lang w:val="en-US" w:eastAsia="zh-CN"/>
        </w:rPr>
      </w:pPr>
      <w:r>
        <w:rPr>
          <w:rFonts w:hint="eastAsia" w:ascii="仿宋_GB2312" w:eastAsia="仿宋_GB2312"/>
          <w:sz w:val="32"/>
          <w:szCs w:val="32"/>
          <w:lang w:val="en-US" w:eastAsia="zh-CN"/>
        </w:rPr>
        <w:t>8.枣庄市人民政府《关于进一步做好“四好农村路”工作的实施意见》（枣政发</w:t>
      </w:r>
      <w:r>
        <w:rPr>
          <w:rFonts w:hint="eastAsia" w:ascii="仿宋_GB2312" w:hAnsi="仿宋_GB2312" w:eastAsia="仿宋_GB2312" w:cs="仿宋_GB2312"/>
          <w:sz w:val="32"/>
          <w:szCs w:val="32"/>
          <w:lang w:val="en-US" w:eastAsia="zh-CN"/>
        </w:rPr>
        <w:t>〔2018〕10号</w:t>
      </w:r>
      <w:r>
        <w:rPr>
          <w:rFonts w:hint="eastAsia" w:ascii="仿宋_GB2312" w:eastAsia="仿宋_GB2312"/>
          <w:sz w:val="32"/>
          <w:szCs w:val="32"/>
          <w:lang w:val="en-US"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left="0" w:leftChars="0"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hAnsi="仿宋_GB2312" w:eastAsia="仿宋_GB2312" w:cs="仿宋_GB2312"/>
          <w:kern w:val="2"/>
          <w:sz w:val="32"/>
          <w:szCs w:val="32"/>
          <w:lang w:val="en-US" w:eastAsia="zh-CN" w:bidi="zh-CN"/>
        </w:rPr>
        <w:t>《山亭区“四好农村路”三年集中攻坚专项行动实施方案》（山政办发</w:t>
      </w:r>
      <w:r>
        <w:rPr>
          <w:rFonts w:hint="eastAsia" w:ascii="仿宋_GB2312" w:hAnsi="仿宋_GB2312" w:eastAsia="仿宋_GB2312" w:cs="仿宋_GB2312"/>
          <w:sz w:val="32"/>
          <w:szCs w:val="32"/>
          <w:lang w:val="en-US" w:eastAsia="zh-CN"/>
        </w:rPr>
        <w:t>〔2018〕31号</w:t>
      </w:r>
      <w:r>
        <w:rPr>
          <w:rFonts w:hint="eastAsia" w:ascii="仿宋_GB2312" w:hAnsi="仿宋_GB2312" w:eastAsia="仿宋_GB2312" w:cs="仿宋_GB2312"/>
          <w:kern w:val="2"/>
          <w:sz w:val="32"/>
          <w:szCs w:val="32"/>
          <w:lang w:val="en-US" w:eastAsia="zh-CN" w:bidi="zh-CN"/>
        </w:rPr>
        <w:t>）</w:t>
      </w:r>
      <w:r>
        <w:rPr>
          <w:rFonts w:hint="eastAsia" w:ascii="仿宋_GB2312" w:eastAsia="仿宋_GB2312"/>
          <w:sz w:val="32"/>
          <w:szCs w:val="32"/>
          <w:lang w:val="en-US" w:eastAsia="zh-CN"/>
        </w:rPr>
        <w:t>；</w:t>
      </w:r>
    </w:p>
    <w:p>
      <w:pPr>
        <w:pStyle w:val="17"/>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left="0" w:leftChars="0" w:firstLine="640" w:firstLineChars="200"/>
        <w:jc w:val="both"/>
        <w:textAlignment w:val="auto"/>
        <w:rPr>
          <w:rFonts w:ascii="仿宋_GB2312" w:eastAsia="仿宋_GB2312"/>
          <w:kern w:val="2"/>
          <w:sz w:val="32"/>
          <w:szCs w:val="32"/>
        </w:rPr>
      </w:pPr>
      <w:r>
        <w:rPr>
          <w:rFonts w:hint="eastAsia" w:ascii="仿宋_GB2312" w:eastAsia="仿宋_GB2312"/>
          <w:kern w:val="2"/>
          <w:sz w:val="32"/>
          <w:szCs w:val="32"/>
          <w:lang w:val="en-US" w:eastAsia="zh-CN"/>
        </w:rPr>
        <w:t>10.建设工程</w:t>
      </w:r>
      <w:r>
        <w:rPr>
          <w:rFonts w:hint="eastAsia" w:ascii="仿宋_GB2312" w:eastAsia="仿宋_GB2312"/>
          <w:kern w:val="2"/>
          <w:sz w:val="32"/>
          <w:szCs w:val="32"/>
        </w:rPr>
        <w:t>项目相关的</w:t>
      </w:r>
      <w:r>
        <w:rPr>
          <w:rFonts w:hint="eastAsia" w:ascii="仿宋_GB2312" w:eastAsia="仿宋_GB2312"/>
          <w:kern w:val="2"/>
          <w:sz w:val="32"/>
          <w:szCs w:val="32"/>
          <w:lang w:val="en-US" w:eastAsia="zh-CN"/>
        </w:rPr>
        <w:t>实施方案、</w:t>
      </w:r>
      <w:r>
        <w:rPr>
          <w:rFonts w:hint="eastAsia" w:ascii="仿宋_GB2312" w:eastAsia="仿宋_GB2312"/>
          <w:kern w:val="2"/>
          <w:sz w:val="32"/>
          <w:szCs w:val="32"/>
        </w:rPr>
        <w:t>预算批复和执行文件、相关合同、工作总结、审计报告等；</w:t>
      </w:r>
    </w:p>
    <w:p>
      <w:pPr>
        <w:pStyle w:val="7"/>
        <w:pageBreakBefore w:val="0"/>
        <w:widowControl w:val="0"/>
        <w:kinsoku/>
        <w:wordWrap/>
        <w:overflowPunct/>
        <w:topLinePunct w:val="0"/>
        <w:bidi w:val="0"/>
        <w:adjustRightInd/>
        <w:spacing w:before="0" w:line="580" w:lineRule="exact"/>
        <w:ind w:left="0" w:firstLine="640" w:firstLineChars="200"/>
        <w:jc w:val="both"/>
        <w:textAlignment w:val="auto"/>
        <w:rPr>
          <w:rFonts w:hAnsi="仿宋" w:cstheme="minorBidi"/>
          <w:kern w:val="2"/>
          <w:lang w:val="en-US" w:bidi="ar-SA"/>
        </w:rPr>
      </w:pPr>
      <w:r>
        <w:rPr>
          <w:rFonts w:hint="eastAsia"/>
          <w:kern w:val="2"/>
          <w:sz w:val="32"/>
          <w:szCs w:val="32"/>
          <w:lang w:val="en-US" w:eastAsia="zh-CN"/>
        </w:rPr>
        <w:t>11.</w:t>
      </w:r>
      <w:r>
        <w:rPr>
          <w:rFonts w:hint="eastAsia" w:hAnsi="仿宋" w:cstheme="minorBidi"/>
          <w:kern w:val="2"/>
          <w:lang w:val="en-US" w:bidi="ar-SA"/>
        </w:rPr>
        <w:t>立项材料、年度实施方案、年度绩效目标、政府采购相关资料、项目管理制度、考核监管制度、年度工作计划、年度项目进展情况及相关证明资料、绩效报告、项目资金管理使用情况以及会计账簿、财务报表、会计凭证等；</w:t>
      </w:r>
    </w:p>
    <w:p>
      <w:pPr>
        <w:pStyle w:val="7"/>
        <w:pageBreakBefore w:val="0"/>
        <w:widowControl w:val="0"/>
        <w:kinsoku/>
        <w:wordWrap/>
        <w:overflowPunct/>
        <w:topLinePunct w:val="0"/>
        <w:bidi w:val="0"/>
        <w:adjustRightInd/>
        <w:spacing w:before="0" w:line="580" w:lineRule="exact"/>
        <w:ind w:left="0" w:firstLine="640" w:firstLineChars="200"/>
        <w:jc w:val="both"/>
        <w:textAlignment w:val="auto"/>
        <w:rPr>
          <w:rFonts w:hint="eastAsia" w:ascii="仿宋_GB2312" w:eastAsia="仿宋_GB2312"/>
          <w:kern w:val="2"/>
          <w:sz w:val="32"/>
          <w:szCs w:val="32"/>
        </w:rPr>
      </w:pPr>
      <w:r>
        <w:rPr>
          <w:rFonts w:hint="eastAsia" w:hAnsi="仿宋" w:cstheme="minorBidi"/>
          <w:kern w:val="2"/>
          <w:lang w:val="en-US" w:bidi="ar-SA"/>
        </w:rPr>
        <w:t>1</w:t>
      </w:r>
      <w:r>
        <w:rPr>
          <w:rFonts w:hint="eastAsia" w:hAnsi="仿宋" w:cstheme="minorBidi"/>
          <w:kern w:val="2"/>
          <w:lang w:val="en-US" w:eastAsia="zh-CN" w:bidi="ar-SA"/>
        </w:rPr>
        <w:t>2</w:t>
      </w:r>
      <w:r>
        <w:rPr>
          <w:rFonts w:hint="eastAsia" w:hAnsi="仿宋" w:cstheme="minorBidi"/>
          <w:kern w:val="2"/>
          <w:lang w:val="en-US" w:bidi="ar-SA"/>
        </w:rPr>
        <w:t>.其他资料。</w:t>
      </w:r>
    </w:p>
    <w:p>
      <w:pPr>
        <w:pStyle w:val="4"/>
        <w:keepNext/>
        <w:keepLines/>
        <w:pageBreakBefore w:val="0"/>
        <w:widowControl/>
        <w:kinsoku/>
        <w:wordWrap/>
        <w:overflowPunct w:val="0"/>
        <w:topLinePunct w:val="0"/>
        <w:bidi w:val="0"/>
        <w:adjustRightInd w:val="0"/>
        <w:spacing w:beforeAutospacing="0" w:afterAutospacing="0" w:line="580" w:lineRule="exact"/>
        <w:ind w:left="0" w:leftChars="0" w:firstLine="640" w:firstLineChars="200"/>
        <w:jc w:val="both"/>
        <w:textAlignment w:val="baseline"/>
        <w:rPr>
          <w:rFonts w:hint="eastAsia" w:ascii="楷体_GB2312" w:hAnsi="楷体_GB2312" w:eastAsia="楷体_GB2312" w:cs="楷体_GB2312"/>
          <w:color w:val="000000"/>
          <w:sz w:val="32"/>
          <w:szCs w:val="32"/>
          <w:highlight w:val="yellow"/>
        </w:rPr>
      </w:pPr>
      <w:r>
        <w:rPr>
          <w:rFonts w:hint="eastAsia" w:ascii="楷体_GB2312" w:hAnsi="楷体_GB2312" w:eastAsia="楷体_GB2312" w:cs="楷体_GB2312"/>
          <w:sz w:val="32"/>
          <w:szCs w:val="32"/>
          <w:highlight w:val="none"/>
        </w:rPr>
        <w:t>（三）</w:t>
      </w:r>
      <w:r>
        <w:rPr>
          <w:rFonts w:hint="eastAsia" w:ascii="楷体_GB2312" w:hAnsi="楷体_GB2312" w:eastAsia="楷体_GB2312" w:cs="楷体_GB2312"/>
          <w:bCs/>
          <w:sz w:val="32"/>
          <w:szCs w:val="32"/>
          <w:highlight w:val="none"/>
          <w:lang w:val="en-US" w:bidi="ar-SA"/>
        </w:rPr>
        <w:t>评价对象和范围</w:t>
      </w:r>
      <w:bookmarkEnd w:id="25"/>
    </w:p>
    <w:p>
      <w:pPr>
        <w:pageBreakBefore w:val="0"/>
        <w:kinsoku/>
        <w:wordWrap/>
        <w:topLinePunct w:val="0"/>
        <w:bidi w:val="0"/>
        <w:snapToGrid w:val="0"/>
        <w:spacing w:beforeAutospacing="0" w:afterAutospacing="0" w:line="580" w:lineRule="exact"/>
        <w:ind w:left="0" w:leftChars="0" w:firstLine="640" w:firstLineChars="200"/>
        <w:jc w:val="both"/>
        <w:rPr>
          <w:rFonts w:hint="eastAsia" w:ascii="仿宋_GB2312" w:hAnsi="仿宋" w:eastAsia="仿宋_GB2312" w:cs="Arial"/>
          <w:sz w:val="32"/>
          <w:szCs w:val="32"/>
          <w:lang w:val="en-US" w:eastAsia="zh-CN"/>
        </w:rPr>
      </w:pPr>
      <w:r>
        <w:rPr>
          <w:rFonts w:hint="eastAsia" w:ascii="仿宋_GB2312" w:eastAsia="仿宋_GB2312" w:cs="仿宋_GB2312"/>
          <w:sz w:val="32"/>
          <w:szCs w:val="32"/>
        </w:rPr>
        <w:t>1.评价对象：2018年度山亭区“四好农村路”李东线李庄至西崮城段改建工程项目</w:t>
      </w:r>
      <w:r>
        <w:rPr>
          <w:rFonts w:hint="eastAsia" w:ascii="仿宋_GB2312" w:eastAsia="仿宋_GB2312" w:cs="仿宋_GB2312"/>
          <w:sz w:val="32"/>
          <w:szCs w:val="32"/>
          <w:lang w:eastAsia="zh-CN"/>
        </w:rPr>
        <w:t>。</w:t>
      </w:r>
    </w:p>
    <w:p>
      <w:pPr>
        <w:pStyle w:val="2"/>
        <w:pageBreakBefore w:val="0"/>
        <w:kinsoku/>
        <w:wordWrap/>
        <w:topLinePunct w:val="0"/>
        <w:bidi w:val="0"/>
        <w:snapToGrid w:val="0"/>
        <w:spacing w:beforeAutospacing="0" w:afterAutospacing="0" w:line="580" w:lineRule="exact"/>
        <w:ind w:left="0" w:leftChars="0" w:firstLine="640" w:firstLineChars="200"/>
        <w:jc w:val="both"/>
        <w:rPr>
          <w:rFonts w:hint="eastAsia" w:ascii="仿宋_GB2312" w:hAnsi="仿宋" w:eastAsia="仿宋_GB2312" w:cs="Arial"/>
          <w:sz w:val="32"/>
          <w:szCs w:val="32"/>
          <w:highlight w:val="none"/>
        </w:rPr>
      </w:pPr>
      <w:r>
        <w:rPr>
          <w:rFonts w:hint="eastAsia" w:ascii="仿宋_GB2312" w:hAnsi="仿宋" w:eastAsia="仿宋_GB2312" w:cs="Arial"/>
          <w:sz w:val="32"/>
          <w:szCs w:val="32"/>
          <w:highlight w:val="none"/>
        </w:rPr>
        <w:t>2.评价资金</w:t>
      </w:r>
      <w:r>
        <w:rPr>
          <w:rFonts w:hint="eastAsia" w:ascii="仿宋_GB2312" w:hAnsi="仿宋" w:eastAsia="仿宋_GB2312" w:cs="Arial"/>
          <w:sz w:val="32"/>
          <w:szCs w:val="32"/>
          <w:highlight w:val="none"/>
          <w:lang w:val="en-US" w:eastAsia="zh-CN"/>
        </w:rPr>
        <w:t>范围</w:t>
      </w:r>
      <w:r>
        <w:rPr>
          <w:rFonts w:hint="eastAsia" w:ascii="仿宋_GB2312" w:hAnsi="仿宋" w:eastAsia="仿宋_GB2312" w:cs="Arial"/>
          <w:sz w:val="32"/>
          <w:szCs w:val="32"/>
          <w:highlight w:val="none"/>
        </w:rPr>
        <w:t>：</w:t>
      </w:r>
      <w:r>
        <w:rPr>
          <w:rFonts w:hint="eastAsia" w:ascii="仿宋_GB2312" w:hAnsi="仿宋" w:eastAsia="仿宋_GB2312" w:cs="Arial"/>
          <w:sz w:val="32"/>
          <w:szCs w:val="32"/>
          <w:highlight w:val="none"/>
          <w:lang w:val="en-US" w:eastAsia="zh-CN"/>
        </w:rPr>
        <w:t>2018年度财政</w:t>
      </w:r>
      <w:r>
        <w:rPr>
          <w:rFonts w:ascii="仿宋_GB2312" w:eastAsia="仿宋_GB2312" w:cs="仿宋_GB2312"/>
          <w:sz w:val="32"/>
          <w:szCs w:val="32"/>
          <w:highlight w:val="none"/>
        </w:rPr>
        <w:t>资金</w:t>
      </w:r>
      <w:r>
        <w:rPr>
          <w:rFonts w:hint="eastAsia" w:ascii="仿宋_GB2312" w:eastAsia="仿宋_GB2312" w:cs="仿宋_GB2312"/>
          <w:sz w:val="32"/>
          <w:szCs w:val="32"/>
          <w:highlight w:val="none"/>
          <w:lang w:val="en-US" w:eastAsia="zh-CN"/>
        </w:rPr>
        <w:t>2266.33</w:t>
      </w:r>
      <w:r>
        <w:rPr>
          <w:rFonts w:hint="eastAsia" w:ascii="仿宋_GB2312" w:hAnsi="仿宋" w:eastAsia="仿宋_GB2312" w:cs="Arial"/>
          <w:sz w:val="32"/>
          <w:szCs w:val="32"/>
          <w:highlight w:val="none"/>
        </w:rPr>
        <w:t>万元。</w:t>
      </w:r>
    </w:p>
    <w:p>
      <w:pPr>
        <w:pStyle w:val="2"/>
        <w:pageBreakBefore w:val="0"/>
        <w:kinsoku/>
        <w:wordWrap/>
        <w:topLinePunct w:val="0"/>
        <w:bidi w:val="0"/>
        <w:snapToGrid w:val="0"/>
        <w:spacing w:beforeAutospacing="0" w:afterAutospacing="0" w:line="580" w:lineRule="exact"/>
        <w:ind w:left="0" w:leftChars="0" w:firstLine="640" w:firstLineChars="200"/>
        <w:jc w:val="both"/>
        <w:rPr>
          <w:rFonts w:hint="default" w:ascii="仿宋_GB2312" w:hAnsi="仿宋" w:eastAsia="仿宋_GB2312" w:cs="Arial"/>
          <w:sz w:val="32"/>
          <w:szCs w:val="32"/>
          <w:highlight w:val="none"/>
          <w:lang w:val="en-US" w:eastAsia="zh-CN"/>
        </w:rPr>
      </w:pPr>
      <w:r>
        <w:rPr>
          <w:rFonts w:hint="eastAsia" w:ascii="仿宋_GB2312" w:hAnsi="仿宋" w:eastAsia="仿宋_GB2312" w:cs="Arial"/>
          <w:sz w:val="32"/>
          <w:szCs w:val="32"/>
          <w:highlight w:val="none"/>
          <w:lang w:val="en-US" w:eastAsia="zh-CN"/>
        </w:rPr>
        <w:t>3.评价时间：2018年1月1日--2020年8月31日</w:t>
      </w:r>
    </w:p>
    <w:p>
      <w:pPr>
        <w:pageBreakBefore w:val="0"/>
        <w:kinsoku/>
        <w:wordWrap/>
        <w:topLinePunct w:val="0"/>
        <w:bidi w:val="0"/>
        <w:snapToGrid w:val="0"/>
        <w:spacing w:beforeAutospacing="0" w:afterAutospacing="0" w:line="580" w:lineRule="exact"/>
        <w:ind w:left="0" w:leftChars="0" w:firstLine="640" w:firstLineChars="200"/>
        <w:jc w:val="both"/>
        <w:rPr>
          <w:rFonts w:ascii="仿宋_GB2312" w:eastAsia="仿宋_GB2312"/>
          <w:sz w:val="32"/>
          <w:szCs w:val="32"/>
        </w:rPr>
      </w:pPr>
      <w:r>
        <w:rPr>
          <w:rFonts w:hint="eastAsia" w:ascii="仿宋_GB2312" w:eastAsia="仿宋_GB2312" w:cs="仿宋_GB2312"/>
          <w:sz w:val="32"/>
          <w:szCs w:val="32"/>
          <w:highlight w:val="none"/>
          <w:lang w:val="en-US" w:eastAsia="zh-CN"/>
        </w:rPr>
        <w:t>4</w:t>
      </w:r>
      <w:r>
        <w:rPr>
          <w:rFonts w:hint="eastAsia" w:ascii="仿宋_GB2312" w:eastAsia="仿宋_GB2312"/>
          <w:sz w:val="32"/>
          <w:szCs w:val="32"/>
          <w:highlight w:val="none"/>
        </w:rPr>
        <w:t>.评价的主要内容：</w:t>
      </w:r>
      <w:r>
        <w:rPr>
          <w:rFonts w:hint="eastAsia" w:ascii="仿宋_GB2312" w:eastAsia="仿宋_GB2312"/>
          <w:sz w:val="32"/>
          <w:szCs w:val="32"/>
          <w:highlight w:val="none"/>
          <w:lang w:val="en-US" w:eastAsia="zh-CN"/>
        </w:rPr>
        <w:t>项目决策</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过程</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产出</w:t>
      </w:r>
      <w:r>
        <w:rPr>
          <w:rFonts w:hint="eastAsia" w:ascii="仿宋_GB2312" w:eastAsia="仿宋_GB2312"/>
          <w:sz w:val="32"/>
          <w:szCs w:val="32"/>
          <w:highlight w:val="none"/>
        </w:rPr>
        <w:t>和效果等</w:t>
      </w:r>
      <w:r>
        <w:rPr>
          <w:rFonts w:hint="eastAsia" w:ascii="仿宋_GB2312" w:eastAsia="仿宋_GB2312"/>
          <w:sz w:val="32"/>
          <w:szCs w:val="32"/>
        </w:rPr>
        <w:t>四个方面。</w:t>
      </w:r>
    </w:p>
    <w:p>
      <w:pPr>
        <w:pStyle w:val="4"/>
        <w:keepNext/>
        <w:keepLines/>
        <w:pageBreakBefore w:val="0"/>
        <w:widowControl/>
        <w:kinsoku/>
        <w:wordWrap/>
        <w:overflowPunct w:val="0"/>
        <w:topLinePunct w:val="0"/>
        <w:bidi w:val="0"/>
        <w:adjustRightInd w:val="0"/>
        <w:spacing w:beforeAutospacing="0" w:afterAutospacing="0" w:line="580" w:lineRule="exact"/>
        <w:ind w:left="0" w:leftChars="0" w:firstLine="640" w:firstLineChars="200"/>
        <w:jc w:val="both"/>
        <w:textAlignment w:val="baseline"/>
        <w:rPr>
          <w:rFonts w:hint="eastAsia" w:ascii="楷体_GB2312" w:hAnsi="楷体_GB2312" w:eastAsia="楷体_GB2312" w:cs="楷体_GB2312"/>
          <w:bCs/>
          <w:sz w:val="32"/>
          <w:szCs w:val="32"/>
          <w:lang w:val="en-US" w:bidi="ar-SA"/>
        </w:rPr>
      </w:pPr>
      <w:bookmarkStart w:id="26" w:name="_Toc29847"/>
      <w:r>
        <w:rPr>
          <w:rFonts w:hint="eastAsia" w:ascii="楷体_GB2312" w:hAnsi="楷体_GB2312" w:eastAsia="楷体_GB2312" w:cs="楷体_GB2312"/>
          <w:bCs/>
          <w:sz w:val="32"/>
          <w:szCs w:val="32"/>
          <w:lang w:val="en-US" w:bidi="ar-SA"/>
        </w:rPr>
        <w:t>（</w:t>
      </w:r>
      <w:r>
        <w:rPr>
          <w:rFonts w:hint="eastAsia" w:ascii="楷体_GB2312" w:hAnsi="楷体_GB2312" w:eastAsia="楷体_GB2312" w:cs="楷体_GB2312"/>
          <w:bCs/>
          <w:sz w:val="32"/>
          <w:szCs w:val="32"/>
          <w:lang w:val="en-US" w:eastAsia="zh-CN" w:bidi="ar-SA"/>
        </w:rPr>
        <w:t>四</w:t>
      </w:r>
      <w:r>
        <w:rPr>
          <w:rFonts w:hint="eastAsia" w:ascii="楷体_GB2312" w:hAnsi="楷体_GB2312" w:eastAsia="楷体_GB2312" w:cs="楷体_GB2312"/>
          <w:bCs/>
          <w:sz w:val="32"/>
          <w:szCs w:val="32"/>
          <w:lang w:val="en-US" w:bidi="ar-SA"/>
        </w:rPr>
        <w:t>）评价原则和方法</w:t>
      </w:r>
      <w:bookmarkEnd w:id="26"/>
    </w:p>
    <w:p>
      <w:pPr>
        <w:pStyle w:val="29"/>
        <w:pageBreakBefore w:val="0"/>
        <w:kinsoku/>
        <w:wordWrap/>
        <w:topLinePunct w:val="0"/>
        <w:bidi w:val="0"/>
        <w:adjustRightInd w:val="0"/>
        <w:snapToGrid w:val="0"/>
        <w:spacing w:beforeAutospacing="0" w:afterAutospacing="0" w:line="580" w:lineRule="exact"/>
        <w:ind w:left="0" w:leftChars="0" w:firstLine="640" w:firstLineChars="200"/>
        <w:jc w:val="both"/>
        <w:rPr>
          <w:rFonts w:ascii="仿宋_GB2312" w:eastAsia="仿宋_GB2312"/>
          <w:sz w:val="32"/>
          <w:szCs w:val="32"/>
        </w:rPr>
      </w:pPr>
      <w:r>
        <w:rPr>
          <w:rFonts w:hint="eastAsia" w:ascii="仿宋_GB2312" w:eastAsia="仿宋_GB2312"/>
          <w:sz w:val="32"/>
          <w:szCs w:val="32"/>
        </w:rPr>
        <w:t>1.评价原则</w:t>
      </w:r>
    </w:p>
    <w:p>
      <w:pPr>
        <w:pStyle w:val="29"/>
        <w:pageBreakBefore w:val="0"/>
        <w:kinsoku/>
        <w:wordWrap/>
        <w:topLinePunct w:val="0"/>
        <w:bidi w:val="0"/>
        <w:adjustRightInd w:val="0"/>
        <w:snapToGrid w:val="0"/>
        <w:spacing w:beforeAutospacing="0" w:afterAutospacing="0" w:line="580" w:lineRule="exact"/>
        <w:ind w:left="0" w:leftChars="0" w:firstLine="640" w:firstLineChars="200"/>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bookmarkStart w:id="27" w:name="_Hlk41786037"/>
      <w:r>
        <w:rPr>
          <w:rFonts w:ascii="仿宋_GB2312" w:eastAsia="仿宋_GB2312"/>
          <w:sz w:val="32"/>
          <w:szCs w:val="32"/>
        </w:rPr>
        <w:t>科学</w:t>
      </w:r>
      <w:r>
        <w:rPr>
          <w:rFonts w:hint="eastAsia" w:ascii="仿宋_GB2312" w:eastAsia="仿宋_GB2312"/>
          <w:sz w:val="32"/>
          <w:szCs w:val="32"/>
        </w:rPr>
        <w:t>公正</w:t>
      </w:r>
      <w:r>
        <w:rPr>
          <w:rFonts w:ascii="仿宋_GB2312" w:eastAsia="仿宋_GB2312"/>
          <w:sz w:val="32"/>
          <w:szCs w:val="32"/>
        </w:rPr>
        <w:t>原则。</w:t>
      </w:r>
      <w:r>
        <w:rPr>
          <w:rFonts w:hint="eastAsia" w:ascii="仿宋_GB2312" w:eastAsia="仿宋_GB2312"/>
          <w:sz w:val="32"/>
          <w:szCs w:val="32"/>
        </w:rPr>
        <w:t>运用科学合理的方法，按照规范的程序，对项目绩效进行客观、公正的反映。</w:t>
      </w:r>
      <w:bookmarkEnd w:id="27"/>
    </w:p>
    <w:p>
      <w:pPr>
        <w:pStyle w:val="29"/>
        <w:pageBreakBefore w:val="0"/>
        <w:kinsoku/>
        <w:wordWrap/>
        <w:topLinePunct w:val="0"/>
        <w:bidi w:val="0"/>
        <w:adjustRightInd w:val="0"/>
        <w:snapToGrid w:val="0"/>
        <w:spacing w:beforeAutospacing="0" w:afterAutospacing="0" w:line="580" w:lineRule="exact"/>
        <w:ind w:left="0" w:leftChars="0" w:firstLine="640" w:firstLineChars="200"/>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2）绩效相关原则。针对具体支出及其产出绩效进行评价，评价结果清晰反映支出和产出绩效之间的紧密对应关系。</w:t>
      </w:r>
    </w:p>
    <w:p>
      <w:pPr>
        <w:pStyle w:val="29"/>
        <w:pageBreakBefore w:val="0"/>
        <w:kinsoku/>
        <w:wordWrap/>
        <w:topLinePunct w:val="0"/>
        <w:bidi w:val="0"/>
        <w:adjustRightInd w:val="0"/>
        <w:snapToGrid w:val="0"/>
        <w:spacing w:beforeAutospacing="0" w:afterAutospacing="0" w:line="580" w:lineRule="exact"/>
        <w:ind w:left="0" w:leftChars="0" w:firstLine="640" w:firstLineChars="200"/>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3）政策相符原则。制定评价工作方案、现场评价表格及项目评价实施工作均应严格执行有关政策和管理规定。</w:t>
      </w:r>
    </w:p>
    <w:p>
      <w:pPr>
        <w:pStyle w:val="29"/>
        <w:pageBreakBefore w:val="0"/>
        <w:kinsoku/>
        <w:wordWrap/>
        <w:topLinePunct w:val="0"/>
        <w:bidi w:val="0"/>
        <w:adjustRightInd w:val="0"/>
        <w:snapToGrid w:val="0"/>
        <w:spacing w:beforeAutospacing="0" w:afterAutospacing="0" w:line="580" w:lineRule="exact"/>
        <w:ind w:left="0" w:leftChars="0" w:firstLine="640" w:firstLineChars="200"/>
        <w:jc w:val="both"/>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4）依据充分原则。绩效评价所涉及的绩效报告</w:t>
      </w:r>
      <w:r>
        <w:rPr>
          <w:rFonts w:hint="eastAsia" w:ascii="仿宋_GB2312" w:eastAsia="仿宋_GB2312"/>
          <w:sz w:val="32"/>
          <w:szCs w:val="32"/>
          <w:lang w:eastAsia="zh-CN"/>
        </w:rPr>
        <w:t>、</w:t>
      </w:r>
      <w:r>
        <w:rPr>
          <w:rFonts w:ascii="仿宋_GB2312" w:eastAsia="仿宋_GB2312"/>
          <w:sz w:val="32"/>
          <w:szCs w:val="32"/>
        </w:rPr>
        <w:t>法律政策文件</w:t>
      </w:r>
      <w:r>
        <w:rPr>
          <w:rFonts w:hint="eastAsia" w:ascii="仿宋_GB2312" w:eastAsia="仿宋_GB2312"/>
          <w:sz w:val="32"/>
          <w:szCs w:val="32"/>
          <w:lang w:eastAsia="zh-CN"/>
        </w:rPr>
        <w:t>、</w:t>
      </w:r>
      <w:r>
        <w:rPr>
          <w:rFonts w:ascii="仿宋_GB2312" w:eastAsia="仿宋_GB2312"/>
          <w:sz w:val="32"/>
          <w:szCs w:val="32"/>
        </w:rPr>
        <w:t>项目计划及资金的确定与调整，项目验收与项目成果等都应依据充分。评价机构以正式程序得到的资料和信息为评价的依据，非正式程序所提交的资料仅供参考。</w:t>
      </w:r>
    </w:p>
    <w:p>
      <w:pPr>
        <w:pStyle w:val="29"/>
        <w:pageBreakBefore w:val="0"/>
        <w:kinsoku/>
        <w:wordWrap/>
        <w:topLinePunct w:val="0"/>
        <w:bidi w:val="0"/>
        <w:adjustRightInd w:val="0"/>
        <w:snapToGrid w:val="0"/>
        <w:spacing w:beforeAutospacing="0" w:afterAutospacing="0" w:line="580" w:lineRule="exact"/>
        <w:ind w:left="0" w:leftChars="0" w:firstLine="640" w:firstLineChars="200"/>
        <w:jc w:val="both"/>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5</w:t>
      </w:r>
      <w:r>
        <w:rPr>
          <w:rFonts w:ascii="仿宋_GB2312" w:eastAsia="仿宋_GB2312"/>
          <w:sz w:val="32"/>
          <w:szCs w:val="32"/>
        </w:rPr>
        <w:t>）独立评价原则。以第三方的身份独立开展评价活动，不受任何机构和个人的干预和影响，独立做出评价结论。</w:t>
      </w:r>
    </w:p>
    <w:p>
      <w:pPr>
        <w:pStyle w:val="29"/>
        <w:pageBreakBefore w:val="0"/>
        <w:kinsoku/>
        <w:wordWrap/>
        <w:topLinePunct w:val="0"/>
        <w:bidi w:val="0"/>
        <w:adjustRightInd w:val="0"/>
        <w:snapToGrid w:val="0"/>
        <w:spacing w:beforeAutospacing="0" w:afterAutospacing="0" w:line="580" w:lineRule="exact"/>
        <w:ind w:left="0" w:leftChars="0" w:firstLine="640" w:firstLineChars="200"/>
        <w:jc w:val="both"/>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6</w:t>
      </w:r>
      <w:r>
        <w:rPr>
          <w:rFonts w:ascii="仿宋_GB2312" w:eastAsia="仿宋_GB2312"/>
          <w:sz w:val="32"/>
          <w:szCs w:val="32"/>
        </w:rPr>
        <w:t>）回避原则。评价工作人员和评价专家不得与项目承担单位有任何利害关系，确保评价结论的客观公正。</w:t>
      </w:r>
    </w:p>
    <w:p>
      <w:pPr>
        <w:pStyle w:val="29"/>
        <w:pageBreakBefore w:val="0"/>
        <w:kinsoku/>
        <w:wordWrap/>
        <w:topLinePunct w:val="0"/>
        <w:bidi w:val="0"/>
        <w:adjustRightInd w:val="0"/>
        <w:snapToGrid w:val="0"/>
        <w:spacing w:beforeAutospacing="0" w:afterAutospacing="0" w:line="580" w:lineRule="exact"/>
        <w:ind w:left="0" w:leftChars="0" w:firstLine="640" w:firstLineChars="200"/>
        <w:jc w:val="both"/>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7</w:t>
      </w:r>
      <w:r>
        <w:rPr>
          <w:rFonts w:ascii="仿宋_GB2312" w:eastAsia="仿宋_GB2312"/>
          <w:sz w:val="32"/>
          <w:szCs w:val="32"/>
        </w:rPr>
        <w:t>）反馈原则。将评价的结果反馈给委托部门，作为有关部门以后年度安排项目预算、加强项目管理等工作的重要依据。</w:t>
      </w:r>
    </w:p>
    <w:p>
      <w:pPr>
        <w:pStyle w:val="29"/>
        <w:pageBreakBefore w:val="0"/>
        <w:kinsoku/>
        <w:wordWrap/>
        <w:topLinePunct w:val="0"/>
        <w:bidi w:val="0"/>
        <w:adjustRightInd w:val="0"/>
        <w:snapToGrid w:val="0"/>
        <w:spacing w:beforeAutospacing="0" w:afterAutospacing="0" w:line="580" w:lineRule="exact"/>
        <w:ind w:left="0" w:leftChars="0" w:firstLine="640" w:firstLineChars="200"/>
        <w:jc w:val="both"/>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8</w:t>
      </w:r>
      <w:r>
        <w:rPr>
          <w:rFonts w:ascii="仿宋_GB2312" w:eastAsia="仿宋_GB2312"/>
          <w:sz w:val="32"/>
          <w:szCs w:val="32"/>
        </w:rPr>
        <w:t>）保密原则。评价工作人员和评价专家，对与项目评价有关的所有信息资料负有保密义务，未经允许，不得散布。</w:t>
      </w:r>
    </w:p>
    <w:p>
      <w:pPr>
        <w:pageBreakBefore w:val="0"/>
        <w:kinsoku/>
        <w:wordWrap/>
        <w:topLinePunct w:val="0"/>
        <w:bidi w:val="0"/>
        <w:spacing w:beforeAutospacing="0" w:afterAutospacing="0" w:line="580" w:lineRule="exact"/>
        <w:ind w:left="0" w:leftChars="0" w:firstLine="640" w:firstLineChars="200"/>
        <w:jc w:val="both"/>
        <w:rPr>
          <w:rFonts w:ascii="仿宋_GB2312" w:eastAsia="仿宋_GB2312"/>
          <w:color w:val="000000"/>
          <w:sz w:val="32"/>
          <w:szCs w:val="32"/>
        </w:rPr>
      </w:pPr>
      <w:r>
        <w:rPr>
          <w:rFonts w:hint="eastAsia" w:ascii="仿宋_GB2312" w:eastAsia="仿宋_GB2312"/>
          <w:color w:val="000000"/>
          <w:sz w:val="32"/>
          <w:szCs w:val="32"/>
        </w:rPr>
        <w:t>2.评价方法</w:t>
      </w:r>
    </w:p>
    <w:p>
      <w:pPr>
        <w:pageBreakBefore w:val="0"/>
        <w:numPr>
          <w:ilvl w:val="0"/>
          <w:numId w:val="0"/>
        </w:numPr>
        <w:kinsoku/>
        <w:wordWrap/>
        <w:topLinePunct w:val="0"/>
        <w:bidi w:val="0"/>
        <w:spacing w:beforeAutospacing="0" w:afterAutospacing="0" w:line="580" w:lineRule="exact"/>
        <w:ind w:left="0" w:leftChars="0" w:firstLine="640" w:firstLineChars="200"/>
        <w:jc w:val="both"/>
        <w:outlineLvl w:val="0"/>
        <w:rPr>
          <w:rFonts w:hint="default" w:ascii="仿宋_GB2312" w:hAnsi="Calibri" w:eastAsia="仿宋_GB2312" w:cs="Times New Roman"/>
          <w:kern w:val="0"/>
          <w:sz w:val="32"/>
          <w:szCs w:val="32"/>
          <w:lang w:val="en-US" w:eastAsia="zh-CN" w:bidi="ar-SA"/>
        </w:rPr>
      </w:pPr>
      <w:bookmarkStart w:id="28" w:name="_Toc29181"/>
      <w:bookmarkStart w:id="29" w:name="_Toc19313"/>
      <w:bookmarkStart w:id="30" w:name="_Toc13110"/>
      <w:bookmarkStart w:id="31" w:name="_Toc12338"/>
      <w:bookmarkStart w:id="32" w:name="_Toc17170"/>
      <w:r>
        <w:rPr>
          <w:rFonts w:hint="eastAsia" w:ascii="仿宋_GB2312" w:hAnsi="Calibri" w:eastAsia="仿宋_GB2312" w:cs="Times New Roman"/>
          <w:kern w:val="0"/>
          <w:sz w:val="32"/>
          <w:szCs w:val="32"/>
          <w:lang w:val="en-US" w:eastAsia="zh-CN" w:bidi="ar-SA"/>
        </w:rPr>
        <w:t>（1）</w:t>
      </w:r>
      <w:bookmarkEnd w:id="28"/>
      <w:bookmarkEnd w:id="29"/>
      <w:bookmarkEnd w:id="30"/>
      <w:bookmarkEnd w:id="31"/>
      <w:bookmarkStart w:id="33" w:name="_Toc7640"/>
      <w:bookmarkStart w:id="34" w:name="_Toc2078"/>
      <w:bookmarkStart w:id="35" w:name="_Toc15979"/>
      <w:bookmarkStart w:id="36" w:name="_Toc15879"/>
      <w:r>
        <w:rPr>
          <w:rFonts w:hint="eastAsia" w:ascii="仿宋_GB2312" w:hAnsi="Calibri" w:eastAsia="仿宋_GB2312" w:cs="Times New Roman"/>
          <w:kern w:val="0"/>
          <w:sz w:val="32"/>
          <w:szCs w:val="32"/>
          <w:lang w:val="en-US" w:eastAsia="zh-CN" w:bidi="ar-SA"/>
        </w:rPr>
        <w:t>访谈。与委托方、主管科室、业务主管部门进行访谈，确定本项目关键评价点。与项目实施单位开展访谈，了解项目具体工作开展情况，明确项目实施积极促进作用。</w:t>
      </w:r>
      <w:bookmarkEnd w:id="32"/>
      <w:bookmarkEnd w:id="33"/>
      <w:bookmarkEnd w:id="34"/>
      <w:bookmarkEnd w:id="35"/>
      <w:bookmarkEnd w:id="36"/>
    </w:p>
    <w:p>
      <w:pPr>
        <w:pageBreakBefore w:val="0"/>
        <w:numPr>
          <w:ilvl w:val="0"/>
          <w:numId w:val="0"/>
        </w:numPr>
        <w:kinsoku/>
        <w:wordWrap/>
        <w:topLinePunct w:val="0"/>
        <w:bidi w:val="0"/>
        <w:spacing w:beforeAutospacing="0" w:afterAutospacing="0" w:line="580" w:lineRule="exact"/>
        <w:ind w:left="0" w:leftChars="0" w:firstLine="640" w:firstLineChars="200"/>
        <w:jc w:val="both"/>
        <w:outlineLvl w:val="0"/>
        <w:rPr>
          <w:rFonts w:hint="eastAsia" w:ascii="仿宋_GB2312" w:eastAsia="仿宋_GB2312"/>
          <w:color w:val="auto"/>
          <w:sz w:val="32"/>
          <w:szCs w:val="32"/>
          <w:u w:val="none"/>
          <w:shd w:val="clear" w:color="auto" w:fill="auto"/>
          <w:lang w:val="en-US" w:eastAsia="zh-CN"/>
        </w:rPr>
      </w:pPr>
      <w:bookmarkStart w:id="37" w:name="_Toc8927"/>
      <w:bookmarkStart w:id="38" w:name="_Toc27524"/>
      <w:bookmarkStart w:id="39" w:name="_Toc29873"/>
      <w:bookmarkStart w:id="40" w:name="_Toc7970"/>
      <w:bookmarkStart w:id="41" w:name="_Toc10535"/>
      <w:r>
        <w:rPr>
          <w:rFonts w:hint="eastAsia" w:ascii="仿宋_GB2312" w:hAnsi="Calibri" w:eastAsia="仿宋_GB2312" w:cs="Times New Roman"/>
          <w:kern w:val="0"/>
          <w:sz w:val="32"/>
          <w:szCs w:val="32"/>
          <w:lang w:val="en-US" w:eastAsia="zh-CN" w:bidi="ar-SA"/>
        </w:rPr>
        <w:t>（2）现场调研。为保证绩效评价数据的完整性，此次评价将对本项目进行实地核查，一方面对项目的档案资料进行现场核查和问询，保证原始数据的真实性；另一方面对山亭区“四好农村路”李东线李庄至西崮城段改建工程进行实地勘察，进一步核实本项目的规范程度和完成质量，确保评价结果的客观性。</w:t>
      </w:r>
      <w:bookmarkEnd w:id="37"/>
      <w:bookmarkEnd w:id="38"/>
      <w:bookmarkEnd w:id="39"/>
      <w:bookmarkEnd w:id="40"/>
      <w:bookmarkEnd w:id="41"/>
    </w:p>
    <w:p>
      <w:pPr>
        <w:pageBreakBefore w:val="0"/>
        <w:kinsoku/>
        <w:wordWrap/>
        <w:topLinePunct w:val="0"/>
        <w:bidi w:val="0"/>
        <w:spacing w:beforeAutospacing="0" w:afterAutospacing="0" w:line="580" w:lineRule="exact"/>
        <w:ind w:left="0" w:leftChars="0" w:firstLine="420" w:firstLineChars="200"/>
        <w:jc w:val="both"/>
        <w:rPr>
          <w:rFonts w:hint="default" w:ascii="仿宋_GB2312" w:hAnsi="Calibri" w:eastAsia="仿宋_GB2312" w:cs="Times New Roman"/>
          <w:kern w:val="0"/>
          <w:sz w:val="32"/>
          <w:szCs w:val="32"/>
          <w:lang w:val="en-US" w:eastAsia="zh-CN" w:bidi="ar-SA"/>
        </w:rPr>
      </w:pPr>
      <w:r>
        <w:rPr>
          <w:rFonts w:hint="eastAsia"/>
          <w:lang w:val="en-US" w:eastAsia="zh-CN"/>
        </w:rPr>
        <w:t xml:space="preserve">  </w:t>
      </w:r>
      <w:r>
        <w:rPr>
          <w:rFonts w:hint="eastAsia" w:ascii="仿宋_GB2312" w:eastAsia="仿宋_GB2312"/>
          <w:sz w:val="32"/>
          <w:szCs w:val="32"/>
        </w:rPr>
        <w:t>（</w:t>
      </w:r>
      <w:r>
        <w:rPr>
          <w:rFonts w:hint="eastAsia" w:ascii="仿宋_GB2312" w:eastAsia="仿宋_GB2312"/>
          <w:sz w:val="32"/>
          <w:szCs w:val="32"/>
          <w:lang w:val="en-US" w:eastAsia="zh-CN"/>
        </w:rPr>
        <w:t>3</w:t>
      </w:r>
      <w:r>
        <w:rPr>
          <w:rFonts w:hint="eastAsia" w:ascii="仿宋_GB2312" w:eastAsia="仿宋_GB2312"/>
          <w:sz w:val="32"/>
          <w:szCs w:val="32"/>
        </w:rPr>
        <w:t>）问卷调查。因本项目有明确的</w:t>
      </w:r>
      <w:r>
        <w:rPr>
          <w:rFonts w:hint="eastAsia" w:ascii="仿宋_GB2312" w:eastAsia="仿宋_GB2312"/>
          <w:sz w:val="32"/>
          <w:szCs w:val="32"/>
          <w:lang w:val="en-US" w:eastAsia="zh-CN"/>
        </w:rPr>
        <w:t>受益群众</w:t>
      </w:r>
      <w:r>
        <w:rPr>
          <w:rFonts w:hint="eastAsia" w:ascii="仿宋_GB2312" w:eastAsia="仿宋_GB2312"/>
          <w:sz w:val="32"/>
          <w:szCs w:val="32"/>
        </w:rPr>
        <w:t>，因此将采用问卷调查的办法，</w:t>
      </w:r>
      <w:r>
        <w:rPr>
          <w:rFonts w:hint="eastAsia" w:ascii="仿宋_GB2312" w:eastAsia="仿宋_GB2312"/>
          <w:sz w:val="32"/>
          <w:szCs w:val="32"/>
          <w:lang w:val="en-US" w:eastAsia="zh-CN"/>
        </w:rPr>
        <w:t>充分收集项目实施后出行群众对项目建设完成后便利程度的满意度作为衡量山亭区“四好农村路”李东线李庄至西崮城段改建工程绩效的依据。</w:t>
      </w:r>
    </w:p>
    <w:p>
      <w:pPr>
        <w:pStyle w:val="3"/>
        <w:pageBreakBefore w:val="0"/>
        <w:pBdr>
          <w:bottom w:val="none" w:color="auto" w:sz="0" w:space="0"/>
        </w:pBdr>
        <w:kinsoku/>
        <w:wordWrap/>
        <w:overflowPunct w:val="0"/>
        <w:topLinePunct w:val="0"/>
        <w:autoSpaceDE w:val="0"/>
        <w:autoSpaceDN w:val="0"/>
        <w:bidi w:val="0"/>
        <w:adjustRightInd w:val="0"/>
        <w:spacing w:beforeAutospacing="0" w:after="0" w:afterAutospacing="0" w:line="580" w:lineRule="exact"/>
        <w:ind w:left="0" w:leftChars="0" w:firstLine="640" w:firstLineChars="200"/>
        <w:jc w:val="both"/>
        <w:textAlignment w:val="baseline"/>
        <w:rPr>
          <w:rStyle w:val="30"/>
          <w:rFonts w:hint="eastAsia" w:ascii="楷体_GB2312" w:hAnsi="楷体_GB2312" w:eastAsia="楷体_GB2312" w:cs="楷体_GB2312"/>
          <w:b w:val="0"/>
          <w:bCs w:val="0"/>
          <w:color w:val="auto"/>
          <w:kern w:val="44"/>
          <w:sz w:val="32"/>
          <w:szCs w:val="44"/>
          <w:lang w:eastAsia="zh-CN"/>
        </w:rPr>
      </w:pPr>
      <w:bookmarkStart w:id="42" w:name="_Toc5387"/>
      <w:r>
        <w:rPr>
          <w:rFonts w:hint="eastAsia" w:ascii="楷体_GB2312" w:hAnsi="楷体_GB2312" w:eastAsia="楷体_GB2312" w:cs="楷体_GB2312"/>
          <w:color w:val="auto"/>
          <w:sz w:val="32"/>
          <w:szCs w:val="32"/>
        </w:rPr>
        <w:t>（五）</w:t>
      </w:r>
      <w:r>
        <w:rPr>
          <w:rStyle w:val="30"/>
          <w:rFonts w:hint="eastAsia" w:ascii="楷体_GB2312" w:hAnsi="楷体_GB2312" w:eastAsia="楷体_GB2312" w:cs="楷体_GB2312"/>
          <w:b w:val="0"/>
          <w:bCs w:val="0"/>
          <w:color w:val="auto"/>
          <w:kern w:val="44"/>
          <w:sz w:val="32"/>
          <w:szCs w:val="44"/>
          <w:lang w:eastAsia="zh-CN"/>
        </w:rPr>
        <w:t>绩效评价指标体系</w:t>
      </w:r>
      <w:bookmarkEnd w:id="42"/>
    </w:p>
    <w:p>
      <w:pPr>
        <w:pStyle w:val="4"/>
        <w:keepNext/>
        <w:keepLines/>
        <w:pageBreakBefore w:val="0"/>
        <w:widowControl/>
        <w:kinsoku/>
        <w:wordWrap/>
        <w:overflowPunct w:val="0"/>
        <w:topLinePunct w:val="0"/>
        <w:bidi w:val="0"/>
        <w:adjustRightInd w:val="0"/>
        <w:spacing w:beforeAutospacing="0" w:afterAutospacing="0" w:line="580" w:lineRule="exact"/>
        <w:ind w:left="0" w:leftChars="0" w:firstLine="640" w:firstLineChars="200"/>
        <w:jc w:val="both"/>
        <w:textAlignment w:val="baseline"/>
        <w:rPr>
          <w:rFonts w:ascii="楷体_GB2312" w:hAnsi="楷体_GB2312" w:eastAsia="楷体_GB2312" w:cstheme="majorBidi"/>
          <w:bCs/>
          <w:sz w:val="32"/>
          <w:szCs w:val="32"/>
          <w:lang w:val="en-US" w:bidi="ar-SA"/>
        </w:rPr>
      </w:pPr>
      <w:bookmarkStart w:id="43" w:name="_Toc32490"/>
      <w:r>
        <w:rPr>
          <w:rFonts w:hint="eastAsia" w:ascii="楷体_GB2312" w:hAnsi="楷体_GB2312" w:eastAsia="楷体_GB2312" w:cstheme="majorBidi"/>
          <w:bCs/>
          <w:sz w:val="32"/>
          <w:szCs w:val="32"/>
          <w:lang w:val="en-US" w:eastAsia="zh-CN" w:bidi="ar-SA"/>
        </w:rPr>
        <w:t>1、</w:t>
      </w:r>
      <w:r>
        <w:rPr>
          <w:rFonts w:hint="eastAsia" w:ascii="楷体_GB2312" w:hAnsi="楷体_GB2312" w:eastAsia="楷体_GB2312" w:cstheme="majorBidi"/>
          <w:bCs/>
          <w:sz w:val="32"/>
          <w:szCs w:val="32"/>
          <w:lang w:val="en-US" w:bidi="ar-SA"/>
        </w:rPr>
        <w:t>指标体系设计的总体思路</w:t>
      </w:r>
      <w:bookmarkEnd w:id="43"/>
    </w:p>
    <w:p>
      <w:pPr>
        <w:pageBreakBefore w:val="0"/>
        <w:kinsoku/>
        <w:wordWrap/>
        <w:topLinePunct w:val="0"/>
        <w:bidi w:val="0"/>
        <w:spacing w:beforeAutospacing="0" w:afterAutospacing="0" w:line="580" w:lineRule="exact"/>
        <w:ind w:left="0" w:leftChars="0" w:firstLine="640" w:firstLineChars="200"/>
        <w:jc w:val="both"/>
        <w:rPr>
          <w:rFonts w:ascii="仿宋_GB2312" w:eastAsia="仿宋_GB2312"/>
          <w:color w:val="000000"/>
          <w:sz w:val="32"/>
          <w:szCs w:val="32"/>
        </w:rPr>
      </w:pPr>
      <w:r>
        <w:rPr>
          <w:rFonts w:hint="eastAsia" w:ascii="仿宋_GB2312" w:eastAsia="仿宋_GB2312"/>
          <w:color w:val="000000"/>
          <w:sz w:val="32"/>
          <w:szCs w:val="32"/>
        </w:rPr>
        <w:t>本次绩效评价指标</w:t>
      </w:r>
      <w:r>
        <w:rPr>
          <w:rFonts w:hint="eastAsia" w:ascii="仿宋_GB2312" w:eastAsia="仿宋_GB2312"/>
          <w:color w:val="000000"/>
          <w:sz w:val="32"/>
          <w:szCs w:val="32"/>
          <w:lang w:val="en-US" w:eastAsia="zh-CN"/>
        </w:rPr>
        <w:t>体系</w:t>
      </w:r>
      <w:r>
        <w:rPr>
          <w:rFonts w:hint="eastAsia" w:ascii="仿宋_GB2312" w:eastAsia="仿宋_GB2312"/>
          <w:color w:val="000000"/>
          <w:sz w:val="32"/>
          <w:szCs w:val="32"/>
        </w:rPr>
        <w:t>参照财政部《关于印发项目支出绩效评价管理办法的通知》（财预〔</w:t>
      </w:r>
      <w:r>
        <w:rPr>
          <w:rFonts w:ascii="仿宋_GB2312" w:eastAsia="仿宋_GB2312"/>
          <w:color w:val="000000"/>
          <w:sz w:val="32"/>
          <w:szCs w:val="32"/>
        </w:rPr>
        <w:t>2020〕10号）等规定，以及相关法律法规、项目绩效目标及管理办法，结合该项目的特点和行业属性，对指标进行细化和调整，最终确定绩效评价的</w:t>
      </w:r>
      <w:r>
        <w:rPr>
          <w:rFonts w:hint="eastAsia" w:ascii="仿宋_GB2312" w:eastAsia="仿宋_GB2312"/>
          <w:color w:val="000000"/>
          <w:sz w:val="32"/>
          <w:szCs w:val="32"/>
          <w:lang w:val="en-US" w:eastAsia="zh-CN"/>
        </w:rPr>
        <w:t>指标体系</w:t>
      </w:r>
      <w:r>
        <w:rPr>
          <w:rFonts w:ascii="仿宋_GB2312" w:eastAsia="仿宋_GB2312"/>
          <w:color w:val="000000"/>
          <w:sz w:val="32"/>
          <w:szCs w:val="32"/>
        </w:rPr>
        <w:t>。</w:t>
      </w:r>
    </w:p>
    <w:p>
      <w:pPr>
        <w:pStyle w:val="4"/>
        <w:keepNext/>
        <w:keepLines/>
        <w:pageBreakBefore w:val="0"/>
        <w:widowControl/>
        <w:kinsoku/>
        <w:wordWrap/>
        <w:overflowPunct w:val="0"/>
        <w:topLinePunct w:val="0"/>
        <w:bidi w:val="0"/>
        <w:adjustRightInd w:val="0"/>
        <w:spacing w:beforeAutospacing="0" w:afterAutospacing="0" w:line="580" w:lineRule="exact"/>
        <w:ind w:left="0" w:leftChars="0" w:firstLine="640" w:firstLineChars="200"/>
        <w:jc w:val="both"/>
        <w:textAlignment w:val="baseline"/>
        <w:rPr>
          <w:rFonts w:ascii="楷体_GB2312" w:hAnsi="楷体_GB2312" w:eastAsia="楷体_GB2312" w:cstheme="majorBidi"/>
          <w:bCs/>
          <w:sz w:val="32"/>
          <w:szCs w:val="32"/>
          <w:highlight w:val="none"/>
          <w:lang w:val="en-US" w:bidi="ar-SA"/>
        </w:rPr>
      </w:pPr>
      <w:bookmarkStart w:id="44" w:name="_Toc24793"/>
      <w:r>
        <w:rPr>
          <w:rFonts w:hint="eastAsia" w:ascii="楷体_GB2312" w:hAnsi="楷体_GB2312" w:eastAsia="楷体_GB2312" w:cstheme="majorBidi"/>
          <w:bCs/>
          <w:sz w:val="32"/>
          <w:szCs w:val="32"/>
          <w:highlight w:val="none"/>
          <w:lang w:val="en-US" w:eastAsia="zh-CN" w:bidi="ar-SA"/>
        </w:rPr>
        <w:t>2、</w:t>
      </w:r>
      <w:r>
        <w:rPr>
          <w:rFonts w:hint="eastAsia" w:ascii="楷体_GB2312" w:hAnsi="楷体_GB2312" w:eastAsia="楷体_GB2312" w:cstheme="majorBidi"/>
          <w:bCs/>
          <w:sz w:val="32"/>
          <w:szCs w:val="32"/>
          <w:highlight w:val="none"/>
          <w:lang w:val="en-US" w:bidi="ar-SA"/>
        </w:rPr>
        <w:t>指标体系</w:t>
      </w:r>
      <w:bookmarkEnd w:id="44"/>
    </w:p>
    <w:p>
      <w:pPr>
        <w:pageBreakBefore w:val="0"/>
        <w:kinsoku/>
        <w:wordWrap/>
        <w:topLinePunct w:val="0"/>
        <w:bidi w:val="0"/>
        <w:spacing w:beforeAutospacing="0" w:afterAutospacing="0" w:line="580" w:lineRule="exact"/>
        <w:ind w:left="0" w:leftChars="0" w:firstLine="640" w:firstLineChars="200"/>
        <w:jc w:val="both"/>
        <w:rPr>
          <w:rFonts w:ascii="仿宋_GB2312" w:eastAsia="仿宋_GB2312"/>
          <w:color w:val="000000"/>
          <w:sz w:val="32"/>
          <w:szCs w:val="32"/>
        </w:rPr>
      </w:pPr>
      <w:r>
        <w:rPr>
          <w:rFonts w:ascii="仿宋_GB2312" w:eastAsia="仿宋_GB2312"/>
          <w:color w:val="000000"/>
          <w:sz w:val="32"/>
          <w:szCs w:val="32"/>
        </w:rPr>
        <w:t>本次绩效评价指标体系包括四级指标，其中</w:t>
      </w:r>
      <w:r>
        <w:rPr>
          <w:rFonts w:hint="eastAsia" w:ascii="仿宋_GB2312" w:eastAsia="仿宋_GB2312"/>
          <w:color w:val="000000"/>
          <w:sz w:val="32"/>
          <w:szCs w:val="32"/>
        </w:rPr>
        <w:t>包括</w:t>
      </w:r>
      <w:r>
        <w:rPr>
          <w:rFonts w:ascii="仿宋_GB2312" w:eastAsia="仿宋_GB2312"/>
          <w:color w:val="000000"/>
          <w:sz w:val="32"/>
          <w:szCs w:val="32"/>
        </w:rPr>
        <w:t>4个</w:t>
      </w:r>
      <w:r>
        <w:rPr>
          <w:rFonts w:hint="eastAsia" w:ascii="仿宋_GB2312" w:eastAsia="仿宋_GB2312"/>
          <w:color w:val="000000"/>
          <w:sz w:val="32"/>
          <w:szCs w:val="32"/>
        </w:rPr>
        <w:t>一级指标</w:t>
      </w:r>
      <w:r>
        <w:rPr>
          <w:rFonts w:ascii="仿宋_GB2312" w:eastAsia="仿宋_GB2312"/>
          <w:color w:val="000000"/>
          <w:sz w:val="32"/>
          <w:szCs w:val="32"/>
        </w:rPr>
        <w:t>、</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个</w:t>
      </w:r>
      <w:r>
        <w:rPr>
          <w:rFonts w:ascii="仿宋_GB2312" w:eastAsia="仿宋_GB2312"/>
          <w:color w:val="000000"/>
          <w:sz w:val="32"/>
          <w:szCs w:val="32"/>
        </w:rPr>
        <w:t>二级指标、</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个</w:t>
      </w:r>
      <w:r>
        <w:rPr>
          <w:rFonts w:ascii="仿宋_GB2312" w:eastAsia="仿宋_GB2312"/>
          <w:color w:val="000000"/>
          <w:sz w:val="32"/>
          <w:szCs w:val="32"/>
        </w:rPr>
        <w:t>三级指标、</w:t>
      </w:r>
      <w:r>
        <w:rPr>
          <w:rFonts w:hint="eastAsia" w:ascii="仿宋_GB2312" w:eastAsia="仿宋_GB2312"/>
          <w:color w:val="000000"/>
          <w:sz w:val="32"/>
          <w:szCs w:val="32"/>
          <w:lang w:val="en-US" w:eastAsia="zh-CN"/>
        </w:rPr>
        <w:t>27</w:t>
      </w:r>
      <w:r>
        <w:rPr>
          <w:rFonts w:hint="eastAsia" w:ascii="仿宋_GB2312" w:eastAsia="仿宋_GB2312"/>
          <w:color w:val="000000"/>
          <w:sz w:val="32"/>
          <w:szCs w:val="32"/>
        </w:rPr>
        <w:t>个</w:t>
      </w:r>
      <w:r>
        <w:rPr>
          <w:rFonts w:ascii="仿宋_GB2312" w:eastAsia="仿宋_GB2312"/>
          <w:color w:val="000000"/>
          <w:sz w:val="32"/>
          <w:szCs w:val="32"/>
        </w:rPr>
        <w:t>四级指标（绩效评价指标体系详见附件</w:t>
      </w:r>
      <w:r>
        <w:rPr>
          <w:rFonts w:hint="eastAsia" w:ascii="仿宋_GB2312" w:eastAsia="仿宋_GB2312"/>
          <w:color w:val="000000"/>
          <w:sz w:val="32"/>
          <w:szCs w:val="32"/>
          <w:lang w:val="en-US" w:eastAsia="zh-CN"/>
        </w:rPr>
        <w:t>1</w:t>
      </w:r>
      <w:r>
        <w:rPr>
          <w:rFonts w:ascii="仿宋_GB2312" w:eastAsia="仿宋_GB2312"/>
          <w:color w:val="000000"/>
          <w:sz w:val="32"/>
          <w:szCs w:val="32"/>
        </w:rPr>
        <w:t>）。</w:t>
      </w:r>
    </w:p>
    <w:p>
      <w:pPr>
        <w:pStyle w:val="4"/>
        <w:keepNext/>
        <w:keepLines/>
        <w:pageBreakBefore w:val="0"/>
        <w:widowControl/>
        <w:kinsoku/>
        <w:wordWrap/>
        <w:overflowPunct w:val="0"/>
        <w:topLinePunct w:val="0"/>
        <w:bidi w:val="0"/>
        <w:adjustRightInd w:val="0"/>
        <w:spacing w:beforeAutospacing="0" w:afterAutospacing="0" w:line="580" w:lineRule="exact"/>
        <w:ind w:left="0" w:leftChars="0" w:firstLine="640" w:firstLineChars="200"/>
        <w:jc w:val="both"/>
        <w:textAlignment w:val="baseline"/>
        <w:rPr>
          <w:rFonts w:ascii="楷体_GB2312" w:hAnsi="楷体_GB2312" w:eastAsia="楷体_GB2312" w:cstheme="majorBidi"/>
          <w:bCs/>
          <w:sz w:val="32"/>
          <w:szCs w:val="32"/>
          <w:lang w:val="en-US" w:bidi="ar-SA"/>
        </w:rPr>
      </w:pPr>
      <w:bookmarkStart w:id="45" w:name="_Toc9179"/>
      <w:r>
        <w:rPr>
          <w:rFonts w:hint="eastAsia" w:ascii="楷体_GB2312" w:hAnsi="楷体_GB2312" w:eastAsia="楷体_GB2312" w:cstheme="majorBidi"/>
          <w:bCs/>
          <w:sz w:val="32"/>
          <w:szCs w:val="32"/>
          <w:lang w:val="en-US" w:eastAsia="zh-CN" w:bidi="ar-SA"/>
        </w:rPr>
        <w:t>3、</w:t>
      </w:r>
      <w:r>
        <w:rPr>
          <w:rFonts w:hint="eastAsia" w:ascii="楷体_GB2312" w:hAnsi="楷体_GB2312" w:eastAsia="楷体_GB2312" w:cstheme="majorBidi"/>
          <w:bCs/>
          <w:sz w:val="32"/>
          <w:szCs w:val="32"/>
          <w:lang w:val="en-US" w:bidi="ar-SA"/>
        </w:rPr>
        <w:t>绩效评价级次</w:t>
      </w:r>
      <w:bookmarkEnd w:id="45"/>
    </w:p>
    <w:p>
      <w:pPr>
        <w:pageBreakBefore w:val="0"/>
        <w:kinsoku/>
        <w:wordWrap/>
        <w:topLinePunct w:val="0"/>
        <w:bidi w:val="0"/>
        <w:spacing w:beforeAutospacing="0" w:afterAutospacing="0" w:line="580" w:lineRule="exact"/>
        <w:ind w:left="0" w:leftChars="0" w:firstLine="640" w:firstLineChars="200"/>
        <w:jc w:val="both"/>
        <w:rPr>
          <w:rFonts w:ascii="仿宋_GB2312" w:eastAsia="仿宋_GB2312"/>
          <w:color w:val="000000"/>
          <w:sz w:val="32"/>
          <w:szCs w:val="32"/>
        </w:rPr>
      </w:pPr>
      <w:r>
        <w:rPr>
          <w:rFonts w:hint="eastAsia" w:ascii="仿宋_GB2312" w:eastAsia="仿宋_GB2312"/>
          <w:color w:val="000000"/>
          <w:sz w:val="32"/>
          <w:szCs w:val="32"/>
        </w:rPr>
        <w:t>本次绩效评价级次分为</w:t>
      </w:r>
      <w:r>
        <w:rPr>
          <w:rFonts w:ascii="仿宋_GB2312" w:eastAsia="仿宋_GB2312"/>
          <w:color w:val="000000"/>
          <w:sz w:val="32"/>
          <w:szCs w:val="32"/>
        </w:rPr>
        <w:t>4个等级：</w:t>
      </w:r>
    </w:p>
    <w:p>
      <w:pPr>
        <w:pageBreakBefore w:val="0"/>
        <w:kinsoku/>
        <w:wordWrap/>
        <w:topLinePunct w:val="0"/>
        <w:bidi w:val="0"/>
        <w:spacing w:beforeAutospacing="0" w:afterAutospacing="0" w:line="580" w:lineRule="exact"/>
        <w:ind w:left="0" w:leftChars="0" w:firstLine="640" w:firstLineChars="200"/>
        <w:jc w:val="both"/>
        <w:rPr>
          <w:rFonts w:ascii="仿宋_GB2312" w:eastAsia="仿宋_GB2312"/>
          <w:color w:val="000000"/>
          <w:sz w:val="32"/>
          <w:szCs w:val="32"/>
        </w:rPr>
      </w:pPr>
      <w:r>
        <w:rPr>
          <w:rFonts w:hint="eastAsia" w:ascii="仿宋_GB2312" w:eastAsia="仿宋_GB2312"/>
          <w:color w:val="000000"/>
          <w:sz w:val="32"/>
          <w:szCs w:val="32"/>
        </w:rPr>
        <w:t>综合得分在</w:t>
      </w:r>
      <w:r>
        <w:rPr>
          <w:rFonts w:ascii="仿宋_GB2312" w:eastAsia="仿宋_GB2312"/>
          <w:color w:val="000000"/>
          <w:sz w:val="32"/>
          <w:szCs w:val="32"/>
        </w:rPr>
        <w:t>90</w:t>
      </w:r>
      <w:r>
        <w:rPr>
          <w:rFonts w:hint="eastAsia" w:ascii="仿宋_GB2312" w:eastAsia="仿宋_GB2312"/>
          <w:color w:val="000000"/>
          <w:sz w:val="32"/>
          <w:szCs w:val="32"/>
          <w:lang w:val="en-US" w:eastAsia="zh-CN"/>
        </w:rPr>
        <w:t>分</w:t>
      </w:r>
      <w:r>
        <w:rPr>
          <w:rFonts w:ascii="仿宋_GB2312" w:eastAsia="仿宋_GB2312"/>
          <w:color w:val="000000"/>
          <w:sz w:val="32"/>
          <w:szCs w:val="32"/>
        </w:rPr>
        <w:t>（含90分）以上为“优”；</w:t>
      </w:r>
    </w:p>
    <w:p>
      <w:pPr>
        <w:pageBreakBefore w:val="0"/>
        <w:kinsoku/>
        <w:wordWrap/>
        <w:topLinePunct w:val="0"/>
        <w:bidi w:val="0"/>
        <w:spacing w:beforeAutospacing="0" w:afterAutospacing="0" w:line="580" w:lineRule="exact"/>
        <w:ind w:left="0" w:leftChars="0" w:firstLine="640" w:firstLineChars="200"/>
        <w:jc w:val="both"/>
        <w:rPr>
          <w:rFonts w:ascii="仿宋_GB2312" w:eastAsia="仿宋_GB2312"/>
          <w:color w:val="000000"/>
          <w:sz w:val="32"/>
          <w:szCs w:val="32"/>
        </w:rPr>
      </w:pPr>
      <w:r>
        <w:rPr>
          <w:rFonts w:hint="eastAsia" w:ascii="仿宋_GB2312" w:eastAsia="仿宋_GB2312"/>
          <w:color w:val="000000"/>
          <w:sz w:val="32"/>
          <w:szCs w:val="32"/>
        </w:rPr>
        <w:t>综合得分在</w:t>
      </w:r>
      <w:r>
        <w:rPr>
          <w:rFonts w:ascii="仿宋_GB2312" w:eastAsia="仿宋_GB2312"/>
          <w:color w:val="000000"/>
          <w:sz w:val="32"/>
          <w:szCs w:val="32"/>
        </w:rPr>
        <w:t>80～90分（含80分）为“良”；</w:t>
      </w:r>
    </w:p>
    <w:p>
      <w:pPr>
        <w:pageBreakBefore w:val="0"/>
        <w:kinsoku/>
        <w:wordWrap/>
        <w:topLinePunct w:val="0"/>
        <w:bidi w:val="0"/>
        <w:spacing w:beforeAutospacing="0" w:afterAutospacing="0" w:line="580" w:lineRule="exact"/>
        <w:ind w:left="0" w:leftChars="0" w:firstLine="640" w:firstLineChars="200"/>
        <w:jc w:val="both"/>
        <w:rPr>
          <w:rFonts w:ascii="仿宋_GB2312" w:eastAsia="仿宋_GB2312"/>
          <w:color w:val="000000"/>
          <w:sz w:val="32"/>
          <w:szCs w:val="32"/>
        </w:rPr>
      </w:pPr>
      <w:r>
        <w:rPr>
          <w:rFonts w:hint="eastAsia" w:ascii="仿宋_GB2312" w:eastAsia="仿宋_GB2312"/>
          <w:color w:val="000000"/>
          <w:sz w:val="32"/>
          <w:szCs w:val="32"/>
        </w:rPr>
        <w:t>综合得分在</w:t>
      </w:r>
      <w:r>
        <w:rPr>
          <w:rFonts w:ascii="仿宋_GB2312" w:eastAsia="仿宋_GB2312"/>
          <w:color w:val="000000"/>
          <w:sz w:val="32"/>
          <w:szCs w:val="32"/>
        </w:rPr>
        <w:t>60～80分（含60分）为“中”；</w:t>
      </w:r>
    </w:p>
    <w:p>
      <w:pPr>
        <w:pageBreakBefore w:val="0"/>
        <w:kinsoku/>
        <w:wordWrap/>
        <w:topLinePunct w:val="0"/>
        <w:bidi w:val="0"/>
        <w:spacing w:beforeAutospacing="0" w:afterAutospacing="0" w:line="580" w:lineRule="exact"/>
        <w:ind w:left="0" w:leftChars="0" w:firstLine="640" w:firstLineChars="200"/>
        <w:jc w:val="both"/>
        <w:rPr>
          <w:rFonts w:ascii="仿宋_GB2312" w:eastAsia="仿宋_GB2312"/>
          <w:color w:val="000000"/>
          <w:sz w:val="32"/>
          <w:szCs w:val="32"/>
        </w:rPr>
      </w:pPr>
      <w:r>
        <w:rPr>
          <w:rFonts w:hint="eastAsia" w:ascii="仿宋_GB2312" w:eastAsia="仿宋_GB2312"/>
          <w:color w:val="000000"/>
          <w:sz w:val="32"/>
          <w:szCs w:val="32"/>
        </w:rPr>
        <w:t>综合得分在</w:t>
      </w:r>
      <w:r>
        <w:rPr>
          <w:rFonts w:ascii="仿宋_GB2312" w:eastAsia="仿宋_GB2312"/>
          <w:color w:val="000000"/>
          <w:sz w:val="32"/>
          <w:szCs w:val="32"/>
        </w:rPr>
        <w:t>60分以下为“差”。</w:t>
      </w:r>
    </w:p>
    <w:p>
      <w:pPr>
        <w:pageBreakBefore w:val="0"/>
        <w:kinsoku/>
        <w:wordWrap/>
        <w:topLinePunct w:val="0"/>
        <w:bidi w:val="0"/>
        <w:spacing w:beforeAutospacing="0" w:afterAutospacing="0" w:line="580" w:lineRule="exact"/>
        <w:ind w:left="0" w:leftChars="0"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其中“优”表示成效显著，“良”表示成效明显，“中”表示成效一般，“差”表示</w:t>
      </w:r>
      <w:r>
        <w:rPr>
          <w:rFonts w:hint="eastAsia" w:ascii="仿宋_GB2312" w:eastAsia="仿宋_GB2312"/>
          <w:color w:val="000000"/>
          <w:sz w:val="32"/>
          <w:szCs w:val="32"/>
          <w:lang w:val="en-US" w:eastAsia="zh-CN"/>
        </w:rPr>
        <w:t>成效较差</w:t>
      </w:r>
      <w:r>
        <w:rPr>
          <w:rFonts w:hint="eastAsia" w:ascii="仿宋_GB2312" w:eastAsia="仿宋_GB2312"/>
          <w:color w:val="000000"/>
          <w:sz w:val="32"/>
          <w:szCs w:val="32"/>
        </w:rPr>
        <w:t>。</w:t>
      </w:r>
    </w:p>
    <w:p>
      <w:pPr>
        <w:pStyle w:val="4"/>
        <w:pageBreakBefore w:val="0"/>
        <w:numPr>
          <w:ilvl w:val="0"/>
          <w:numId w:val="2"/>
        </w:numPr>
        <w:kinsoku/>
        <w:wordWrap/>
        <w:topLinePunct w:val="0"/>
        <w:bidi w:val="0"/>
        <w:spacing w:beforeAutospacing="0" w:afterAutospacing="0" w:line="580" w:lineRule="exact"/>
        <w:ind w:left="0" w:leftChars="0" w:firstLine="640" w:firstLineChars="200"/>
        <w:jc w:val="both"/>
        <w:rPr>
          <w:rFonts w:hint="eastAsia" w:ascii="楷体_GB2312" w:hAnsi="楷体_GB2312" w:eastAsia="楷体_GB2312" w:cs="楷体_GB2312"/>
          <w:sz w:val="32"/>
          <w:szCs w:val="32"/>
        </w:rPr>
      </w:pPr>
      <w:bookmarkStart w:id="46" w:name="_Toc1066391420"/>
      <w:bookmarkStart w:id="47" w:name="_Toc618384820_WPSOffice_Level2"/>
      <w:bookmarkStart w:id="48" w:name="_Toc742758536_WPSOffice_Level2"/>
      <w:bookmarkStart w:id="49" w:name="_Toc554855150_WPSOffice_Level2"/>
      <w:bookmarkStart w:id="50" w:name="_Toc81967529_WPSOffice_Level2"/>
      <w:bookmarkStart w:id="51" w:name="_Toc1160604852_WPSOffice_Level2"/>
      <w:bookmarkStart w:id="52" w:name="_Toc2583"/>
      <w:bookmarkStart w:id="53" w:name="_Toc1664486393_WPSOffice_Level2"/>
      <w:bookmarkStart w:id="54" w:name="_Toc1442541749_WPSOffice_Level2"/>
      <w:bookmarkStart w:id="55" w:name="_Toc907403848_WPSOffice_Level2"/>
      <w:bookmarkStart w:id="56" w:name="_Toc1820602719_WPSOffice_Level2"/>
      <w:bookmarkStart w:id="57" w:name="_Toc528779330_WPSOffice_Level2"/>
      <w:r>
        <w:rPr>
          <w:rFonts w:hint="eastAsia" w:ascii="楷体_GB2312" w:hAnsi="楷体_GB2312" w:eastAsia="楷体_GB2312" w:cs="楷体_GB2312"/>
          <w:sz w:val="32"/>
          <w:szCs w:val="32"/>
        </w:rPr>
        <w:t>评价人员组成</w:t>
      </w:r>
      <w:bookmarkEnd w:id="46"/>
      <w:bookmarkEnd w:id="47"/>
      <w:bookmarkEnd w:id="48"/>
      <w:bookmarkEnd w:id="49"/>
      <w:bookmarkEnd w:id="50"/>
      <w:bookmarkEnd w:id="51"/>
      <w:bookmarkEnd w:id="52"/>
      <w:bookmarkEnd w:id="53"/>
      <w:bookmarkEnd w:id="54"/>
      <w:bookmarkEnd w:id="55"/>
      <w:bookmarkEnd w:id="56"/>
      <w:bookmarkEnd w:id="57"/>
    </w:p>
    <w:p>
      <w:pPr>
        <w:pageBreakBefore w:val="0"/>
        <w:kinsoku/>
        <w:wordWrap/>
        <w:topLinePunct w:val="0"/>
        <w:bidi w:val="0"/>
        <w:spacing w:beforeAutospacing="0" w:afterAutospacing="0" w:line="580" w:lineRule="exact"/>
        <w:ind w:left="0" w:leftChars="0" w:firstLine="420" w:firstLineChars="200"/>
        <w:jc w:val="both"/>
        <w:rPr>
          <w:rFonts w:ascii="仿宋_GB2312" w:hAnsi="仿宋" w:eastAsia="仿宋_GB2312"/>
          <w:sz w:val="32"/>
          <w:szCs w:val="32"/>
          <w:highlight w:val="yellow"/>
        </w:rPr>
      </w:pPr>
      <w:r>
        <w:rPr>
          <w:rFonts w:hint="eastAsia"/>
          <w:lang w:val="en-US" w:eastAsia="zh-CN"/>
        </w:rPr>
        <w:t xml:space="preserve"> </w:t>
      </w:r>
      <w:r>
        <w:rPr>
          <w:rFonts w:hint="eastAsia" w:ascii="仿宋_GB2312" w:eastAsia="仿宋_GB2312"/>
          <w:sz w:val="32"/>
          <w:szCs w:val="32"/>
        </w:rPr>
        <w:t>本次绩效评价由项目负责人进行统筹管理，小组成员由项目经理</w:t>
      </w:r>
      <w:r>
        <w:rPr>
          <w:rFonts w:hint="eastAsia" w:ascii="仿宋_GB2312" w:eastAsia="仿宋_GB2312"/>
          <w:sz w:val="32"/>
          <w:szCs w:val="32"/>
          <w:lang w:val="en-US" w:eastAsia="zh-CN"/>
        </w:rPr>
        <w:t>2</w:t>
      </w:r>
      <w:r>
        <w:rPr>
          <w:rFonts w:hint="eastAsia" w:ascii="仿宋_GB2312" w:eastAsia="仿宋_GB2312"/>
          <w:sz w:val="32"/>
          <w:szCs w:val="32"/>
        </w:rPr>
        <w:t>人、项目助理</w:t>
      </w:r>
      <w:r>
        <w:rPr>
          <w:rFonts w:hint="eastAsia" w:ascii="仿宋_GB2312" w:eastAsia="仿宋_GB2312"/>
          <w:sz w:val="32"/>
          <w:szCs w:val="32"/>
          <w:lang w:val="en-US" w:eastAsia="zh-CN"/>
        </w:rPr>
        <w:t>2</w:t>
      </w:r>
      <w:r>
        <w:rPr>
          <w:rFonts w:hint="eastAsia" w:ascii="仿宋_GB2312" w:eastAsia="仿宋_GB2312"/>
          <w:sz w:val="32"/>
          <w:szCs w:val="32"/>
        </w:rPr>
        <w:t>人、财务专家</w:t>
      </w:r>
      <w:r>
        <w:rPr>
          <w:rFonts w:hint="default" w:ascii="仿宋_GB2312" w:eastAsia="仿宋_GB2312"/>
          <w:sz w:val="32"/>
          <w:szCs w:val="32"/>
        </w:rPr>
        <w:t>1</w:t>
      </w:r>
      <w:r>
        <w:rPr>
          <w:rFonts w:hint="eastAsia" w:ascii="仿宋_GB2312" w:eastAsia="仿宋_GB2312"/>
          <w:sz w:val="32"/>
          <w:szCs w:val="32"/>
        </w:rPr>
        <w:t>人组成，评价小组成员与被评价项目及被评价单位不存在任何利益冲突。财务专家具有相应资质或职称，在行业领域中具有多年的从业经验，同时多次参与绩效评价工作并熟悉绩效评价的工作流程；工作人员具备绩效评价知识和经验，熟悉评价项目、评价规范和技术规范。评价小组成员及专家分工详见下表：</w:t>
      </w:r>
    </w:p>
    <w:p>
      <w:pPr>
        <w:snapToGrid w:val="0"/>
        <w:spacing w:line="580" w:lineRule="atLeast"/>
        <w:ind w:firstLine="562" w:firstLineChars="200"/>
        <w:jc w:val="center"/>
        <w:outlineLvl w:val="0"/>
        <w:rPr>
          <w:rFonts w:hint="eastAsia" w:ascii="宋体" w:hAnsi="宋体" w:eastAsia="宋体" w:cs="宋体"/>
          <w:b/>
          <w:bCs/>
          <w:sz w:val="28"/>
          <w:szCs w:val="28"/>
        </w:rPr>
      </w:pPr>
      <w:bookmarkStart w:id="58" w:name="_Toc1522895777_WPSOffice_Level2"/>
      <w:bookmarkStart w:id="59" w:name="_Toc1076510776_WPSOffice_Level2"/>
      <w:bookmarkStart w:id="60" w:name="_Toc1455095989_WPSOffice_Level2"/>
      <w:bookmarkStart w:id="61" w:name="_Toc1091242176_WPSOffice_Level2"/>
      <w:r>
        <w:rPr>
          <w:rFonts w:hint="eastAsia" w:ascii="宋体" w:hAnsi="宋体" w:eastAsia="宋体" w:cs="宋体"/>
          <w:b/>
          <w:bCs/>
          <w:sz w:val="28"/>
          <w:szCs w:val="28"/>
        </w:rPr>
        <w:t>表</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：工作人员分工情况表</w:t>
      </w:r>
      <w:bookmarkEnd w:id="58"/>
      <w:bookmarkEnd w:id="59"/>
      <w:bookmarkEnd w:id="60"/>
      <w:bookmarkEnd w:id="61"/>
    </w:p>
    <w:p>
      <w:pPr>
        <w:pStyle w:val="2"/>
        <w:rPr>
          <w:rFonts w:hint="eastAsia"/>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60"/>
        <w:gridCol w:w="1595"/>
        <w:gridCol w:w="2376"/>
        <w:gridCol w:w="3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64" w:type="dxa"/>
            <w:shd w:val="clear" w:color="auto" w:fill="auto"/>
            <w:vAlign w:val="center"/>
          </w:tcPr>
          <w:p>
            <w:pPr>
              <w:pStyle w:val="29"/>
              <w:spacing w:line="300" w:lineRule="exact"/>
              <w:jc w:val="left"/>
              <w:rPr>
                <w:rFonts w:hint="eastAsia" w:ascii="宋体" w:hAnsi="宋体" w:eastAsia="宋体" w:cs="宋体"/>
                <w:b/>
                <w:sz w:val="21"/>
                <w:szCs w:val="21"/>
              </w:rPr>
            </w:pPr>
            <w:r>
              <w:rPr>
                <w:rFonts w:hint="eastAsia" w:ascii="宋体" w:hAnsi="宋体" w:eastAsia="宋体" w:cs="宋体"/>
                <w:b/>
                <w:sz w:val="21"/>
                <w:szCs w:val="21"/>
              </w:rPr>
              <w:t>序号</w:t>
            </w:r>
          </w:p>
        </w:tc>
        <w:tc>
          <w:tcPr>
            <w:tcW w:w="860" w:type="dxa"/>
            <w:shd w:val="clear" w:color="auto" w:fill="auto"/>
            <w:vAlign w:val="center"/>
          </w:tcPr>
          <w:p>
            <w:pPr>
              <w:pStyle w:val="29"/>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姓名</w:t>
            </w:r>
          </w:p>
        </w:tc>
        <w:tc>
          <w:tcPr>
            <w:tcW w:w="1595" w:type="dxa"/>
            <w:shd w:val="clear" w:color="auto" w:fill="auto"/>
            <w:vAlign w:val="center"/>
          </w:tcPr>
          <w:p>
            <w:pPr>
              <w:pStyle w:val="29"/>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职务/职称</w:t>
            </w:r>
          </w:p>
        </w:tc>
        <w:tc>
          <w:tcPr>
            <w:tcW w:w="2376" w:type="dxa"/>
            <w:shd w:val="clear" w:color="auto" w:fill="auto"/>
            <w:vAlign w:val="center"/>
          </w:tcPr>
          <w:p>
            <w:pPr>
              <w:pStyle w:val="29"/>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工作单位</w:t>
            </w:r>
          </w:p>
        </w:tc>
        <w:tc>
          <w:tcPr>
            <w:tcW w:w="3481" w:type="dxa"/>
            <w:shd w:val="clear" w:color="auto" w:fill="auto"/>
            <w:vAlign w:val="center"/>
          </w:tcPr>
          <w:p>
            <w:pPr>
              <w:pStyle w:val="29"/>
              <w:spacing w:line="300" w:lineRule="exact"/>
              <w:jc w:val="center"/>
              <w:rPr>
                <w:rFonts w:hint="eastAsia" w:ascii="宋体" w:hAnsi="宋体" w:eastAsia="宋体" w:cs="宋体"/>
                <w:b/>
                <w:sz w:val="21"/>
                <w:szCs w:val="21"/>
              </w:rPr>
            </w:pPr>
            <w:r>
              <w:rPr>
                <w:rFonts w:hint="eastAsia" w:ascii="宋体" w:hAnsi="宋体" w:eastAsia="宋体" w:cs="宋体"/>
                <w:b/>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664" w:type="dxa"/>
            <w:vAlign w:val="center"/>
          </w:tcPr>
          <w:p>
            <w:pPr>
              <w:pStyle w:val="29"/>
              <w:spacing w:line="3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860" w:type="dxa"/>
            <w:vAlign w:val="center"/>
          </w:tcPr>
          <w:p>
            <w:pPr>
              <w:pStyle w:val="29"/>
              <w:spacing w:line="300" w:lineRule="exact"/>
              <w:jc w:val="center"/>
              <w:rPr>
                <w:rFonts w:hint="eastAsia" w:ascii="宋体" w:hAnsi="宋体" w:eastAsia="宋体" w:cs="宋体"/>
                <w:sz w:val="21"/>
                <w:szCs w:val="21"/>
              </w:rPr>
            </w:pPr>
            <w:r>
              <w:rPr>
                <w:rFonts w:hint="eastAsia" w:ascii="宋体" w:hAnsi="宋体" w:eastAsia="宋体" w:cs="宋体"/>
                <w:sz w:val="21"/>
                <w:szCs w:val="21"/>
              </w:rPr>
              <w:t>李舒月</w:t>
            </w:r>
          </w:p>
        </w:tc>
        <w:tc>
          <w:tcPr>
            <w:tcW w:w="1595" w:type="dxa"/>
            <w:vAlign w:val="center"/>
          </w:tcPr>
          <w:p>
            <w:pPr>
              <w:pStyle w:val="29"/>
              <w:spacing w:line="300" w:lineRule="exact"/>
              <w:jc w:val="center"/>
              <w:rPr>
                <w:rFonts w:hint="eastAsia" w:ascii="宋体" w:hAnsi="宋体" w:eastAsia="宋体" w:cs="宋体"/>
                <w:sz w:val="21"/>
                <w:szCs w:val="21"/>
              </w:rPr>
            </w:pPr>
            <w:r>
              <w:rPr>
                <w:rFonts w:hint="eastAsia" w:ascii="宋体" w:hAnsi="宋体" w:eastAsia="宋体" w:cs="宋体"/>
                <w:sz w:val="21"/>
                <w:szCs w:val="21"/>
              </w:rPr>
              <w:t>项目负责人/ PMP®</w:t>
            </w:r>
          </w:p>
        </w:tc>
        <w:tc>
          <w:tcPr>
            <w:tcW w:w="2376" w:type="dxa"/>
            <w:vAlign w:val="center"/>
          </w:tcPr>
          <w:p>
            <w:pPr>
              <w:pStyle w:val="29"/>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9"/>
              <w:spacing w:line="300" w:lineRule="exact"/>
              <w:jc w:val="left"/>
              <w:rPr>
                <w:rFonts w:hint="eastAsia" w:ascii="宋体" w:hAnsi="宋体" w:eastAsia="宋体" w:cs="宋体"/>
                <w:sz w:val="21"/>
                <w:szCs w:val="21"/>
              </w:rPr>
            </w:pPr>
            <w:r>
              <w:rPr>
                <w:rFonts w:hint="eastAsia" w:ascii="宋体" w:hAnsi="宋体" w:eastAsia="宋体" w:cs="宋体"/>
                <w:sz w:val="21"/>
                <w:szCs w:val="21"/>
              </w:rPr>
              <w:t>负责整个评价工作的监督与控制，把控阶段性成果及最终成果的质量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trPr>
        <w:tc>
          <w:tcPr>
            <w:tcW w:w="664" w:type="dxa"/>
            <w:vAlign w:val="center"/>
          </w:tcPr>
          <w:p>
            <w:pPr>
              <w:pStyle w:val="29"/>
              <w:spacing w:line="3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860" w:type="dxa"/>
            <w:vAlign w:val="center"/>
          </w:tcPr>
          <w:p>
            <w:pPr>
              <w:pStyle w:val="29"/>
              <w:spacing w:line="3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杨鹏冲</w:t>
            </w:r>
          </w:p>
        </w:tc>
        <w:tc>
          <w:tcPr>
            <w:tcW w:w="1595" w:type="dxa"/>
            <w:vAlign w:val="center"/>
          </w:tcPr>
          <w:p>
            <w:pPr>
              <w:pStyle w:val="29"/>
              <w:spacing w:line="300" w:lineRule="exact"/>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376"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9"/>
              <w:spacing w:line="300" w:lineRule="exact"/>
              <w:jc w:val="left"/>
              <w:rPr>
                <w:rFonts w:hint="eastAsia" w:ascii="宋体" w:hAnsi="宋体" w:eastAsia="宋体" w:cs="宋体"/>
                <w:sz w:val="21"/>
                <w:szCs w:val="21"/>
              </w:rPr>
            </w:pPr>
            <w:r>
              <w:rPr>
                <w:rFonts w:hint="eastAsia" w:ascii="宋体" w:hAnsi="宋体" w:eastAsia="宋体" w:cs="宋体"/>
                <w:sz w:val="21"/>
                <w:szCs w:val="21"/>
              </w:rPr>
              <w:t>负责评价工作前期准备、实施阶段及报告撰写各个阶段统筹安排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664" w:type="dxa"/>
            <w:vAlign w:val="center"/>
          </w:tcPr>
          <w:p>
            <w:pPr>
              <w:pStyle w:val="29"/>
              <w:spacing w:line="3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860" w:type="dxa"/>
            <w:vAlign w:val="center"/>
          </w:tcPr>
          <w:p>
            <w:pPr>
              <w:pStyle w:val="29"/>
              <w:spacing w:line="30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翟哲文</w:t>
            </w:r>
          </w:p>
        </w:tc>
        <w:tc>
          <w:tcPr>
            <w:tcW w:w="1595" w:type="dxa"/>
            <w:vAlign w:val="center"/>
          </w:tcPr>
          <w:p>
            <w:pPr>
              <w:pStyle w:val="29"/>
              <w:spacing w:line="300" w:lineRule="exact"/>
              <w:jc w:val="center"/>
              <w:rPr>
                <w:rFonts w:hint="eastAsia" w:ascii="宋体" w:hAnsi="宋体" w:eastAsia="宋体" w:cs="宋体"/>
                <w:sz w:val="21"/>
                <w:szCs w:val="21"/>
              </w:rPr>
            </w:pPr>
            <w:r>
              <w:rPr>
                <w:rFonts w:hint="eastAsia" w:ascii="宋体" w:hAnsi="宋体" w:eastAsia="宋体" w:cs="宋体"/>
                <w:sz w:val="21"/>
                <w:szCs w:val="21"/>
              </w:rPr>
              <w:t>项目经理</w:t>
            </w:r>
          </w:p>
        </w:tc>
        <w:tc>
          <w:tcPr>
            <w:tcW w:w="2376"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9"/>
              <w:spacing w:line="300" w:lineRule="exact"/>
              <w:jc w:val="left"/>
              <w:rPr>
                <w:rFonts w:hint="eastAsia" w:ascii="宋体" w:hAnsi="宋体" w:eastAsia="宋体" w:cs="宋体"/>
                <w:sz w:val="21"/>
                <w:szCs w:val="21"/>
              </w:rPr>
            </w:pPr>
            <w:r>
              <w:rPr>
                <w:rFonts w:hint="eastAsia" w:ascii="宋体" w:hAnsi="宋体" w:eastAsia="宋体" w:cs="宋体"/>
                <w:sz w:val="21"/>
                <w:szCs w:val="21"/>
              </w:rPr>
              <w:t>负责评价工作前期准备、实施阶段及报告撰写各个阶段统筹安排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664" w:type="dxa"/>
            <w:vAlign w:val="center"/>
          </w:tcPr>
          <w:p>
            <w:pPr>
              <w:pStyle w:val="29"/>
              <w:spacing w:line="3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860" w:type="dxa"/>
            <w:vAlign w:val="center"/>
          </w:tcPr>
          <w:p>
            <w:pPr>
              <w:pStyle w:val="29"/>
              <w:spacing w:line="300" w:lineRule="exact"/>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张  杨</w:t>
            </w:r>
          </w:p>
        </w:tc>
        <w:tc>
          <w:tcPr>
            <w:tcW w:w="1595" w:type="dxa"/>
            <w:vAlign w:val="center"/>
          </w:tcPr>
          <w:p>
            <w:pPr>
              <w:pStyle w:val="29"/>
              <w:spacing w:line="300" w:lineRule="exact"/>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项目助理</w:t>
            </w:r>
          </w:p>
        </w:tc>
        <w:tc>
          <w:tcPr>
            <w:tcW w:w="2376" w:type="dxa"/>
            <w:vAlign w:val="center"/>
          </w:tcPr>
          <w:p>
            <w:pPr>
              <w:spacing w:line="300" w:lineRule="exact"/>
              <w:jc w:val="center"/>
              <w:rPr>
                <w:rFonts w:hint="eastAsia" w:ascii="宋体" w:hAnsi="宋体" w:eastAsia="宋体" w:cs="宋体"/>
                <w:sz w:val="21"/>
                <w:szCs w:val="21"/>
                <w:lang w:val="en-US" w:eastAsia="zh-CN" w:bidi="ar-SA"/>
              </w:rPr>
            </w:pPr>
            <w:r>
              <w:rPr>
                <w:rFonts w:hint="eastAsia" w:ascii="宋体" w:hAnsi="宋体" w:eastAsia="宋体" w:cs="宋体"/>
                <w:sz w:val="21"/>
                <w:szCs w:val="21"/>
              </w:rPr>
              <w:t>中景瑞晟（北京）管理咨询有限公司</w:t>
            </w:r>
          </w:p>
        </w:tc>
        <w:tc>
          <w:tcPr>
            <w:tcW w:w="3481" w:type="dxa"/>
            <w:vAlign w:val="center"/>
          </w:tcPr>
          <w:p>
            <w:pPr>
              <w:pStyle w:val="29"/>
              <w:spacing w:line="300" w:lineRule="exact"/>
              <w:jc w:val="left"/>
              <w:rPr>
                <w:rFonts w:hint="eastAsia" w:ascii="宋体" w:hAnsi="宋体" w:eastAsia="宋体" w:cs="宋体"/>
                <w:sz w:val="21"/>
                <w:szCs w:val="21"/>
                <w:lang w:val="en-US" w:eastAsia="zh-CN" w:bidi="ar-SA"/>
              </w:rPr>
            </w:pPr>
            <w:r>
              <w:rPr>
                <w:rFonts w:hint="eastAsia" w:ascii="宋体" w:hAnsi="宋体" w:eastAsia="宋体" w:cs="宋体"/>
                <w:sz w:val="21"/>
                <w:szCs w:val="21"/>
              </w:rPr>
              <w:t>负责协助完成现场评价相关工作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trPr>
        <w:tc>
          <w:tcPr>
            <w:tcW w:w="664" w:type="dxa"/>
            <w:vAlign w:val="center"/>
          </w:tcPr>
          <w:p>
            <w:pPr>
              <w:pStyle w:val="29"/>
              <w:spacing w:line="3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860" w:type="dxa"/>
            <w:vAlign w:val="center"/>
          </w:tcPr>
          <w:p>
            <w:pPr>
              <w:pStyle w:val="29"/>
              <w:spacing w:line="3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王悦梦</w:t>
            </w:r>
          </w:p>
        </w:tc>
        <w:tc>
          <w:tcPr>
            <w:tcW w:w="1595" w:type="dxa"/>
            <w:vAlign w:val="center"/>
          </w:tcPr>
          <w:p>
            <w:pPr>
              <w:pStyle w:val="29"/>
              <w:spacing w:line="300" w:lineRule="exact"/>
              <w:jc w:val="center"/>
              <w:rPr>
                <w:rFonts w:hint="eastAsia" w:ascii="宋体" w:hAnsi="宋体" w:eastAsia="宋体" w:cs="宋体"/>
                <w:sz w:val="21"/>
                <w:szCs w:val="21"/>
              </w:rPr>
            </w:pPr>
            <w:r>
              <w:rPr>
                <w:rFonts w:hint="eastAsia" w:ascii="宋体" w:hAnsi="宋体" w:eastAsia="宋体" w:cs="宋体"/>
                <w:sz w:val="21"/>
                <w:szCs w:val="21"/>
              </w:rPr>
              <w:t>项目助理</w:t>
            </w:r>
          </w:p>
        </w:tc>
        <w:tc>
          <w:tcPr>
            <w:tcW w:w="2376"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9"/>
              <w:spacing w:line="300" w:lineRule="exact"/>
              <w:jc w:val="left"/>
              <w:rPr>
                <w:rFonts w:hint="eastAsia" w:ascii="宋体" w:hAnsi="宋体" w:eastAsia="宋体" w:cs="宋体"/>
                <w:sz w:val="21"/>
                <w:szCs w:val="21"/>
              </w:rPr>
            </w:pPr>
            <w:r>
              <w:rPr>
                <w:rFonts w:hint="eastAsia" w:ascii="宋体" w:hAnsi="宋体" w:eastAsia="宋体" w:cs="宋体"/>
                <w:sz w:val="21"/>
                <w:szCs w:val="21"/>
              </w:rPr>
              <w:t>负责协助完成现场评价相关工作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664" w:type="dxa"/>
            <w:vAlign w:val="center"/>
          </w:tcPr>
          <w:p>
            <w:pPr>
              <w:pStyle w:val="29"/>
              <w:spacing w:line="3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860" w:type="dxa"/>
            <w:vAlign w:val="center"/>
          </w:tcPr>
          <w:p>
            <w:pPr>
              <w:pStyle w:val="29"/>
              <w:spacing w:line="300" w:lineRule="exact"/>
              <w:jc w:val="center"/>
              <w:rPr>
                <w:rFonts w:hint="eastAsia" w:ascii="宋体" w:hAnsi="宋体" w:eastAsia="宋体" w:cs="宋体"/>
                <w:sz w:val="21"/>
                <w:szCs w:val="21"/>
              </w:rPr>
            </w:pPr>
            <w:r>
              <w:rPr>
                <w:rFonts w:hint="eastAsia" w:ascii="宋体" w:hAnsi="宋体" w:eastAsia="宋体" w:cs="宋体"/>
                <w:sz w:val="21"/>
                <w:szCs w:val="21"/>
              </w:rPr>
              <w:t>孙天</w:t>
            </w:r>
            <w:r>
              <w:rPr>
                <w:rFonts w:hint="eastAsia" w:ascii="宋体" w:hAnsi="宋体" w:eastAsia="宋体" w:cs="宋体"/>
                <w:sz w:val="21"/>
                <w:szCs w:val="21"/>
                <w:lang w:val="en-US" w:eastAsia="zh-CN"/>
              </w:rPr>
              <w:t>波</w:t>
            </w:r>
          </w:p>
        </w:tc>
        <w:tc>
          <w:tcPr>
            <w:tcW w:w="1595" w:type="dxa"/>
            <w:vAlign w:val="center"/>
          </w:tcPr>
          <w:p>
            <w:pPr>
              <w:pStyle w:val="29"/>
              <w:spacing w:line="3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高级会计</w:t>
            </w:r>
            <w:r>
              <w:rPr>
                <w:rFonts w:hint="eastAsia" w:ascii="宋体" w:hAnsi="宋体" w:eastAsia="宋体" w:cs="宋体"/>
                <w:sz w:val="21"/>
                <w:szCs w:val="21"/>
                <w:lang w:val="en-US" w:eastAsia="zh-CN"/>
              </w:rPr>
              <w:t>师</w:t>
            </w:r>
          </w:p>
        </w:tc>
        <w:tc>
          <w:tcPr>
            <w:tcW w:w="2376" w:type="dxa"/>
            <w:vAlign w:val="center"/>
          </w:tcPr>
          <w:p>
            <w:pPr>
              <w:spacing w:line="300" w:lineRule="exact"/>
              <w:jc w:val="center"/>
              <w:rPr>
                <w:rFonts w:hint="eastAsia" w:ascii="宋体" w:hAnsi="宋体" w:eastAsia="宋体" w:cs="宋体"/>
                <w:sz w:val="21"/>
                <w:szCs w:val="21"/>
              </w:rPr>
            </w:pPr>
            <w:r>
              <w:rPr>
                <w:rFonts w:hint="eastAsia" w:ascii="宋体" w:hAnsi="宋体" w:eastAsia="宋体" w:cs="宋体"/>
                <w:sz w:val="21"/>
                <w:szCs w:val="21"/>
              </w:rPr>
              <w:t>中景瑞晟（北京）管理咨询有限公司</w:t>
            </w:r>
          </w:p>
        </w:tc>
        <w:tc>
          <w:tcPr>
            <w:tcW w:w="3481" w:type="dxa"/>
            <w:vAlign w:val="center"/>
          </w:tcPr>
          <w:p>
            <w:pPr>
              <w:pStyle w:val="29"/>
              <w:spacing w:line="300" w:lineRule="exact"/>
              <w:jc w:val="left"/>
              <w:rPr>
                <w:rFonts w:hint="eastAsia" w:ascii="宋体" w:hAnsi="宋体" w:eastAsia="宋体" w:cs="宋体"/>
                <w:sz w:val="21"/>
                <w:szCs w:val="21"/>
              </w:rPr>
            </w:pPr>
            <w:r>
              <w:rPr>
                <w:rFonts w:hint="eastAsia" w:ascii="宋体" w:hAnsi="宋体" w:eastAsia="宋体" w:cs="宋体"/>
                <w:sz w:val="21"/>
                <w:szCs w:val="21"/>
              </w:rPr>
              <w:t>作为财务专家对项目的实施情况进行评价</w:t>
            </w:r>
          </w:p>
        </w:tc>
      </w:tr>
    </w:tbl>
    <w:p>
      <w:pPr>
        <w:pStyle w:val="4"/>
        <w:pageBreakBefore w:val="0"/>
        <w:kinsoku/>
        <w:wordWrap/>
        <w:topLinePunct w:val="0"/>
        <w:bidi w:val="0"/>
        <w:spacing w:line="580" w:lineRule="exact"/>
        <w:ind w:left="0" w:leftChars="0" w:firstLine="640" w:firstLineChars="200"/>
        <w:jc w:val="both"/>
        <w:rPr>
          <w:rFonts w:hint="eastAsia" w:ascii="楷体" w:hAnsi="楷体" w:eastAsia="楷体" w:cs="楷体"/>
          <w:sz w:val="32"/>
          <w:szCs w:val="32"/>
        </w:rPr>
      </w:pPr>
      <w:bookmarkStart w:id="62" w:name="_Toc2089561725"/>
      <w:bookmarkStart w:id="63" w:name="_Toc254515087_WPSOffice_Level2"/>
      <w:bookmarkStart w:id="64" w:name="_Toc1599219093_WPSOffice_Level2"/>
      <w:bookmarkStart w:id="65" w:name="_Toc996906652_WPSOffice_Level2"/>
      <w:bookmarkStart w:id="66" w:name="_Toc366886257_WPSOffice_Level2"/>
      <w:bookmarkStart w:id="67" w:name="_Toc19591"/>
      <w:bookmarkStart w:id="68" w:name="_Toc1520301907_WPSOffice_Level2"/>
      <w:bookmarkStart w:id="69" w:name="_Toc1856284460_WPSOffice_Level2"/>
      <w:bookmarkStart w:id="70" w:name="_Toc691781863_WPSOffice_Level2"/>
      <w:bookmarkStart w:id="71" w:name="_Toc220274541_WPSOffice_Level2"/>
      <w:bookmarkStart w:id="72" w:name="_Toc1900821329_WPSOffice_Level2"/>
      <w:bookmarkStart w:id="73" w:name="_Toc906868024_WPSOffice_Level2"/>
      <w:bookmarkStart w:id="74" w:name="_Toc447198597"/>
      <w:r>
        <w:rPr>
          <w:rFonts w:hint="eastAsia" w:ascii="楷体" w:hAnsi="楷体" w:eastAsia="楷体" w:cs="楷体"/>
          <w:sz w:val="32"/>
          <w:szCs w:val="32"/>
        </w:rPr>
        <w:t>（七）绩效评价工作过程</w:t>
      </w:r>
      <w:bookmarkEnd w:id="62"/>
      <w:bookmarkEnd w:id="63"/>
      <w:bookmarkEnd w:id="64"/>
      <w:bookmarkEnd w:id="65"/>
      <w:bookmarkEnd w:id="66"/>
      <w:bookmarkEnd w:id="67"/>
      <w:bookmarkEnd w:id="68"/>
      <w:bookmarkEnd w:id="69"/>
      <w:bookmarkEnd w:id="70"/>
      <w:bookmarkEnd w:id="71"/>
      <w:bookmarkEnd w:id="72"/>
      <w:bookmarkEnd w:id="73"/>
    </w:p>
    <w:p>
      <w:pPr>
        <w:pStyle w:val="29"/>
        <w:pageBreakBefore w:val="0"/>
        <w:kinsoku/>
        <w:wordWrap/>
        <w:topLinePunct w:val="0"/>
        <w:bidi w:val="0"/>
        <w:spacing w:line="580" w:lineRule="exact"/>
        <w:ind w:firstLine="640" w:firstLineChars="200"/>
        <w:jc w:val="both"/>
        <w:rPr>
          <w:rFonts w:ascii="仿宋_GB2312" w:eastAsia="仿宋_GB2312"/>
          <w:sz w:val="32"/>
          <w:szCs w:val="32"/>
        </w:rPr>
      </w:pPr>
      <w:r>
        <w:rPr>
          <w:rFonts w:ascii="仿宋_GB2312" w:eastAsia="仿宋_GB2312"/>
          <w:sz w:val="32"/>
          <w:szCs w:val="32"/>
        </w:rPr>
        <w:t>本次绩效评价时间为2020年</w:t>
      </w:r>
      <w:r>
        <w:rPr>
          <w:rFonts w:hint="eastAsia" w:ascii="仿宋_GB2312" w:eastAsia="仿宋_GB2312"/>
          <w:sz w:val="32"/>
          <w:szCs w:val="32"/>
          <w:lang w:val="en-US" w:eastAsia="zh-CN"/>
        </w:rPr>
        <w:t>9</w:t>
      </w:r>
      <w:r>
        <w:rPr>
          <w:rFonts w:ascii="仿宋_GB2312" w:eastAsia="仿宋_GB2312"/>
          <w:sz w:val="32"/>
          <w:szCs w:val="32"/>
        </w:rPr>
        <w:t>月</w:t>
      </w:r>
      <w:r>
        <w:rPr>
          <w:rFonts w:hint="eastAsia" w:ascii="仿宋_GB2312" w:eastAsia="仿宋_GB2312"/>
          <w:sz w:val="32"/>
          <w:szCs w:val="32"/>
          <w:lang w:val="en-US" w:eastAsia="zh-CN"/>
        </w:rPr>
        <w:t>3</w:t>
      </w:r>
      <w:r>
        <w:rPr>
          <w:rFonts w:ascii="仿宋_GB2312" w:eastAsia="仿宋_GB2312"/>
          <w:sz w:val="32"/>
          <w:szCs w:val="32"/>
        </w:rPr>
        <w:t>日</w:t>
      </w:r>
      <w:r>
        <w:rPr>
          <w:rFonts w:ascii="仿宋_GB2312" w:eastAsia="仿宋_GB2312"/>
          <w:sz w:val="32"/>
          <w:szCs w:val="32"/>
          <w:highlight w:val="none"/>
        </w:rPr>
        <w:t>至</w:t>
      </w:r>
      <w:r>
        <w:rPr>
          <w:rFonts w:hint="eastAsia" w:ascii="仿宋_GB2312" w:eastAsia="仿宋_GB2312"/>
          <w:sz w:val="32"/>
          <w:szCs w:val="32"/>
          <w:highlight w:val="none"/>
          <w:lang w:eastAsia="zh-CN"/>
        </w:rPr>
        <w:t>9</w:t>
      </w:r>
      <w:r>
        <w:rPr>
          <w:rFonts w:ascii="仿宋_GB2312" w:eastAsia="仿宋_GB2312"/>
          <w:sz w:val="32"/>
          <w:szCs w:val="32"/>
          <w:highlight w:val="none"/>
        </w:rPr>
        <w:t>月</w:t>
      </w:r>
      <w:r>
        <w:rPr>
          <w:rFonts w:hint="eastAsia" w:ascii="仿宋_GB2312" w:eastAsia="仿宋_GB2312"/>
          <w:sz w:val="32"/>
          <w:szCs w:val="32"/>
          <w:highlight w:val="none"/>
          <w:lang w:val="en-US" w:eastAsia="zh-CN"/>
        </w:rPr>
        <w:t>25</w:t>
      </w:r>
      <w:r>
        <w:rPr>
          <w:rFonts w:ascii="仿宋_GB2312" w:eastAsia="仿宋_GB2312"/>
          <w:sz w:val="32"/>
          <w:szCs w:val="32"/>
          <w:highlight w:val="none"/>
        </w:rPr>
        <w:t>日，</w:t>
      </w:r>
      <w:r>
        <w:rPr>
          <w:rFonts w:ascii="仿宋_GB2312" w:eastAsia="仿宋_GB2312"/>
          <w:sz w:val="32"/>
          <w:szCs w:val="32"/>
        </w:rPr>
        <w:t>主要工作内容包括以下三个阶段：</w:t>
      </w:r>
    </w:p>
    <w:p>
      <w:pPr>
        <w:pageBreakBefore w:val="0"/>
        <w:kinsoku/>
        <w:wordWrap/>
        <w:topLinePunct w:val="0"/>
        <w:bidi w:val="0"/>
        <w:spacing w:line="58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前期准备阶段（</w:t>
      </w:r>
      <w:r>
        <w:rPr>
          <w:rFonts w:hint="eastAsia" w:ascii="仿宋_GB2312" w:eastAsia="仿宋_GB2312"/>
          <w:color w:val="000000"/>
          <w:sz w:val="32"/>
          <w:szCs w:val="32"/>
          <w:lang w:eastAsia="zh-CN"/>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日-20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日）</w:t>
      </w:r>
      <w:bookmarkEnd w:id="74"/>
    </w:p>
    <w:p>
      <w:pPr>
        <w:pStyle w:val="7"/>
        <w:pageBreakBefore w:val="0"/>
        <w:kinsoku/>
        <w:wordWrap/>
        <w:topLinePunct w:val="0"/>
        <w:bidi w:val="0"/>
        <w:spacing w:before="0" w:line="580" w:lineRule="exact"/>
        <w:ind w:left="0" w:firstLine="640" w:firstLineChars="200"/>
        <w:jc w:val="both"/>
        <w:outlineLvl w:val="0"/>
      </w:pPr>
      <w:bookmarkStart w:id="75" w:name="_Toc13783"/>
      <w:bookmarkStart w:id="76" w:name="_Toc23803"/>
      <w:bookmarkStart w:id="77" w:name="_Toc447198598"/>
      <w:r>
        <w:rPr>
          <w:rFonts w:hint="eastAsia"/>
        </w:rPr>
        <w:t>首先，熟悉政策、法规和相关资料。在明确委托方要求的前提下，评价机构搜集并分析相关法律法规、政策文件以及初步的项目资料，明确评价目的、项目概况、项目背景以及项目实施的完成情况等。</w:t>
      </w:r>
      <w:bookmarkEnd w:id="75"/>
      <w:bookmarkEnd w:id="76"/>
    </w:p>
    <w:p>
      <w:pPr>
        <w:pStyle w:val="7"/>
        <w:pageBreakBefore w:val="0"/>
        <w:kinsoku/>
        <w:wordWrap/>
        <w:topLinePunct w:val="0"/>
        <w:bidi w:val="0"/>
        <w:spacing w:before="0" w:line="580" w:lineRule="exact"/>
        <w:ind w:left="0" w:firstLine="640" w:firstLineChars="200"/>
        <w:jc w:val="both"/>
        <w:outlineLvl w:val="0"/>
      </w:pPr>
      <w:bookmarkStart w:id="78" w:name="_Toc16068"/>
      <w:bookmarkStart w:id="79" w:name="_Toc28705"/>
      <w:r>
        <w:rPr>
          <w:rFonts w:hint="eastAsia"/>
        </w:rPr>
        <w:t>其次，设计指标体系。与委托方、项目主管部门、项目单位等进行沟通、访谈，设计绩效评价指标，包括确定评价原则、评价方法、评价指标内容、确定指标权重及评价标准等。</w:t>
      </w:r>
      <w:bookmarkEnd w:id="78"/>
      <w:bookmarkEnd w:id="79"/>
    </w:p>
    <w:p>
      <w:pPr>
        <w:pStyle w:val="7"/>
        <w:pageBreakBefore w:val="0"/>
        <w:kinsoku/>
        <w:wordWrap/>
        <w:topLinePunct w:val="0"/>
        <w:bidi w:val="0"/>
        <w:spacing w:before="0" w:line="580" w:lineRule="exact"/>
        <w:ind w:left="0" w:firstLine="640" w:firstLineChars="200"/>
        <w:jc w:val="both"/>
        <w:outlineLvl w:val="0"/>
      </w:pPr>
      <w:bookmarkStart w:id="80" w:name="_Toc20652"/>
      <w:bookmarkStart w:id="81" w:name="_Toc32689"/>
      <w:r>
        <w:rPr>
          <w:rFonts w:hint="default"/>
        </w:rPr>
        <w:t>再次</w:t>
      </w:r>
      <w:r>
        <w:rPr>
          <w:rFonts w:hint="eastAsia"/>
        </w:rPr>
        <w:t>，制订绩效评价工作方案。就评价背景、评价目的、评价对象和内容、评价方法、评价依据和进度安排等制定初步工作方案和绩效评价指标体系并报委托方审核，依据委托方提出的意见进一步完善工作方案和指标体系。</w:t>
      </w:r>
      <w:bookmarkEnd w:id="80"/>
      <w:bookmarkEnd w:id="81"/>
    </w:p>
    <w:p>
      <w:pPr>
        <w:pStyle w:val="7"/>
        <w:pageBreakBefore w:val="0"/>
        <w:kinsoku/>
        <w:wordWrap/>
        <w:topLinePunct w:val="0"/>
        <w:bidi w:val="0"/>
        <w:spacing w:before="0" w:line="580" w:lineRule="exact"/>
        <w:ind w:left="0" w:firstLine="640" w:firstLineChars="200"/>
        <w:jc w:val="both"/>
        <w:outlineLvl w:val="0"/>
      </w:pPr>
      <w:bookmarkStart w:id="82" w:name="_Toc26597"/>
      <w:bookmarkStart w:id="83" w:name="_Toc25373"/>
      <w:r>
        <w:rPr>
          <w:rFonts w:hint="eastAsia"/>
        </w:rPr>
        <w:t>最后，制定评价表格。评价机构根据工作需求进行资料清单、调查文本设计，包括需要由项目实施单位提供的评价资料明细、基础数据表、访谈提纲、调查表、调查问卷、现场勘查记录表等。</w:t>
      </w:r>
      <w:bookmarkEnd w:id="82"/>
      <w:bookmarkEnd w:id="83"/>
    </w:p>
    <w:p>
      <w:pPr>
        <w:pageBreakBefore w:val="0"/>
        <w:kinsoku/>
        <w:wordWrap/>
        <w:topLinePunct w:val="0"/>
        <w:bidi w:val="0"/>
        <w:spacing w:line="58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评价实施阶段（20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日）。</w:t>
      </w:r>
      <w:bookmarkEnd w:id="77"/>
    </w:p>
    <w:p>
      <w:pPr>
        <w:pStyle w:val="29"/>
        <w:pageBreakBefore w:val="0"/>
        <w:kinsoku/>
        <w:wordWrap/>
        <w:topLinePunct w:val="0"/>
        <w:bidi w:val="0"/>
        <w:spacing w:line="580" w:lineRule="exact"/>
        <w:ind w:firstLine="640" w:firstLineChars="200"/>
        <w:jc w:val="both"/>
        <w:rPr>
          <w:rFonts w:ascii="仿宋_GB2312" w:eastAsia="仿宋_GB2312"/>
          <w:sz w:val="32"/>
          <w:szCs w:val="32"/>
        </w:rPr>
      </w:pPr>
      <w:r>
        <w:rPr>
          <w:rFonts w:hint="eastAsia" w:ascii="仿宋_GB2312" w:eastAsia="仿宋_GB2312"/>
          <w:sz w:val="32"/>
          <w:szCs w:val="32"/>
        </w:rPr>
        <w:t>评价机构依据工作需要组建评价小组到项目单位进行现场评价。采取勘察、问询、座谈、复核等多种方式，结合</w:t>
      </w:r>
      <w:r>
        <w:rPr>
          <w:rFonts w:hint="default" w:ascii="仿宋_GB2312" w:eastAsia="仿宋_GB2312"/>
          <w:sz w:val="32"/>
          <w:szCs w:val="32"/>
        </w:rPr>
        <w:t>主管部门、</w:t>
      </w:r>
      <w:r>
        <w:rPr>
          <w:rFonts w:hint="eastAsia" w:ascii="仿宋_GB2312" w:eastAsia="仿宋_GB2312"/>
          <w:sz w:val="32"/>
          <w:szCs w:val="32"/>
        </w:rPr>
        <w:t>项目单位提供的项目资料，对项目的实施和完成情况进行核实，并对所掌握的有关信息进行分类、整理和初步分析，形成现场评价意见。</w:t>
      </w:r>
    </w:p>
    <w:p>
      <w:pPr>
        <w:pageBreakBefore w:val="0"/>
        <w:widowControl w:val="0"/>
        <w:kinsoku/>
        <w:wordWrap/>
        <w:topLinePunct w:val="0"/>
        <w:bidi w:val="0"/>
        <w:spacing w:line="580" w:lineRule="exact"/>
        <w:ind w:firstLine="640" w:firstLineChars="200"/>
        <w:jc w:val="both"/>
        <w:rPr>
          <w:rFonts w:hint="eastAsia" w:ascii="仿宋_GB2312" w:eastAsia="仿宋_GB2312"/>
          <w:color w:val="000000"/>
          <w:sz w:val="32"/>
          <w:szCs w:val="32"/>
        </w:rPr>
      </w:pPr>
      <w:bookmarkStart w:id="84" w:name="_Toc447198599"/>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评价总结阶段（20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日）。</w:t>
      </w:r>
      <w:bookmarkEnd w:id="84"/>
    </w:p>
    <w:p>
      <w:pPr>
        <w:pageBreakBefore w:val="0"/>
        <w:widowControl w:val="0"/>
        <w:kinsoku/>
        <w:wordWrap/>
        <w:topLinePunct w:val="0"/>
        <w:bidi w:val="0"/>
        <w:spacing w:line="58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评价机构根据收集的资料和现场勘查情况等，撰写</w:t>
      </w:r>
      <w:r>
        <w:rPr>
          <w:rFonts w:hint="eastAsia" w:ascii="仿宋_GB2312" w:eastAsia="仿宋_GB2312"/>
          <w:color w:val="000000"/>
          <w:sz w:val="32"/>
          <w:szCs w:val="32"/>
          <w:lang w:val="en-US" w:eastAsia="zh-CN"/>
        </w:rPr>
        <w:t>2018年度山亭区“四好农村路”李东线李庄至西崮城段改建工程项目</w:t>
      </w:r>
      <w:r>
        <w:rPr>
          <w:rFonts w:hint="eastAsia" w:ascii="仿宋_GB2312" w:eastAsia="仿宋_GB2312"/>
          <w:color w:val="000000"/>
          <w:sz w:val="32"/>
          <w:szCs w:val="32"/>
        </w:rPr>
        <w:t>支出绩效评价报告，经内部三级审核后，提交委托方</w:t>
      </w:r>
      <w:r>
        <w:rPr>
          <w:rFonts w:hint="eastAsia" w:ascii="仿宋_GB2312" w:eastAsia="仿宋_GB2312"/>
          <w:color w:val="000000"/>
          <w:sz w:val="32"/>
          <w:szCs w:val="32"/>
          <w:lang w:eastAsia="zh-CN"/>
        </w:rPr>
        <w:t>，并征求委托方意见，</w:t>
      </w:r>
      <w:r>
        <w:rPr>
          <w:rFonts w:hint="eastAsia" w:ascii="仿宋_GB2312" w:eastAsia="仿宋_GB2312"/>
          <w:color w:val="000000"/>
          <w:sz w:val="32"/>
          <w:szCs w:val="32"/>
          <w:lang w:val="en-US" w:eastAsia="zh-CN"/>
        </w:rPr>
        <w:t>提交正式报告</w:t>
      </w:r>
      <w:r>
        <w:rPr>
          <w:rFonts w:hint="eastAsia" w:ascii="仿宋_GB2312" w:eastAsia="仿宋_GB2312"/>
          <w:color w:val="000000"/>
          <w:sz w:val="32"/>
          <w:szCs w:val="32"/>
        </w:rPr>
        <w:t>。</w:t>
      </w:r>
    </w:p>
    <w:p>
      <w:pPr>
        <w:pStyle w:val="3"/>
        <w:pageBreakBefore w:val="0"/>
        <w:widowControl w:val="0"/>
        <w:pBdr>
          <w:bottom w:val="none" w:color="auto" w:sz="0" w:space="0"/>
        </w:pBdr>
        <w:kinsoku/>
        <w:wordWrap/>
        <w:overflowPunct w:val="0"/>
        <w:topLinePunct w:val="0"/>
        <w:autoSpaceDE w:val="0"/>
        <w:autoSpaceDN w:val="0"/>
        <w:bidi w:val="0"/>
        <w:adjustRightInd w:val="0"/>
        <w:spacing w:after="0" w:line="580" w:lineRule="exact"/>
        <w:ind w:firstLine="640" w:firstLineChars="200"/>
        <w:jc w:val="both"/>
        <w:textAlignment w:val="baseline"/>
        <w:rPr>
          <w:rFonts w:hint="eastAsia" w:ascii="黑体" w:hAnsi="黑体" w:eastAsia="黑体" w:cs="黑体"/>
          <w:color w:val="000000" w:themeColor="text1"/>
          <w:sz w:val="32"/>
          <w:szCs w:val="32"/>
          <w14:textFill>
            <w14:solidFill>
              <w14:schemeClr w14:val="tx1"/>
            </w14:solidFill>
          </w14:textFill>
        </w:rPr>
      </w:pPr>
      <w:bookmarkStart w:id="85" w:name="_Toc18817"/>
      <w:r>
        <w:rPr>
          <w:rStyle w:val="30"/>
          <w:rFonts w:hint="eastAsia" w:ascii="Times New Roman" w:hAnsi="Times New Roman" w:eastAsia="黑体" w:cs="Times New Roman"/>
          <w:b w:val="0"/>
          <w:bCs w:val="0"/>
          <w:color w:val="auto"/>
          <w:kern w:val="44"/>
          <w:sz w:val="32"/>
          <w:szCs w:val="44"/>
          <w:lang w:val="en-US" w:eastAsia="zh-CN"/>
        </w:rPr>
        <w:t>四</w:t>
      </w:r>
      <w:r>
        <w:rPr>
          <w:rStyle w:val="30"/>
          <w:rFonts w:hint="eastAsia" w:ascii="Times New Roman" w:hAnsi="Times New Roman" w:eastAsia="黑体" w:cs="Times New Roman"/>
          <w:b w:val="0"/>
          <w:bCs w:val="0"/>
          <w:color w:val="auto"/>
          <w:kern w:val="44"/>
          <w:sz w:val="32"/>
          <w:szCs w:val="44"/>
          <w:lang w:eastAsia="zh-CN"/>
        </w:rPr>
        <w:t>、</w:t>
      </w:r>
      <w:r>
        <w:rPr>
          <w:rFonts w:hint="eastAsia" w:ascii="黑体" w:hAnsi="黑体" w:eastAsia="黑体" w:cs="黑体"/>
          <w:color w:val="000000" w:themeColor="text1"/>
          <w:sz w:val="32"/>
          <w:szCs w:val="32"/>
          <w14:textFill>
            <w14:solidFill>
              <w14:schemeClr w14:val="tx1"/>
            </w14:solidFill>
          </w14:textFill>
        </w:rPr>
        <w:t>评价结论及分析</w:t>
      </w:r>
      <w:bookmarkEnd w:id="85"/>
    </w:p>
    <w:p>
      <w:pPr>
        <w:pageBreakBefore w:val="0"/>
        <w:widowControl w:val="0"/>
        <w:kinsoku/>
        <w:wordWrap/>
        <w:overflowPunct/>
        <w:topLinePunct w:val="0"/>
        <w:autoSpaceDE/>
        <w:autoSpaceDN/>
        <w:bidi w:val="0"/>
        <w:snapToGrid w:val="0"/>
        <w:spacing w:line="580" w:lineRule="exact"/>
        <w:ind w:firstLine="640" w:firstLineChars="200"/>
        <w:jc w:val="both"/>
        <w:textAlignment w:val="auto"/>
        <w:outlineLvl w:val="1"/>
        <w:rPr>
          <w:rFonts w:ascii="楷体_GB2312" w:hAnsi="楷体_GB2312" w:eastAsia="楷体_GB2312" w:cs="楷体_GB2312"/>
          <w:sz w:val="32"/>
          <w:szCs w:val="32"/>
        </w:rPr>
      </w:pPr>
      <w:bookmarkStart w:id="86" w:name="_Toc1988959138_WPSOffice_Level2"/>
      <w:bookmarkStart w:id="87" w:name="_Toc953718943_WPSOffice_Level2"/>
      <w:bookmarkStart w:id="88" w:name="_Toc342686270_WPSOffice_Level2"/>
      <w:bookmarkStart w:id="89" w:name="_Toc1995126032_WPSOffice_Level2"/>
      <w:bookmarkStart w:id="90" w:name="_Toc1845066852_WPSOffice_Level2"/>
      <w:bookmarkStart w:id="91" w:name="_Toc169970199_WPSOffice_Level2"/>
      <w:bookmarkStart w:id="92" w:name="_Toc900194829_WPSOffice_Level2"/>
      <w:bookmarkStart w:id="93" w:name="_Toc831770862_WPSOffice_Level2"/>
      <w:bookmarkStart w:id="94" w:name="_Toc6811"/>
      <w:bookmarkStart w:id="95" w:name="_Toc82953174_WPSOffice_Level2"/>
      <w:bookmarkStart w:id="96" w:name="_Toc535884083_WPSOffice_Level2"/>
      <w:bookmarkStart w:id="97" w:name="_Toc2124482283_WPSOffice_Level2"/>
      <w:bookmarkStart w:id="98" w:name="_Toc1601819311_WPSOffice_Level2"/>
      <w:bookmarkStart w:id="99" w:name="_Toc1273555566_WPSOffice_Level2"/>
      <w:r>
        <w:rPr>
          <w:rFonts w:hint="eastAsia" w:ascii="楷体_GB2312" w:hAnsi="楷体_GB2312" w:eastAsia="楷体_GB2312" w:cs="楷体_GB2312"/>
          <w:sz w:val="32"/>
          <w:szCs w:val="32"/>
        </w:rPr>
        <w:t>（一）综合评价结论</w:t>
      </w:r>
      <w:bookmarkEnd w:id="86"/>
      <w:bookmarkEnd w:id="87"/>
      <w:bookmarkEnd w:id="88"/>
      <w:bookmarkEnd w:id="89"/>
      <w:bookmarkEnd w:id="90"/>
      <w:bookmarkEnd w:id="91"/>
      <w:bookmarkEnd w:id="92"/>
      <w:bookmarkEnd w:id="93"/>
      <w:bookmarkEnd w:id="94"/>
      <w:bookmarkEnd w:id="95"/>
    </w:p>
    <w:p>
      <w:pPr>
        <w:pageBreakBefore w:val="0"/>
        <w:widowControl w:val="0"/>
        <w:kinsoku/>
        <w:wordWrap/>
        <w:topLinePunct w:val="0"/>
        <w:bidi w:val="0"/>
        <w:spacing w:line="580" w:lineRule="exact"/>
        <w:ind w:firstLine="640" w:firstLineChars="200"/>
        <w:rPr>
          <w:rFonts w:ascii="仿宋_GB2312" w:eastAsia="仿宋_GB2312" w:cs="仿宋_GB2312"/>
          <w:sz w:val="32"/>
          <w:szCs w:val="32"/>
        </w:rPr>
      </w:pPr>
      <w:r>
        <w:rPr>
          <w:rFonts w:hint="eastAsia" w:ascii="仿宋_GB2312" w:eastAsia="仿宋_GB2312"/>
          <w:sz w:val="32"/>
          <w:szCs w:val="32"/>
        </w:rPr>
        <w:t>本项目综合评价得</w:t>
      </w:r>
      <w:r>
        <w:rPr>
          <w:rFonts w:hint="eastAsia" w:ascii="仿宋_GB2312" w:eastAsia="仿宋_GB2312"/>
          <w:sz w:val="32"/>
          <w:szCs w:val="32"/>
          <w:highlight w:val="none"/>
        </w:rPr>
        <w:t>分8</w:t>
      </w:r>
      <w:r>
        <w:rPr>
          <w:rFonts w:hint="eastAsia" w:ascii="仿宋_GB2312" w:eastAsia="仿宋_GB2312"/>
          <w:sz w:val="32"/>
          <w:szCs w:val="32"/>
          <w:highlight w:val="none"/>
          <w:lang w:val="en-US" w:eastAsia="zh-CN"/>
        </w:rPr>
        <w:t>7.45</w:t>
      </w:r>
      <w:r>
        <w:rPr>
          <w:rFonts w:hint="eastAsia" w:ascii="仿宋_GB2312" w:eastAsia="仿宋_GB2312"/>
          <w:sz w:val="32"/>
          <w:szCs w:val="32"/>
          <w:highlight w:val="none"/>
        </w:rPr>
        <w:t>分，评</w:t>
      </w:r>
      <w:r>
        <w:rPr>
          <w:rFonts w:hint="eastAsia" w:ascii="仿宋_GB2312" w:eastAsia="仿宋_GB2312"/>
          <w:sz w:val="32"/>
          <w:szCs w:val="32"/>
        </w:rPr>
        <w:t>价等级为“良”。</w:t>
      </w:r>
      <w:r>
        <w:rPr>
          <w:rFonts w:hint="eastAsia" w:ascii="仿宋_GB2312" w:eastAsia="仿宋_GB2312" w:cs="仿宋_GB2312"/>
          <w:sz w:val="32"/>
          <w:szCs w:val="32"/>
        </w:rPr>
        <w:t>总体上项目立项规范，资金及时足额到位，使用规范，取得了较为显著的社会效益，服务对象满意度较高，但也存在预算</w:t>
      </w:r>
      <w:r>
        <w:rPr>
          <w:rFonts w:hint="eastAsia" w:ascii="仿宋_GB2312" w:eastAsia="仿宋_GB2312" w:cs="仿宋_GB2312"/>
          <w:sz w:val="32"/>
          <w:szCs w:val="32"/>
          <w:lang w:val="en-US" w:eastAsia="zh-CN"/>
        </w:rPr>
        <w:t>编制文件及资金分配文件缺失、资金拨付程序不合规等问题</w:t>
      </w:r>
      <w:r>
        <w:rPr>
          <w:rFonts w:hint="eastAsia" w:ascii="仿宋_GB2312" w:eastAsia="仿宋_GB2312" w:cs="仿宋_GB2312"/>
          <w:sz w:val="32"/>
          <w:szCs w:val="32"/>
        </w:rPr>
        <w:t>。具体</w:t>
      </w:r>
      <w:r>
        <w:rPr>
          <w:rFonts w:hint="eastAsia" w:ascii="仿宋_GB2312" w:eastAsia="仿宋_GB2312" w:cs="仿宋_GB2312"/>
          <w:sz w:val="32"/>
          <w:szCs w:val="32"/>
          <w:lang w:val="en-US" w:eastAsia="zh-CN"/>
        </w:rPr>
        <w:t>得分详见下表</w:t>
      </w:r>
      <w:r>
        <w:rPr>
          <w:rFonts w:hint="eastAsia" w:ascii="仿宋_GB2312" w:eastAsia="仿宋_GB2312" w:cs="仿宋_GB2312"/>
          <w:sz w:val="32"/>
          <w:szCs w:val="32"/>
        </w:rPr>
        <w:t>：</w:t>
      </w:r>
    </w:p>
    <w:p>
      <w:pPr>
        <w:pStyle w:val="7"/>
        <w:spacing w:before="0" w:line="580" w:lineRule="exact"/>
        <w:ind w:left="0"/>
        <w:jc w:val="center"/>
        <w:rPr>
          <w:rFonts w:hint="eastAsia" w:ascii="宋体" w:hAnsi="宋体" w:eastAsia="宋体" w:cs="宋体"/>
          <w:b/>
          <w:bCs/>
          <w:sz w:val="28"/>
          <w:szCs w:val="28"/>
          <w:highlight w:val="yellow"/>
        </w:rPr>
      </w:pPr>
      <w:r>
        <w:rPr>
          <w:rFonts w:hint="eastAsia" w:ascii="宋体" w:hAnsi="宋体" w:eastAsia="宋体" w:cs="宋体"/>
          <w:b/>
          <w:bCs/>
          <w:sz w:val="28"/>
          <w:szCs w:val="28"/>
          <w:highlight w:val="none"/>
        </w:rPr>
        <w:t>表</w:t>
      </w:r>
      <w:r>
        <w:rPr>
          <w:rFonts w:hint="eastAsia" w:ascii="宋体" w:hAnsi="宋体" w:eastAsia="宋体" w:cs="宋体"/>
          <w:b/>
          <w:bCs/>
          <w:sz w:val="28"/>
          <w:szCs w:val="28"/>
          <w:highlight w:val="none"/>
          <w:lang w:val="en-US"/>
        </w:rPr>
        <w:t>4</w:t>
      </w:r>
      <w:r>
        <w:rPr>
          <w:rFonts w:hint="eastAsia" w:ascii="宋体" w:hAnsi="宋体" w:eastAsia="宋体" w:cs="宋体"/>
          <w:b/>
          <w:bCs/>
          <w:sz w:val="28"/>
          <w:szCs w:val="28"/>
          <w:highlight w:val="none"/>
        </w:rPr>
        <w:t>：各指标得分情况表</w:t>
      </w:r>
    </w:p>
    <w:bookmarkEnd w:id="96"/>
    <w:bookmarkEnd w:id="97"/>
    <w:bookmarkEnd w:id="98"/>
    <w:bookmarkEnd w:id="99"/>
    <w:tbl>
      <w:tblPr>
        <w:tblStyle w:val="19"/>
        <w:tblW w:w="10073" w:type="dxa"/>
        <w:jc w:val="center"/>
        <w:shd w:val="clear" w:color="auto" w:fill="auto"/>
        <w:tblLayout w:type="fixed"/>
        <w:tblCellMar>
          <w:top w:w="0" w:type="dxa"/>
          <w:left w:w="0" w:type="dxa"/>
          <w:bottom w:w="0" w:type="dxa"/>
          <w:right w:w="0" w:type="dxa"/>
        </w:tblCellMar>
      </w:tblPr>
      <w:tblGrid>
        <w:gridCol w:w="612"/>
        <w:gridCol w:w="661"/>
        <w:gridCol w:w="660"/>
        <w:gridCol w:w="800"/>
        <w:gridCol w:w="972"/>
        <w:gridCol w:w="720"/>
        <w:gridCol w:w="744"/>
        <w:gridCol w:w="804"/>
        <w:gridCol w:w="1780"/>
        <w:gridCol w:w="730"/>
        <w:gridCol w:w="660"/>
        <w:gridCol w:w="930"/>
      </w:tblGrid>
      <w:tr>
        <w:tblPrEx>
          <w:shd w:val="clear" w:color="auto" w:fill="auto"/>
          <w:tblCellMar>
            <w:top w:w="0" w:type="dxa"/>
            <w:left w:w="0" w:type="dxa"/>
            <w:bottom w:w="0" w:type="dxa"/>
            <w:right w:w="0" w:type="dxa"/>
          </w:tblCellMar>
        </w:tblPrEx>
        <w:trPr>
          <w:trHeight w:val="576"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bookmarkStart w:id="100" w:name="_Toc16939"/>
            <w:bookmarkStart w:id="101" w:name="_Toc16622"/>
            <w:bookmarkStart w:id="102" w:name="_Toc57367463_WPSOffice_Level2"/>
            <w:bookmarkStart w:id="103" w:name="_Toc336333793_WPSOffice_Level2"/>
            <w:bookmarkStart w:id="104" w:name="_Toc552197888_WPSOffice_Level2"/>
            <w:bookmarkStart w:id="105" w:name="_Toc374718884_WPSOffice_Level2"/>
            <w:bookmarkStart w:id="106" w:name="_Toc5807"/>
            <w:bookmarkStart w:id="107" w:name="_Toc922161185_WPSOffice_Level2"/>
            <w:bookmarkStart w:id="108" w:name="_Toc705783164_WPSOffice_Level2"/>
            <w:bookmarkStart w:id="109" w:name="_Toc678888113_WPSOffice_Level2"/>
            <w:bookmarkStart w:id="110" w:name="_Toc477108515_WPSOffice_Level2"/>
            <w:bookmarkStart w:id="111" w:name="_Toc1063259956"/>
            <w:bookmarkStart w:id="112" w:name="_Toc2110615359_WPSOffice_Level2"/>
            <w:r>
              <w:rPr>
                <w:rFonts w:hint="eastAsia" w:ascii="宋体" w:hAnsi="宋体" w:eastAsia="宋体" w:cs="宋体"/>
                <w:b/>
                <w:i w:val="0"/>
                <w:color w:val="000000"/>
                <w:kern w:val="0"/>
                <w:sz w:val="21"/>
                <w:szCs w:val="21"/>
                <w:u w:val="none"/>
                <w:lang w:val="en-US" w:eastAsia="zh-CN" w:bidi="ar"/>
              </w:rPr>
              <w:t>一级指标</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得分</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得分率</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得分</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得分率</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三级指标</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得分</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得分率</w:t>
            </w:r>
          </w:p>
        </w:tc>
      </w:tr>
      <w:tr>
        <w:tblPrEx>
          <w:shd w:val="clear" w:color="auto" w:fill="auto"/>
          <w:tblCellMar>
            <w:top w:w="0" w:type="dxa"/>
            <w:left w:w="0" w:type="dxa"/>
            <w:bottom w:w="0" w:type="dxa"/>
            <w:right w:w="0" w:type="dxa"/>
          </w:tblCellMar>
        </w:tblPrEx>
        <w:trPr>
          <w:trHeight w:val="420" w:hRule="atLeast"/>
          <w:jc w:val="center"/>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决策</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15.00 </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9.90 </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66.00%</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项目立项</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 </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 </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立项依据充分性</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shd w:val="clear" w:color="auto" w:fill="auto"/>
          <w:tblCellMar>
            <w:top w:w="0" w:type="dxa"/>
            <w:left w:w="0" w:type="dxa"/>
            <w:bottom w:w="0" w:type="dxa"/>
            <w:right w:w="0" w:type="dxa"/>
          </w:tblCellMar>
        </w:tblPrEx>
        <w:trPr>
          <w:trHeight w:val="42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立项程序规范性</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shd w:val="clear" w:color="auto" w:fill="auto"/>
          <w:tblCellMar>
            <w:top w:w="0" w:type="dxa"/>
            <w:left w:w="0" w:type="dxa"/>
            <w:bottom w:w="0" w:type="dxa"/>
            <w:right w:w="0" w:type="dxa"/>
          </w:tblCellMar>
        </w:tblPrEx>
        <w:trPr>
          <w:trHeight w:val="42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绩效目标</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3.90 </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78.00%</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绩效目标合理性</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shd w:val="clear" w:color="auto" w:fill="auto"/>
          <w:tblCellMar>
            <w:top w:w="0" w:type="dxa"/>
            <w:left w:w="0" w:type="dxa"/>
            <w:bottom w:w="0" w:type="dxa"/>
            <w:right w:w="0" w:type="dxa"/>
          </w:tblCellMar>
        </w:tblPrEx>
        <w:trPr>
          <w:trHeight w:val="42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绩效指标明确性</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0.90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45.00%</w:t>
            </w:r>
          </w:p>
        </w:tc>
      </w:tr>
      <w:tr>
        <w:tblPrEx>
          <w:shd w:val="clear" w:color="auto" w:fill="auto"/>
          <w:tblCellMar>
            <w:top w:w="0" w:type="dxa"/>
            <w:left w:w="0" w:type="dxa"/>
            <w:bottom w:w="0" w:type="dxa"/>
            <w:right w:w="0" w:type="dxa"/>
          </w:tblCellMar>
        </w:tblPrEx>
        <w:trPr>
          <w:trHeight w:val="42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资金投入</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预算编制科学性</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0.00%</w:t>
            </w:r>
          </w:p>
        </w:tc>
      </w:tr>
      <w:tr>
        <w:tblPrEx>
          <w:shd w:val="clear" w:color="auto" w:fill="auto"/>
          <w:tblCellMar>
            <w:top w:w="0" w:type="dxa"/>
            <w:left w:w="0" w:type="dxa"/>
            <w:bottom w:w="0" w:type="dxa"/>
            <w:right w:w="0" w:type="dxa"/>
          </w:tblCellMar>
        </w:tblPrEx>
        <w:trPr>
          <w:trHeight w:val="420" w:hRule="atLeast"/>
          <w:jc w:val="center"/>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过程</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25.00 </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21.64 </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86.56%</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资金管理</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12.00 </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9.64 </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80.33%</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资金到位率</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shd w:val="clear" w:color="auto" w:fill="auto"/>
          <w:tblCellMar>
            <w:top w:w="0" w:type="dxa"/>
            <w:left w:w="0" w:type="dxa"/>
            <w:bottom w:w="0" w:type="dxa"/>
            <w:right w:w="0" w:type="dxa"/>
          </w:tblCellMar>
        </w:tblPrEx>
        <w:trPr>
          <w:trHeight w:val="42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预算执行率</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2.64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87.92%</w:t>
            </w:r>
          </w:p>
        </w:tc>
      </w:tr>
      <w:tr>
        <w:tblPrEx>
          <w:shd w:val="clear" w:color="auto" w:fill="auto"/>
          <w:tblCellMar>
            <w:top w:w="0" w:type="dxa"/>
            <w:left w:w="0" w:type="dxa"/>
            <w:bottom w:w="0" w:type="dxa"/>
            <w:right w:w="0" w:type="dxa"/>
          </w:tblCellMar>
        </w:tblPrEx>
        <w:trPr>
          <w:trHeight w:val="42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资金使用合规性</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71.43%</w:t>
            </w:r>
          </w:p>
        </w:tc>
      </w:tr>
      <w:tr>
        <w:tblPrEx>
          <w:shd w:val="clear" w:color="auto" w:fill="auto"/>
          <w:tblCellMar>
            <w:top w:w="0" w:type="dxa"/>
            <w:left w:w="0" w:type="dxa"/>
            <w:bottom w:w="0" w:type="dxa"/>
            <w:right w:w="0" w:type="dxa"/>
          </w:tblCellMar>
        </w:tblPrEx>
        <w:trPr>
          <w:trHeight w:val="42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组织实施</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13.00 </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12.00 </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92.31%</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管理制度健全性</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shd w:val="clear" w:color="auto" w:fill="auto"/>
          <w:tblCellMar>
            <w:top w:w="0" w:type="dxa"/>
            <w:left w:w="0" w:type="dxa"/>
            <w:bottom w:w="0" w:type="dxa"/>
            <w:right w:w="0" w:type="dxa"/>
          </w:tblCellMar>
        </w:tblPrEx>
        <w:trPr>
          <w:trHeight w:val="42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制度执行有效性</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11.00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90.91%</w:t>
            </w:r>
          </w:p>
        </w:tc>
      </w:tr>
      <w:tr>
        <w:tblPrEx>
          <w:shd w:val="clear" w:color="auto" w:fill="auto"/>
          <w:tblCellMar>
            <w:top w:w="0" w:type="dxa"/>
            <w:left w:w="0" w:type="dxa"/>
            <w:bottom w:w="0" w:type="dxa"/>
            <w:right w:w="0" w:type="dxa"/>
          </w:tblCellMar>
        </w:tblPrEx>
        <w:trPr>
          <w:trHeight w:val="420" w:hRule="atLeast"/>
          <w:jc w:val="center"/>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30.00 </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30.00 </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 </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 </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实际完成率</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shd w:val="clear" w:color="auto" w:fill="auto"/>
          <w:tblCellMar>
            <w:top w:w="0" w:type="dxa"/>
            <w:left w:w="0" w:type="dxa"/>
            <w:bottom w:w="0" w:type="dxa"/>
            <w:right w:w="0" w:type="dxa"/>
          </w:tblCellMar>
        </w:tblPrEx>
        <w:trPr>
          <w:trHeight w:val="42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产出质量</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 </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 </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项目建设完成的质量情况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shd w:val="clear" w:color="auto" w:fill="auto"/>
          <w:tblCellMar>
            <w:top w:w="0" w:type="dxa"/>
            <w:left w:w="0" w:type="dxa"/>
            <w:bottom w:w="0" w:type="dxa"/>
            <w:right w:w="0" w:type="dxa"/>
          </w:tblCellMar>
        </w:tblPrEx>
        <w:trPr>
          <w:trHeight w:val="60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验收程序规范性</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shd w:val="clear" w:color="auto" w:fill="auto"/>
          <w:tblCellMar>
            <w:top w:w="0" w:type="dxa"/>
            <w:left w:w="0" w:type="dxa"/>
            <w:bottom w:w="0" w:type="dxa"/>
            <w:right w:w="0" w:type="dxa"/>
          </w:tblCellMar>
        </w:tblPrEx>
        <w:trPr>
          <w:trHeight w:val="42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产出时效</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 </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 </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工程完工及时情况</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shd w:val="clear" w:color="auto" w:fill="auto"/>
          <w:tblCellMar>
            <w:top w:w="0" w:type="dxa"/>
            <w:left w:w="0" w:type="dxa"/>
            <w:bottom w:w="0" w:type="dxa"/>
            <w:right w:w="0" w:type="dxa"/>
          </w:tblCellMar>
        </w:tblPrEx>
        <w:trPr>
          <w:trHeight w:val="42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产出成本</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成本节约率</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shd w:val="clear" w:color="auto" w:fill="auto"/>
          <w:tblCellMar>
            <w:top w:w="0" w:type="dxa"/>
            <w:left w:w="0" w:type="dxa"/>
            <w:bottom w:w="0" w:type="dxa"/>
            <w:right w:w="0" w:type="dxa"/>
          </w:tblCellMar>
        </w:tblPrEx>
        <w:trPr>
          <w:trHeight w:val="420" w:hRule="atLeast"/>
          <w:jc w:val="center"/>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效果</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30.00 </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25.91 </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86.37%</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项目效益</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30.00 </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25.91 </w:t>
            </w:r>
          </w:p>
        </w:tc>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86.37%</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经济效益</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80.00%</w:t>
            </w:r>
          </w:p>
        </w:tc>
      </w:tr>
      <w:tr>
        <w:tblPrEx>
          <w:shd w:val="clear" w:color="auto" w:fill="auto"/>
          <w:tblCellMar>
            <w:top w:w="0" w:type="dxa"/>
            <w:left w:w="0" w:type="dxa"/>
            <w:bottom w:w="0" w:type="dxa"/>
            <w:right w:w="0" w:type="dxa"/>
          </w:tblCellMar>
        </w:tblPrEx>
        <w:trPr>
          <w:trHeight w:val="42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14.00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11.00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78.57%</w:t>
            </w:r>
          </w:p>
        </w:tc>
      </w:tr>
      <w:tr>
        <w:tblPrEx>
          <w:shd w:val="clear" w:color="auto" w:fill="auto"/>
          <w:tblCellMar>
            <w:top w:w="0" w:type="dxa"/>
            <w:left w:w="0" w:type="dxa"/>
            <w:bottom w:w="0" w:type="dxa"/>
            <w:right w:w="0" w:type="dxa"/>
          </w:tblCellMar>
        </w:tblPrEx>
        <w:trPr>
          <w:trHeight w:val="42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可持续影响</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100.00%</w:t>
            </w:r>
          </w:p>
        </w:tc>
      </w:tr>
      <w:tr>
        <w:tblPrEx>
          <w:shd w:val="clear" w:color="auto" w:fill="auto"/>
          <w:tblCellMar>
            <w:top w:w="0" w:type="dxa"/>
            <w:left w:w="0" w:type="dxa"/>
            <w:bottom w:w="0" w:type="dxa"/>
            <w:right w:w="0" w:type="dxa"/>
          </w:tblCellMar>
        </w:tblPrEx>
        <w:trPr>
          <w:trHeight w:val="42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服务对象满意度</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6.91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98.71%</w:t>
            </w:r>
          </w:p>
        </w:tc>
      </w:tr>
      <w:tr>
        <w:tblPrEx>
          <w:shd w:val="clear" w:color="auto" w:fill="auto"/>
          <w:tblCellMar>
            <w:top w:w="0" w:type="dxa"/>
            <w:left w:w="0" w:type="dxa"/>
            <w:bottom w:w="0" w:type="dxa"/>
            <w:right w:w="0" w:type="dxa"/>
          </w:tblCellMar>
        </w:tblPrEx>
        <w:trPr>
          <w:trHeight w:val="420" w:hRule="atLeast"/>
          <w:jc w:val="center"/>
        </w:trPr>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87.45 </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87.45%</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100.00 </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87.45 </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87.45%</w:t>
            </w:r>
          </w:p>
        </w:tc>
        <w:tc>
          <w:tcPr>
            <w:tcW w:w="1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7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100.00 </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87.45 </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87.45%</w:t>
            </w:r>
          </w:p>
        </w:tc>
      </w:tr>
      <w:bookmarkEnd w:id="100"/>
      <w:bookmarkEnd w:id="101"/>
      <w:bookmarkEnd w:id="102"/>
      <w:bookmarkEnd w:id="103"/>
      <w:bookmarkEnd w:id="104"/>
      <w:bookmarkEnd w:id="105"/>
      <w:bookmarkEnd w:id="106"/>
      <w:bookmarkEnd w:id="107"/>
      <w:bookmarkEnd w:id="108"/>
      <w:bookmarkEnd w:id="109"/>
      <w:bookmarkEnd w:id="110"/>
      <w:bookmarkEnd w:id="111"/>
      <w:bookmarkEnd w:id="112"/>
    </w:tbl>
    <w:p>
      <w:pPr>
        <w:pStyle w:val="7"/>
        <w:keepNext w:val="0"/>
        <w:keepLines w:val="0"/>
        <w:pageBreakBefore w:val="0"/>
        <w:widowControl w:val="0"/>
        <w:kinsoku/>
        <w:wordWrap/>
        <w:overflowPunct/>
        <w:topLinePunct w:val="0"/>
        <w:autoSpaceDE/>
        <w:autoSpaceDN/>
        <w:bidi w:val="0"/>
        <w:adjustRightInd/>
        <w:snapToGrid/>
        <w:spacing w:before="0" w:line="580" w:lineRule="exact"/>
        <w:ind w:left="0" w:firstLine="640" w:firstLineChars="200"/>
        <w:jc w:val="both"/>
        <w:textAlignment w:val="auto"/>
        <w:outlineLvl w:val="1"/>
        <w:rPr>
          <w:rFonts w:ascii="楷体_GB2312" w:hAnsi="宋体" w:eastAsia="楷体_GB2312" w:cs="楷体_GB2312"/>
          <w:color w:val="000000"/>
          <w:lang w:val="en-US" w:bidi="ar"/>
        </w:rPr>
      </w:pPr>
      <w:bookmarkStart w:id="113" w:name="_Toc23674"/>
      <w:bookmarkStart w:id="114" w:name="_Toc31869"/>
      <w:bookmarkStart w:id="115" w:name="_Toc2102276785_WPSOffice_Level2"/>
      <w:bookmarkStart w:id="116" w:name="_Toc491898680_WPSOffice_Level2"/>
      <w:bookmarkStart w:id="117" w:name="_Toc977457567_WPSOffice_Level2"/>
      <w:bookmarkStart w:id="118" w:name="_Toc998653805"/>
      <w:bookmarkStart w:id="119" w:name="_Toc373555896_WPSOffice_Level2"/>
      <w:bookmarkStart w:id="120" w:name="_Toc17362"/>
      <w:r>
        <w:rPr>
          <w:rFonts w:hint="eastAsia" w:ascii="楷体_GB2312" w:hAnsi="宋体" w:eastAsia="楷体_GB2312" w:cs="楷体_GB2312"/>
          <w:color w:val="000000"/>
          <w:lang w:val="en-US" w:bidi="ar"/>
        </w:rPr>
        <w:t>（二）绩效评价指标分析</w:t>
      </w:r>
      <w:bookmarkEnd w:id="113"/>
    </w:p>
    <w:p>
      <w:pPr>
        <w:pStyle w:val="7"/>
        <w:keepNext w:val="0"/>
        <w:keepLines w:val="0"/>
        <w:pageBreakBefore w:val="0"/>
        <w:widowControl w:val="0"/>
        <w:kinsoku/>
        <w:wordWrap/>
        <w:overflowPunct/>
        <w:topLinePunct w:val="0"/>
        <w:autoSpaceDE/>
        <w:autoSpaceDN/>
        <w:bidi w:val="0"/>
        <w:adjustRightInd/>
        <w:snapToGrid/>
        <w:spacing w:before="0" w:line="580" w:lineRule="exact"/>
        <w:ind w:left="0" w:firstLine="640" w:firstLineChars="200"/>
        <w:jc w:val="both"/>
        <w:textAlignment w:val="auto"/>
        <w:rPr>
          <w:lang w:val="en-US"/>
        </w:rPr>
      </w:pPr>
      <w:r>
        <w:rPr>
          <w:rFonts w:hint="eastAsia"/>
          <w:lang w:val="en-US"/>
        </w:rPr>
        <w:t>该项目绩效评价指标体系包括4个一级指标、</w:t>
      </w:r>
      <w:r>
        <w:rPr>
          <w:rFonts w:hint="eastAsia"/>
          <w:lang w:val="en-US" w:eastAsia="zh-CN"/>
        </w:rPr>
        <w:t>10</w:t>
      </w:r>
      <w:r>
        <w:rPr>
          <w:rFonts w:hint="eastAsia"/>
          <w:lang w:val="en-US"/>
        </w:rPr>
        <w:t>个二级指标、</w:t>
      </w:r>
      <w:r>
        <w:rPr>
          <w:rFonts w:hint="eastAsia"/>
          <w:lang w:val="en-US" w:eastAsia="zh-CN"/>
        </w:rPr>
        <w:t>19</w:t>
      </w:r>
      <w:r>
        <w:rPr>
          <w:rFonts w:hint="eastAsia"/>
          <w:lang w:val="en-US"/>
        </w:rPr>
        <w:t>个三级指标和2</w:t>
      </w:r>
      <w:r>
        <w:rPr>
          <w:rFonts w:hint="eastAsia"/>
          <w:lang w:val="en-US" w:eastAsia="zh-CN"/>
        </w:rPr>
        <w:t>7</w:t>
      </w:r>
      <w:r>
        <w:rPr>
          <w:rFonts w:hint="eastAsia"/>
          <w:lang w:val="en-US"/>
        </w:rPr>
        <w:t>个四级指标，以下将按照三级指标进行分析。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1.项目决策分析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该一级指标包括项目立项、绩效目标和资金投入3个二级指标得分情况如下表所示。</w:t>
      </w:r>
    </w:p>
    <w:p>
      <w:pPr>
        <w:snapToGrid w:val="0"/>
        <w:spacing w:line="580" w:lineRule="atLeast"/>
        <w:ind w:firstLine="562" w:firstLineChars="200"/>
        <w:jc w:val="center"/>
        <w:outlineLvl w:val="0"/>
        <w:rPr>
          <w:rFonts w:hint="eastAsia"/>
        </w:rPr>
      </w:pPr>
      <w:r>
        <w:rPr>
          <w:rFonts w:hint="eastAsia" w:ascii="宋体" w:hAnsi="宋体" w:eastAsia="宋体" w:cs="宋体"/>
          <w:b/>
          <w:bCs/>
          <w:sz w:val="28"/>
          <w:szCs w:val="28"/>
        </w:rPr>
        <w:t>表</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：决策指标得分情况表</w:t>
      </w:r>
      <w:bookmarkEnd w:id="114"/>
      <w:bookmarkEnd w:id="115"/>
      <w:bookmarkEnd w:id="116"/>
      <w:bookmarkEnd w:id="117"/>
      <w:bookmarkEnd w:id="118"/>
      <w:bookmarkEnd w:id="119"/>
      <w:bookmarkEnd w:id="120"/>
    </w:p>
    <w:tbl>
      <w:tblPr>
        <w:tblStyle w:val="19"/>
        <w:tblW w:w="9777" w:type="dxa"/>
        <w:jc w:val="center"/>
        <w:shd w:val="clear" w:color="auto" w:fill="auto"/>
        <w:tblLayout w:type="fixed"/>
        <w:tblCellMar>
          <w:top w:w="0" w:type="dxa"/>
          <w:left w:w="0" w:type="dxa"/>
          <w:bottom w:w="0" w:type="dxa"/>
          <w:right w:w="0" w:type="dxa"/>
        </w:tblCellMar>
      </w:tblPr>
      <w:tblGrid>
        <w:gridCol w:w="1007"/>
        <w:gridCol w:w="664"/>
        <w:gridCol w:w="1080"/>
        <w:gridCol w:w="828"/>
        <w:gridCol w:w="1728"/>
        <w:gridCol w:w="744"/>
        <w:gridCol w:w="2082"/>
        <w:gridCol w:w="816"/>
        <w:gridCol w:w="828"/>
      </w:tblGrid>
      <w:tr>
        <w:tblPrEx>
          <w:shd w:val="clear" w:color="auto" w:fill="auto"/>
          <w:tblCellMar>
            <w:top w:w="0" w:type="dxa"/>
            <w:left w:w="0" w:type="dxa"/>
            <w:bottom w:w="0" w:type="dxa"/>
            <w:right w:w="0" w:type="dxa"/>
          </w:tblCellMar>
        </w:tblPrEx>
        <w:trPr>
          <w:trHeight w:val="380" w:hRule="atLeast"/>
          <w:jc w:val="center"/>
        </w:trPr>
        <w:tc>
          <w:tcPr>
            <w:tcW w:w="100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bookmarkStart w:id="121" w:name="_Toc417481404_WPSOffice_Level2"/>
            <w:bookmarkStart w:id="122" w:name="_Toc29171"/>
            <w:bookmarkStart w:id="123" w:name="_Toc1676557457_WPSOffice_Level2"/>
            <w:bookmarkStart w:id="124" w:name="_Toc1259243891_WPSOffice_Level2"/>
            <w:bookmarkStart w:id="125" w:name="_Toc2026912666_WPSOffice_Level2"/>
            <w:bookmarkStart w:id="126" w:name="_Toc15111"/>
            <w:r>
              <w:rPr>
                <w:rFonts w:hint="eastAsia" w:ascii="宋体" w:hAnsi="宋体" w:eastAsia="宋体" w:cs="宋体"/>
                <w:b/>
                <w:i w:val="0"/>
                <w:color w:val="000000"/>
                <w:kern w:val="0"/>
                <w:sz w:val="21"/>
                <w:szCs w:val="21"/>
                <w:u w:val="none"/>
                <w:lang w:val="en-US" w:eastAsia="zh-CN" w:bidi="ar"/>
              </w:rPr>
              <w:t>一级指标</w:t>
            </w:r>
          </w:p>
        </w:tc>
        <w:tc>
          <w:tcPr>
            <w:tcW w:w="66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二级指标</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三级指标</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四级指标</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得分</w:t>
            </w:r>
          </w:p>
        </w:tc>
      </w:tr>
      <w:tr>
        <w:tblPrEx>
          <w:shd w:val="clear" w:color="auto" w:fill="auto"/>
          <w:tblCellMar>
            <w:top w:w="0" w:type="dxa"/>
            <w:left w:w="0" w:type="dxa"/>
            <w:bottom w:w="0" w:type="dxa"/>
            <w:right w:w="0" w:type="dxa"/>
          </w:tblCellMar>
        </w:tblPrEx>
        <w:trPr>
          <w:trHeight w:val="360" w:hRule="atLeast"/>
          <w:jc w:val="center"/>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决策</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15.00 </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项目立项</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 </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立项依据充分性</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r>
      <w:tr>
        <w:tblPrEx>
          <w:shd w:val="clear" w:color="auto" w:fill="auto"/>
          <w:tblCellMar>
            <w:top w:w="0" w:type="dxa"/>
            <w:left w:w="0" w:type="dxa"/>
            <w:bottom w:w="0" w:type="dxa"/>
            <w:right w:w="0" w:type="dxa"/>
          </w:tblCellMar>
        </w:tblPrEx>
        <w:trPr>
          <w:trHeight w:val="360"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立项程序规范性</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申报批复程序规范性</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r>
      <w:tr>
        <w:tblPrEx>
          <w:shd w:val="clear" w:color="auto" w:fill="auto"/>
          <w:tblCellMar>
            <w:top w:w="0" w:type="dxa"/>
            <w:left w:w="0" w:type="dxa"/>
            <w:bottom w:w="0" w:type="dxa"/>
            <w:right w:w="0" w:type="dxa"/>
          </w:tblCellMar>
        </w:tblPrEx>
        <w:trPr>
          <w:trHeight w:val="360"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绩效目标</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绩效目标合理性</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绩效目标合理性</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r>
      <w:tr>
        <w:tblPrEx>
          <w:shd w:val="clear" w:color="auto" w:fill="auto"/>
          <w:tblCellMar>
            <w:top w:w="0" w:type="dxa"/>
            <w:left w:w="0" w:type="dxa"/>
            <w:bottom w:w="0" w:type="dxa"/>
            <w:right w:w="0" w:type="dxa"/>
          </w:tblCellMar>
        </w:tblPrEx>
        <w:trPr>
          <w:trHeight w:val="360"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绩效指标明确性</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绩效指标明确性</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0.90 </w:t>
            </w:r>
          </w:p>
        </w:tc>
      </w:tr>
      <w:tr>
        <w:tblPrEx>
          <w:shd w:val="clear" w:color="auto" w:fill="auto"/>
          <w:tblCellMar>
            <w:top w:w="0" w:type="dxa"/>
            <w:left w:w="0" w:type="dxa"/>
            <w:bottom w:w="0" w:type="dxa"/>
            <w:right w:w="0" w:type="dxa"/>
          </w:tblCellMar>
        </w:tblPrEx>
        <w:trPr>
          <w:trHeight w:val="360" w:hRule="atLeast"/>
          <w:jc w:val="center"/>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资金投入</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预算编制科学性</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20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r>
    </w:tbl>
    <w:p>
      <w:pPr>
        <w:keepNext w:val="0"/>
        <w:keepLines w:val="0"/>
        <w:pageBreakBefore w:val="0"/>
        <w:numPr>
          <w:ilvl w:val="0"/>
          <w:numId w:val="0"/>
        </w:numPr>
        <w:kinsoku/>
        <w:wordWrap/>
        <w:topLinePunct w:val="0"/>
        <w:bidi w:val="0"/>
        <w:spacing w:line="580" w:lineRule="exact"/>
        <w:ind w:firstLine="640" w:firstLineChars="200"/>
        <w:rPr>
          <w:rFonts w:ascii="仿宋_GB2312" w:hAnsi="仿宋_GB2312" w:eastAsia="仿宋_GB2312" w:cs="仿宋_GB2312"/>
          <w:sz w:val="32"/>
          <w:szCs w:val="32"/>
        </w:rPr>
      </w:pPr>
      <w:r>
        <w:rPr>
          <w:rFonts w:hint="eastAsia" w:ascii="仿宋_GB2312" w:eastAsia="仿宋_GB2312" w:cs="仿宋_GB2312"/>
          <w:sz w:val="32"/>
          <w:szCs w:val="32"/>
        </w:rPr>
        <w:t>（1）项目立项</w:t>
      </w:r>
      <w:bookmarkEnd w:id="121"/>
      <w:bookmarkEnd w:id="122"/>
      <w:bookmarkEnd w:id="123"/>
      <w:bookmarkEnd w:id="124"/>
      <w:bookmarkEnd w:id="125"/>
      <w:bookmarkEnd w:id="126"/>
      <w:r>
        <w:rPr>
          <w:rFonts w:hint="eastAsia" w:ascii="仿宋_GB2312" w:hAnsi="仿宋_GB2312" w:eastAsia="仿宋_GB2312" w:cs="仿宋_GB2312"/>
          <w:sz w:val="32"/>
          <w:szCs w:val="32"/>
        </w:rPr>
        <w:t>情况分析</w:t>
      </w:r>
    </w:p>
    <w:p>
      <w:pPr>
        <w:keepNext w:val="0"/>
        <w:keepLines w:val="0"/>
        <w:pageBreakBefore w:val="0"/>
        <w:kinsoku/>
        <w:wordWrap/>
        <w:topLinePunct w:val="0"/>
        <w:bidi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该二级指标包括立项依据充分性及立项程序规范性2个三级指标。</w:t>
      </w:r>
    </w:p>
    <w:p>
      <w:pPr>
        <w:pStyle w:val="2"/>
        <w:keepNext w:val="0"/>
        <w:keepLines w:val="0"/>
        <w:pageBreakBefore w:val="0"/>
        <w:widowControl/>
        <w:kinsoku/>
        <w:wordWrap/>
        <w:overflowPunct w:val="0"/>
        <w:topLinePunct w:val="0"/>
        <w:autoSpaceDE w:val="0"/>
        <w:autoSpaceDN w:val="0"/>
        <w:bidi w:val="0"/>
        <w:adjustRightInd w:val="0"/>
        <w:spacing w:line="580" w:lineRule="exact"/>
        <w:ind w:firstLine="64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①</w:t>
      </w:r>
      <w:r>
        <w:rPr>
          <w:rFonts w:hint="eastAsia" w:ascii="仿宋_GB2312" w:hAnsi="仿宋_GB2312" w:eastAsia="仿宋_GB2312" w:cs="仿宋_GB2312"/>
          <w:sz w:val="32"/>
          <w:szCs w:val="32"/>
        </w:rPr>
        <w:t>立项依据充分性分析</w:t>
      </w:r>
    </w:p>
    <w:p>
      <w:pPr>
        <w:keepNext w:val="0"/>
        <w:keepLines w:val="0"/>
        <w:pageBreakBefore w:val="0"/>
        <w:kinsoku/>
        <w:wordWrap/>
        <w:topLinePunct w:val="0"/>
        <w:bidi w:val="0"/>
        <w:snapToGrid/>
        <w:spacing w:line="580" w:lineRule="exact"/>
        <w:ind w:leftChars="0" w:firstLine="643" w:firstLineChars="200"/>
        <w:outlineLvl w:val="0"/>
        <w:rPr>
          <w:rFonts w:hint="eastAsia" w:ascii="仿宋_GB2312" w:hAnsi="仿宋_GB2312" w:eastAsia="仿宋_GB2312" w:cs="仿宋_GB2312"/>
          <w:kern w:val="2"/>
          <w:sz w:val="32"/>
          <w:szCs w:val="32"/>
          <w:lang w:val="en-US" w:eastAsia="zh-CN" w:bidi="zh-CN"/>
        </w:rPr>
      </w:pPr>
      <w:r>
        <w:rPr>
          <w:rFonts w:hint="eastAsia" w:ascii="仿宋_GB2312" w:eastAsia="仿宋_GB2312" w:hAnsiTheme="minorHAnsi" w:cstheme="minorBidi"/>
          <w:b/>
          <w:bCs/>
          <w:color w:val="auto"/>
          <w:kern w:val="2"/>
          <w:sz w:val="32"/>
          <w:szCs w:val="32"/>
          <w:highlight w:val="none"/>
          <w:lang w:val="en-US" w:eastAsia="zh-CN" w:bidi="ar-SA"/>
        </w:rPr>
        <w:t>一是项目立项符合国家法律法规、国民经济发展规划和相关政策。</w:t>
      </w:r>
      <w:r>
        <w:rPr>
          <w:rFonts w:hint="eastAsia" w:ascii="仿宋_GB2312" w:hAnsi="仿宋_GB2312" w:eastAsia="仿宋_GB2312" w:cs="仿宋_GB2312"/>
          <w:kern w:val="2"/>
          <w:sz w:val="32"/>
          <w:szCs w:val="32"/>
          <w:highlight w:val="none"/>
          <w:lang w:val="en-US" w:eastAsia="zh-CN" w:bidi="zh-CN"/>
        </w:rPr>
        <w:t>2018年3</w:t>
      </w:r>
      <w:r>
        <w:rPr>
          <w:rFonts w:hint="eastAsia" w:ascii="仿宋_GB2312" w:hAnsi="仿宋_GB2312" w:eastAsia="仿宋_GB2312" w:cs="仿宋_GB2312"/>
          <w:kern w:val="2"/>
          <w:sz w:val="32"/>
          <w:szCs w:val="32"/>
          <w:lang w:val="en-US" w:eastAsia="zh-CN" w:bidi="zh-CN"/>
        </w:rPr>
        <w:t>月31日山东省人民政府办公厅印发《山东省人民政府办公厅关于进一步做好“四好农村路”工作的实施意见》，文件提出“到2020年，新建改造农村公路3.4万公里，具备条件的自然村全部通公路，农村公路列养率保持100%，具备条件的行政村全部通客车，农村客运公交化改造比例达到75%以上，物流服务网点覆盖率达到90%以上，具备条件的300人以上岛屿建有陆岛交通码头；到2022年，进一步提升“四好农村路”建设水平，全面推进城乡交通运输一体化建设深度，农村客运公交化改造比例达到90%以上，全省所有行政村物流服务网点覆盖率达到100%，基本建成体制机制顺畅、结构科学合理、组织集约高效、能力总体适应、技术先进适用、安全保障有力、生态环境友好的农村公路交通服务体系”。项目立项与省级相关政策要求相符。</w:t>
      </w:r>
    </w:p>
    <w:p>
      <w:pPr>
        <w:pStyle w:val="7"/>
        <w:keepNext w:val="0"/>
        <w:keepLines w:val="0"/>
        <w:pageBreakBefore w:val="0"/>
        <w:kinsoku/>
        <w:wordWrap/>
        <w:topLinePunct w:val="0"/>
        <w:bidi w:val="0"/>
        <w:spacing w:before="0" w:line="580" w:lineRule="exact"/>
        <w:ind w:left="0" w:firstLine="643" w:firstLineChars="200"/>
        <w:rPr>
          <w:lang w:val="en-US"/>
        </w:rPr>
      </w:pPr>
      <w:r>
        <w:rPr>
          <w:rFonts w:hint="eastAsia"/>
          <w:b/>
          <w:bCs/>
          <w:lang w:val="en-US"/>
        </w:rPr>
        <w:t>二是项目立项与部门职责范围相符，属于部门履职所需。</w:t>
      </w:r>
      <w:r>
        <w:rPr>
          <w:rFonts w:hint="eastAsia"/>
          <w:lang w:val="en-US" w:eastAsia="zh-CN"/>
        </w:rPr>
        <w:t>区交通局</w:t>
      </w:r>
      <w:r>
        <w:rPr>
          <w:rFonts w:hint="eastAsia"/>
          <w:lang w:val="en-US"/>
        </w:rPr>
        <w:t>的部门职责为“根据国家、省、市公路 交通行业发展规划及我区国民经济发展总体布局，编制我区公路 交通行业发展规划、中长期计划和年度计划，并组织实施；负责全区公路规划、养护和管理，负责路政管理，依法保护公路产权；负责全区道路营业性运输站、点建设的规划、实施及其行业管理工作”。</w:t>
      </w:r>
    </w:p>
    <w:p>
      <w:pPr>
        <w:pStyle w:val="7"/>
        <w:keepNext w:val="0"/>
        <w:keepLines w:val="0"/>
        <w:pageBreakBefore w:val="0"/>
        <w:kinsoku/>
        <w:wordWrap/>
        <w:topLinePunct w:val="0"/>
        <w:bidi w:val="0"/>
        <w:spacing w:before="0" w:line="580" w:lineRule="exact"/>
        <w:ind w:left="0" w:firstLine="640" w:firstLineChars="200"/>
        <w:rPr>
          <w:rFonts w:hint="eastAsia" w:ascii="仿宋_GB2312" w:eastAsia="仿宋_GB2312" w:cs="仿宋_GB2312"/>
          <w:sz w:val="32"/>
          <w:szCs w:val="32"/>
        </w:rPr>
      </w:pPr>
      <w:r>
        <w:rPr>
          <w:rFonts w:hint="eastAsia"/>
          <w:lang w:val="en-US"/>
        </w:rPr>
        <w:t>项目立项与</w:t>
      </w:r>
      <w:r>
        <w:rPr>
          <w:rFonts w:hint="eastAsia"/>
          <w:lang w:val="en-US" w:eastAsia="zh-CN"/>
        </w:rPr>
        <w:t>区交通局</w:t>
      </w:r>
      <w:r>
        <w:rPr>
          <w:rFonts w:hint="eastAsia"/>
          <w:lang w:val="en-US"/>
        </w:rPr>
        <w:t>职责相关，且属于该部门履职所需。</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spacing w:line="580" w:lineRule="exact"/>
        <w:ind w:left="0" w:leftChars="0" w:right="0" w:rightChars="0" w:firstLine="643" w:firstLineChars="200"/>
        <w:jc w:val="both"/>
        <w:textAlignment w:val="baseline"/>
        <w:outlineLvl w:val="9"/>
        <w:rPr>
          <w:rFonts w:hint="default"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lang w:val="en-US"/>
        </w:rPr>
        <w:t>三是项目属于公共财政支持范围，符合中央、地方事权支出责任划分原则。</w:t>
      </w:r>
      <w:r>
        <w:rPr>
          <w:rFonts w:hint="default" w:ascii="仿宋_GB2312" w:hAnsi="仿宋_GB2312" w:eastAsia="仿宋_GB2312" w:cs="仿宋_GB2312"/>
          <w:color w:val="000000"/>
          <w:sz w:val="32"/>
          <w:szCs w:val="32"/>
          <w:highlight w:val="none"/>
        </w:rPr>
        <w:t>《中华人民共和国预算法》指出“一般公共预算支出按照其功能分类，包括一般公共服务支出，外交、公共安全、国防支出，农业、环境保护支出，教育、科技、文化、卫生、体育支出，社会保障及就业支出和其他支出、城乡社区支出、交通运输支出等”。本项目资金支出属于</w:t>
      </w:r>
      <w:r>
        <w:rPr>
          <w:rFonts w:hint="eastAsia" w:ascii="仿宋_GB2312" w:hAnsi="仿宋_GB2312" w:eastAsia="仿宋_GB2312" w:cs="仿宋_GB2312"/>
          <w:color w:val="000000"/>
          <w:sz w:val="32"/>
          <w:szCs w:val="32"/>
          <w:highlight w:val="none"/>
          <w:lang w:val="en-US" w:eastAsia="zh-CN"/>
        </w:rPr>
        <w:t>交通运输支出</w:t>
      </w:r>
      <w:r>
        <w:rPr>
          <w:rFonts w:hint="default" w:ascii="仿宋_GB2312" w:hAnsi="仿宋_GB2312" w:eastAsia="仿宋_GB2312" w:cs="仿宋_GB2312"/>
          <w:color w:val="000000"/>
          <w:sz w:val="32"/>
          <w:szCs w:val="32"/>
          <w:highlight w:val="none"/>
        </w:rPr>
        <w:t>，属于公共财政支持范围。</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spacing w:line="580" w:lineRule="exact"/>
        <w:ind w:left="0" w:leftChars="0" w:right="0" w:rightChars="0" w:firstLine="640" w:firstLineChars="200"/>
        <w:jc w:val="both"/>
        <w:textAlignment w:val="baseline"/>
        <w:outlineLvl w:val="9"/>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国务院关于推进中央与地方财政事权和支出责任划分改革的指导意见》（国发〔2016〕49号）指出“体现国家主权、维护统一市场以及受益范围覆盖全国的基本公共服务由中央负责，地区性基本公共服务由地方负责，跨省（区、市）的基本公共服务由中央与地方共同负责”。</w:t>
      </w:r>
      <w:r>
        <w:rPr>
          <w:rFonts w:hint="eastAsia" w:ascii="仿宋_GB2312" w:hAnsi="仿宋_GB2312" w:eastAsia="仿宋_GB2312" w:cs="仿宋_GB2312"/>
          <w:kern w:val="2"/>
          <w:sz w:val="32"/>
          <w:szCs w:val="32"/>
          <w:lang w:val="en-US" w:eastAsia="zh-CN" w:bidi="zh-CN"/>
        </w:rPr>
        <w:t>《山亭区“四好农村路”三年集中攻坚专项行动实施方案》（山政办发</w:t>
      </w:r>
      <w:r>
        <w:rPr>
          <w:rFonts w:hint="eastAsia" w:ascii="仿宋_GB2312" w:hAnsi="仿宋_GB2312" w:eastAsia="仿宋_GB2312" w:cs="仿宋_GB2312"/>
          <w:sz w:val="32"/>
          <w:szCs w:val="32"/>
          <w:lang w:val="en-US" w:eastAsia="zh-CN"/>
        </w:rPr>
        <w:t>〔2018〕31号</w:t>
      </w:r>
      <w:r>
        <w:rPr>
          <w:rFonts w:hint="eastAsia" w:ascii="仿宋_GB2312" w:hAnsi="仿宋_GB2312" w:eastAsia="仿宋_GB2312" w:cs="仿宋_GB2312"/>
          <w:kern w:val="2"/>
          <w:sz w:val="32"/>
          <w:szCs w:val="32"/>
          <w:lang w:val="en-US" w:eastAsia="zh-CN" w:bidi="zh-CN"/>
        </w:rPr>
        <w:t>）</w:t>
      </w:r>
      <w:r>
        <w:rPr>
          <w:rFonts w:hint="eastAsia" w:ascii="仿宋_GB2312" w:hAnsi="仿宋_GB2312" w:eastAsia="仿宋_GB2312" w:cs="仿宋_GB2312"/>
          <w:color w:val="000000"/>
          <w:sz w:val="32"/>
          <w:szCs w:val="32"/>
          <w:highlight w:val="none"/>
          <w:lang w:val="en-US" w:eastAsia="zh-CN"/>
        </w:rPr>
        <w:t>文件明确，区财政局负责将农村公路管理机构运行经费、人员基本支出以及建设养护资金纳入同级财政预算；负责“六大工程”中的路网提档升级、自然村通达工程、路面状况改善工程和“网化”工程的路面工程投资。项目符合中央、地方事权支出责任划分原则。</w:t>
      </w:r>
    </w:p>
    <w:p>
      <w:pPr>
        <w:pStyle w:val="7"/>
        <w:keepNext w:val="0"/>
        <w:keepLines w:val="0"/>
        <w:pageBreakBefore w:val="0"/>
        <w:widowControl w:val="0"/>
        <w:kinsoku/>
        <w:wordWrap/>
        <w:overflowPunct/>
        <w:topLinePunct w:val="0"/>
        <w:autoSpaceDE/>
        <w:autoSpaceDN/>
        <w:bidi w:val="0"/>
        <w:adjustRightInd/>
        <w:snapToGrid/>
        <w:spacing w:before="0" w:line="580" w:lineRule="exact"/>
        <w:ind w:left="0" w:leftChars="0" w:firstLine="643" w:firstLineChars="200"/>
        <w:textAlignment w:val="auto"/>
        <w:rPr>
          <w:rFonts w:hint="default" w:ascii="仿宋_GB2312" w:eastAsia="仿宋_GB2312" w:cs="仿宋_GB2312"/>
          <w:b/>
          <w:bCs/>
          <w:sz w:val="32"/>
          <w:szCs w:val="32"/>
        </w:rPr>
      </w:pPr>
      <w:r>
        <w:rPr>
          <w:rFonts w:hint="eastAsia"/>
          <w:b/>
          <w:bCs/>
          <w:lang w:val="en-US"/>
        </w:rPr>
        <w:t>四是项目与相关部门同类项目或部门内部相关项目</w:t>
      </w:r>
      <w:r>
        <w:rPr>
          <w:rFonts w:hint="eastAsia"/>
          <w:b/>
          <w:bCs/>
          <w:lang w:val="en-US" w:eastAsia="zh-CN"/>
        </w:rPr>
        <w:t>不</w:t>
      </w:r>
      <w:r>
        <w:rPr>
          <w:rFonts w:hint="eastAsia"/>
          <w:b/>
          <w:bCs/>
          <w:lang w:val="en-US"/>
        </w:rPr>
        <w:t>重复</w:t>
      </w:r>
      <w:r>
        <w:rPr>
          <w:rFonts w:hint="eastAsia"/>
          <w:b/>
          <w:bCs/>
          <w:lang w:val="en-US" w:eastAsia="zh-CN"/>
        </w:rPr>
        <w:t>。</w:t>
      </w:r>
      <w:r>
        <w:rPr>
          <w:rFonts w:hint="eastAsia"/>
          <w:lang w:val="en-US" w:eastAsia="zh-CN"/>
        </w:rPr>
        <w:t>评价组通过</w:t>
      </w:r>
      <w:r>
        <w:rPr>
          <w:rFonts w:hint="eastAsia"/>
          <w:lang w:val="en-US"/>
        </w:rPr>
        <w:t>查阅相关项目批复文件，评价发现项目与相关部门同类项目或部门内部相关项目不重复。</w:t>
      </w:r>
    </w:p>
    <w:p>
      <w:pPr>
        <w:pStyle w:val="2"/>
        <w:keepNext w:val="0"/>
        <w:keepLines w:val="0"/>
        <w:pageBreakBefore w:val="0"/>
        <w:widowControl/>
        <w:kinsoku/>
        <w:wordWrap/>
        <w:overflowPunct w:val="0"/>
        <w:topLinePunct w:val="0"/>
        <w:autoSpaceDE w:val="0"/>
        <w:autoSpaceDN w:val="0"/>
        <w:bidi w:val="0"/>
        <w:adjustRightInd w:val="0"/>
        <w:spacing w:line="580" w:lineRule="exact"/>
        <w:ind w:firstLine="64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②立项程序规范性分析</w:t>
      </w:r>
    </w:p>
    <w:p>
      <w:pPr>
        <w:keepNext w:val="0"/>
        <w:keepLines w:val="0"/>
        <w:pageBreakBefore w:val="0"/>
        <w:widowControl/>
        <w:kinsoku/>
        <w:wordWrap/>
        <w:overflowPunct w:val="0"/>
        <w:topLinePunct w:val="0"/>
        <w:autoSpaceDE w:val="0"/>
        <w:autoSpaceDN w:val="0"/>
        <w:bidi w:val="0"/>
        <w:adjustRightInd w:val="0"/>
        <w:snapToGrid/>
        <w:spacing w:line="580" w:lineRule="exact"/>
        <w:ind w:left="0" w:leftChars="0" w:right="0" w:rightChars="0" w:firstLine="640" w:firstLineChars="200"/>
        <w:jc w:val="both"/>
        <w:textAlignment w:val="baseline"/>
        <w:outlineLvl w:val="9"/>
        <w:rPr>
          <w:rFonts w:hint="eastAsia" w:ascii="仿宋_GB2312" w:eastAsia="仿宋_GB2312" w:cs="仿宋_GB2312"/>
          <w:sz w:val="32"/>
          <w:szCs w:val="32"/>
          <w:lang w:val="en-US" w:eastAsia="zh-CN"/>
        </w:rPr>
      </w:pPr>
      <w:r>
        <w:rPr>
          <w:rFonts w:hint="eastAsia" w:ascii="仿宋_GB2312" w:eastAsia="仿宋_GB2312" w:cs="仿宋_GB2312"/>
          <w:sz w:val="32"/>
          <w:szCs w:val="32"/>
        </w:rPr>
        <w:t>该指标主要</w:t>
      </w:r>
      <w:r>
        <w:rPr>
          <w:rFonts w:hint="eastAsia" w:ascii="仿宋_GB2312" w:eastAsia="仿宋_GB2312" w:cs="仿宋_GB2312"/>
          <w:sz w:val="32"/>
          <w:szCs w:val="32"/>
          <w:lang w:val="en-US" w:eastAsia="zh-CN"/>
        </w:rPr>
        <w:t>评价项目立项程序规范性。</w:t>
      </w:r>
    </w:p>
    <w:p>
      <w:pPr>
        <w:keepNext w:val="0"/>
        <w:keepLines w:val="0"/>
        <w:pageBreakBefore w:val="0"/>
        <w:widowControl/>
        <w:kinsoku/>
        <w:wordWrap/>
        <w:overflowPunct w:val="0"/>
        <w:topLinePunct w:val="0"/>
        <w:autoSpaceDE w:val="0"/>
        <w:autoSpaceDN w:val="0"/>
        <w:bidi w:val="0"/>
        <w:adjustRightInd w:val="0"/>
        <w:snapToGrid/>
        <w:spacing w:line="580" w:lineRule="exact"/>
        <w:ind w:left="0" w:leftChars="0" w:right="0" w:rightChars="0" w:firstLine="643" w:firstLineChars="200"/>
        <w:jc w:val="both"/>
        <w:textAlignment w:val="baseline"/>
        <w:outlineLvl w:val="9"/>
        <w:rPr>
          <w:rFonts w:hint="eastAsia" w:ascii="仿宋_GB2312" w:eastAsia="仿宋_GB2312" w:cs="仿宋_GB2312"/>
          <w:sz w:val="32"/>
          <w:szCs w:val="32"/>
        </w:rPr>
      </w:pPr>
      <w:r>
        <w:rPr>
          <w:rFonts w:hint="eastAsia" w:ascii="仿宋_GB2312" w:eastAsia="仿宋_GB2312" w:cs="仿宋_GB2312"/>
          <w:b/>
          <w:bCs/>
          <w:sz w:val="32"/>
          <w:szCs w:val="32"/>
          <w:lang w:val="en-US" w:eastAsia="zh-CN"/>
        </w:rPr>
        <w:t>项目</w:t>
      </w:r>
      <w:r>
        <w:rPr>
          <w:rFonts w:hint="default" w:ascii="仿宋_GB2312" w:eastAsia="仿宋_GB2312" w:cs="仿宋_GB2312"/>
          <w:b/>
          <w:bCs/>
          <w:sz w:val="32"/>
          <w:szCs w:val="32"/>
        </w:rPr>
        <w:t>立项程序规范</w:t>
      </w:r>
      <w:r>
        <w:rPr>
          <w:rFonts w:hint="default" w:ascii="仿宋_GB2312" w:eastAsia="仿宋_GB2312" w:cs="仿宋_GB2312"/>
          <w:sz w:val="32"/>
          <w:szCs w:val="32"/>
        </w:rPr>
        <w:t>。</w:t>
      </w:r>
      <w:r>
        <w:rPr>
          <w:rFonts w:hint="eastAsia" w:ascii="仿宋_GB2312" w:eastAsia="仿宋_GB2312" w:cs="仿宋_GB2312"/>
          <w:sz w:val="32"/>
          <w:szCs w:val="32"/>
          <w:lang w:val="en-US" w:eastAsia="zh-CN"/>
        </w:rPr>
        <w:t>区交通局</w:t>
      </w:r>
      <w:r>
        <w:rPr>
          <w:rFonts w:hint="default" w:ascii="仿宋_GB2312" w:eastAsia="仿宋_GB2312" w:cs="仿宋_GB2312"/>
          <w:sz w:val="32"/>
          <w:szCs w:val="32"/>
        </w:rPr>
        <w:t>严格执行国家、省、市文件要求，高度重视</w:t>
      </w:r>
      <w:r>
        <w:rPr>
          <w:rFonts w:hint="eastAsia" w:ascii="仿宋_GB2312" w:eastAsia="仿宋_GB2312" w:cs="仿宋_GB2312"/>
          <w:sz w:val="32"/>
          <w:szCs w:val="32"/>
          <w:lang w:val="en-US" w:eastAsia="zh-CN"/>
        </w:rPr>
        <w:t>四好农村路。该项目属于建筑类项目，山亭区政府</w:t>
      </w:r>
      <w:r>
        <w:rPr>
          <w:rFonts w:hint="default" w:ascii="仿宋_GB2312" w:eastAsia="仿宋_GB2312" w:cs="仿宋_GB2312"/>
          <w:sz w:val="32"/>
          <w:szCs w:val="32"/>
        </w:rPr>
        <w:t>批准同意该项目建设，项目立项申请、批复规范。</w:t>
      </w:r>
    </w:p>
    <w:p>
      <w:pPr>
        <w:keepNext w:val="0"/>
        <w:keepLines w:val="0"/>
        <w:pageBreakBefore w:val="0"/>
        <w:kinsoku/>
        <w:wordWrap/>
        <w:topLinePunct w:val="0"/>
        <w:bidi w:val="0"/>
        <w:spacing w:line="580" w:lineRule="exact"/>
        <w:ind w:firstLine="640" w:firstLineChars="200"/>
        <w:rPr>
          <w:rFonts w:ascii="仿宋_GB2312" w:hAnsi="仿宋_GB2312" w:eastAsia="仿宋_GB2312" w:cs="仿宋_GB2312"/>
          <w:color w:val="000000"/>
          <w:sz w:val="32"/>
          <w:szCs w:val="32"/>
          <w:highlight w:val="none"/>
          <w:lang w:bidi="ar"/>
        </w:rPr>
      </w:pPr>
      <w:bookmarkStart w:id="127" w:name="_Toc1019991522_WPSOffice_Level2"/>
      <w:bookmarkStart w:id="128" w:name="_Toc1674725502_WPSOffice_Level2"/>
      <w:bookmarkStart w:id="129" w:name="_Toc116229912_WPSOffice_Level2"/>
      <w:bookmarkStart w:id="130" w:name="_Toc2107072948_WPSOffice_Level2"/>
      <w:r>
        <w:rPr>
          <w:rFonts w:hint="eastAsia" w:ascii="仿宋_GB2312" w:hAnsi="仿宋_GB2312" w:eastAsia="仿宋_GB2312" w:cs="仿宋_GB2312"/>
          <w:color w:val="000000"/>
          <w:sz w:val="32"/>
          <w:szCs w:val="32"/>
          <w:highlight w:val="none"/>
          <w:lang w:bidi="ar"/>
        </w:rPr>
        <w:t>（2）绩效目标分析</w:t>
      </w:r>
    </w:p>
    <w:p>
      <w:pPr>
        <w:pStyle w:val="2"/>
        <w:keepNext w:val="0"/>
        <w:keepLines w:val="0"/>
        <w:pageBreakBefore w:val="0"/>
        <w:kinsoku/>
        <w:wordWrap/>
        <w:topLinePunct w:val="0"/>
        <w:bidi w:val="0"/>
        <w:spacing w:line="58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该指标主要评价绩效目标明确性和绩效目标合理性，具体情况如下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项目单位制定了具体的绩效目标，</w:t>
      </w:r>
      <w:r>
        <w:rPr>
          <w:rFonts w:hint="eastAsia" w:ascii="仿宋_GB2312" w:hAnsi="仿宋_GB2312" w:eastAsia="仿宋_GB2312" w:cs="仿宋_GB2312"/>
          <w:sz w:val="32"/>
          <w:szCs w:val="32"/>
        </w:rPr>
        <w:t>绩效目标细化量化程度高，</w:t>
      </w:r>
      <w:r>
        <w:rPr>
          <w:rFonts w:hint="eastAsia" w:ascii="仿宋_GB2312" w:hAnsi="仿宋_GB2312" w:eastAsia="仿宋_GB2312" w:cs="仿宋_GB2312"/>
          <w:sz w:val="32"/>
          <w:szCs w:val="32"/>
          <w:lang w:val="en-US" w:eastAsia="zh-CN"/>
        </w:rPr>
        <w:t>指标清晰明确，</w:t>
      </w:r>
      <w:r>
        <w:rPr>
          <w:rFonts w:hint="eastAsia" w:ascii="仿宋_GB2312" w:hAnsi="仿宋_GB2312" w:eastAsia="仿宋_GB2312" w:cs="仿宋_GB2312"/>
          <w:sz w:val="32"/>
          <w:szCs w:val="32"/>
        </w:rPr>
        <w:t>预期产出效益和效果符合正常的业绩水平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但存在缺少</w:t>
      </w:r>
      <w:r>
        <w:rPr>
          <w:rFonts w:hint="eastAsia" w:ascii="仿宋_GB2312" w:hAnsi="仿宋_GB2312" w:eastAsia="仿宋_GB2312" w:cs="仿宋_GB2312"/>
          <w:sz w:val="32"/>
          <w:szCs w:val="32"/>
          <w:lang w:val="en-US" w:eastAsia="zh-CN"/>
        </w:rPr>
        <w:t>成本</w:t>
      </w:r>
      <w:r>
        <w:rPr>
          <w:rFonts w:hint="eastAsia" w:ascii="仿宋_GB2312" w:hAnsi="仿宋_GB2312" w:eastAsia="仿宋_GB2312" w:cs="仿宋_GB2312"/>
          <w:sz w:val="32"/>
          <w:szCs w:val="32"/>
        </w:rPr>
        <w:t>指标</w:t>
      </w:r>
      <w:r>
        <w:rPr>
          <w:rFonts w:hint="eastAsia" w:ascii="仿宋_GB2312" w:hAnsi="仿宋_GB2312" w:eastAsia="仿宋_GB2312" w:cs="仿宋_GB2312"/>
          <w:sz w:val="32"/>
          <w:szCs w:val="32"/>
          <w:lang w:eastAsia="zh-CN"/>
        </w:rPr>
        <w:t>、经济效益、社会效益及可持续影响指标均未量化</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具体情况如下：</w:t>
      </w:r>
    </w:p>
    <w:p>
      <w:pPr>
        <w:spacing w:line="580" w:lineRule="exact"/>
        <w:jc w:val="center"/>
        <w:rPr>
          <w:rFonts w:hint="eastAsia"/>
        </w:rPr>
      </w:pPr>
      <w:r>
        <w:rPr>
          <w:rFonts w:hint="eastAsia" w:ascii="宋体" w:hAnsi="宋体" w:eastAsia="宋体" w:cs="宋体"/>
          <w:b/>
          <w:bCs/>
          <w:sz w:val="28"/>
          <w:szCs w:val="28"/>
        </w:rPr>
        <w:t>表</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：绩效目标情况表</w:t>
      </w:r>
    </w:p>
    <w:tbl>
      <w:tblPr>
        <w:tblStyle w:val="19"/>
        <w:tblW w:w="8346" w:type="dxa"/>
        <w:jc w:val="center"/>
        <w:shd w:val="clear" w:color="auto" w:fill="auto"/>
        <w:tblLayout w:type="autofit"/>
        <w:tblCellMar>
          <w:top w:w="0" w:type="dxa"/>
          <w:left w:w="0" w:type="dxa"/>
          <w:bottom w:w="0" w:type="dxa"/>
          <w:right w:w="0" w:type="dxa"/>
        </w:tblCellMar>
      </w:tblPr>
      <w:tblGrid>
        <w:gridCol w:w="1242"/>
        <w:gridCol w:w="1617"/>
        <w:gridCol w:w="3588"/>
        <w:gridCol w:w="1899"/>
      </w:tblGrid>
      <w:tr>
        <w:tblPrEx>
          <w:tblCellMar>
            <w:top w:w="0" w:type="dxa"/>
            <w:left w:w="0" w:type="dxa"/>
            <w:bottom w:w="0" w:type="dxa"/>
            <w:right w:w="0" w:type="dxa"/>
          </w:tblCellMar>
        </w:tblPrEx>
        <w:trPr>
          <w:trHeight w:val="600" w:hRule="atLeast"/>
          <w:jc w:val="center"/>
        </w:trPr>
        <w:tc>
          <w:tcPr>
            <w:tcW w:w="1242"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一级指标</w:t>
            </w:r>
          </w:p>
        </w:tc>
        <w:tc>
          <w:tcPr>
            <w:tcW w:w="1617"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二级指标</w:t>
            </w:r>
          </w:p>
        </w:tc>
        <w:tc>
          <w:tcPr>
            <w:tcW w:w="3588"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指标内容</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指标值</w:t>
            </w:r>
          </w:p>
        </w:tc>
      </w:tr>
      <w:tr>
        <w:tblPrEx>
          <w:shd w:val="clear" w:color="auto" w:fill="auto"/>
          <w:tblCellMar>
            <w:top w:w="0" w:type="dxa"/>
            <w:left w:w="0" w:type="dxa"/>
            <w:bottom w:w="0" w:type="dxa"/>
            <w:right w:w="0" w:type="dxa"/>
          </w:tblCellMar>
        </w:tblPrEx>
        <w:trPr>
          <w:trHeight w:val="420" w:hRule="atLeast"/>
          <w:jc w:val="center"/>
        </w:trPr>
        <w:tc>
          <w:tcPr>
            <w:tcW w:w="1242"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产出指标</w:t>
            </w:r>
          </w:p>
        </w:tc>
        <w:tc>
          <w:tcPr>
            <w:tcW w:w="16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数量指标</w:t>
            </w:r>
          </w:p>
        </w:tc>
        <w:tc>
          <w:tcPr>
            <w:tcW w:w="35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新增沥青混凝土路面公路里程</w:t>
            </w:r>
          </w:p>
        </w:tc>
        <w:tc>
          <w:tcPr>
            <w:tcW w:w="1899"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10.5公里</w:t>
            </w:r>
          </w:p>
        </w:tc>
      </w:tr>
      <w:tr>
        <w:tblPrEx>
          <w:shd w:val="clear" w:color="auto" w:fill="auto"/>
          <w:tblCellMar>
            <w:top w:w="0" w:type="dxa"/>
            <w:left w:w="0" w:type="dxa"/>
            <w:bottom w:w="0" w:type="dxa"/>
            <w:right w:w="0" w:type="dxa"/>
          </w:tblCellMar>
        </w:tblPrEx>
        <w:trPr>
          <w:trHeight w:val="420" w:hRule="atLeast"/>
          <w:jc w:val="center"/>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617"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质量指标</w:t>
            </w:r>
          </w:p>
        </w:tc>
        <w:tc>
          <w:tcPr>
            <w:tcW w:w="35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道路设计、建设管理达标率</w:t>
            </w:r>
          </w:p>
        </w:tc>
        <w:tc>
          <w:tcPr>
            <w:tcW w:w="1899"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420" w:hRule="atLeast"/>
          <w:jc w:val="center"/>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61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35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采购方式合格率</w:t>
            </w:r>
          </w:p>
        </w:tc>
        <w:tc>
          <w:tcPr>
            <w:tcW w:w="1899"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w:t>
            </w:r>
          </w:p>
        </w:tc>
      </w:tr>
      <w:tr>
        <w:tblPrEx>
          <w:tblCellMar>
            <w:top w:w="0" w:type="dxa"/>
            <w:left w:w="0" w:type="dxa"/>
            <w:bottom w:w="0" w:type="dxa"/>
            <w:right w:w="0" w:type="dxa"/>
          </w:tblCellMar>
        </w:tblPrEx>
        <w:trPr>
          <w:trHeight w:val="420" w:hRule="atLeast"/>
          <w:jc w:val="center"/>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61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35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项目（工程）验收合格率</w:t>
            </w:r>
          </w:p>
        </w:tc>
        <w:tc>
          <w:tcPr>
            <w:tcW w:w="1899"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w:t>
            </w:r>
          </w:p>
        </w:tc>
      </w:tr>
      <w:tr>
        <w:tblPrEx>
          <w:shd w:val="clear" w:color="auto" w:fill="auto"/>
          <w:tblCellMar>
            <w:top w:w="0" w:type="dxa"/>
            <w:left w:w="0" w:type="dxa"/>
            <w:bottom w:w="0" w:type="dxa"/>
            <w:right w:w="0" w:type="dxa"/>
          </w:tblCellMar>
        </w:tblPrEx>
        <w:trPr>
          <w:trHeight w:val="420" w:hRule="atLeast"/>
          <w:jc w:val="center"/>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617"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时效指标</w:t>
            </w:r>
          </w:p>
        </w:tc>
        <w:tc>
          <w:tcPr>
            <w:tcW w:w="35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交工验收及时率</w:t>
            </w:r>
          </w:p>
        </w:tc>
        <w:tc>
          <w:tcPr>
            <w:tcW w:w="1899"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w:t>
            </w:r>
          </w:p>
        </w:tc>
      </w:tr>
      <w:tr>
        <w:tblPrEx>
          <w:shd w:val="clear" w:color="auto" w:fill="auto"/>
          <w:tblCellMar>
            <w:top w:w="0" w:type="dxa"/>
            <w:left w:w="0" w:type="dxa"/>
            <w:bottom w:w="0" w:type="dxa"/>
            <w:right w:w="0" w:type="dxa"/>
          </w:tblCellMar>
        </w:tblPrEx>
        <w:trPr>
          <w:trHeight w:val="420" w:hRule="atLeast"/>
          <w:jc w:val="center"/>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617"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35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项目完成及时率</w:t>
            </w:r>
          </w:p>
        </w:tc>
        <w:tc>
          <w:tcPr>
            <w:tcW w:w="1899"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100%</w:t>
            </w:r>
          </w:p>
        </w:tc>
      </w:tr>
      <w:tr>
        <w:tblPrEx>
          <w:shd w:val="clear" w:color="auto" w:fill="auto"/>
          <w:tblCellMar>
            <w:top w:w="0" w:type="dxa"/>
            <w:left w:w="0" w:type="dxa"/>
            <w:bottom w:w="0" w:type="dxa"/>
            <w:right w:w="0" w:type="dxa"/>
          </w:tblCellMar>
        </w:tblPrEx>
        <w:trPr>
          <w:trHeight w:val="420" w:hRule="atLeast"/>
          <w:jc w:val="center"/>
        </w:trPr>
        <w:tc>
          <w:tcPr>
            <w:tcW w:w="1242" w:type="dxa"/>
            <w:vMerge w:val="continue"/>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6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成本指标</w:t>
            </w:r>
          </w:p>
        </w:tc>
        <w:tc>
          <w:tcPr>
            <w:tcW w:w="35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1899"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r>
      <w:tr>
        <w:tblPrEx>
          <w:shd w:val="clear" w:color="auto" w:fill="auto"/>
          <w:tblCellMar>
            <w:top w:w="0" w:type="dxa"/>
            <w:left w:w="0" w:type="dxa"/>
            <w:bottom w:w="0" w:type="dxa"/>
            <w:right w:w="0" w:type="dxa"/>
          </w:tblCellMar>
        </w:tblPrEx>
        <w:trPr>
          <w:trHeight w:val="700" w:hRule="atLeast"/>
          <w:jc w:val="center"/>
        </w:trPr>
        <w:tc>
          <w:tcPr>
            <w:tcW w:w="1242" w:type="dxa"/>
            <w:vMerge w:val="restart"/>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效益指标</w:t>
            </w:r>
          </w:p>
        </w:tc>
        <w:tc>
          <w:tcPr>
            <w:tcW w:w="161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经济效益指标</w:t>
            </w:r>
          </w:p>
        </w:tc>
        <w:tc>
          <w:tcPr>
            <w:tcW w:w="3588"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降低群众出行成本</w:t>
            </w:r>
          </w:p>
        </w:tc>
        <w:tc>
          <w:tcPr>
            <w:tcW w:w="1899" w:type="dxa"/>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降低群众出行成本和时间成本</w:t>
            </w:r>
          </w:p>
        </w:tc>
      </w:tr>
      <w:tr>
        <w:tblPrEx>
          <w:shd w:val="clear" w:color="auto" w:fill="auto"/>
          <w:tblCellMar>
            <w:top w:w="0" w:type="dxa"/>
            <w:left w:w="0" w:type="dxa"/>
            <w:bottom w:w="0" w:type="dxa"/>
            <w:right w:w="0" w:type="dxa"/>
          </w:tblCellMar>
        </w:tblPrEx>
        <w:trPr>
          <w:trHeight w:val="420" w:hRule="atLeast"/>
          <w:jc w:val="center"/>
        </w:trPr>
        <w:tc>
          <w:tcPr>
            <w:tcW w:w="1242" w:type="dxa"/>
            <w:vMerge w:val="continue"/>
            <w:tcBorders>
              <w:top w:val="single" w:color="auto"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617" w:type="dxa"/>
            <w:vMerge w:val="restar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社会效益指标</w:t>
            </w:r>
          </w:p>
        </w:tc>
        <w:tc>
          <w:tcPr>
            <w:tcW w:w="3588"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公路安全水平</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提升</w:t>
            </w:r>
          </w:p>
        </w:tc>
      </w:tr>
      <w:tr>
        <w:tblPrEx>
          <w:shd w:val="clear" w:color="auto" w:fill="auto"/>
          <w:tblCellMar>
            <w:top w:w="0" w:type="dxa"/>
            <w:left w:w="0" w:type="dxa"/>
            <w:bottom w:w="0" w:type="dxa"/>
            <w:right w:w="0" w:type="dxa"/>
          </w:tblCellMar>
        </w:tblPrEx>
        <w:trPr>
          <w:trHeight w:val="420" w:hRule="atLeast"/>
          <w:jc w:val="center"/>
        </w:trPr>
        <w:tc>
          <w:tcPr>
            <w:tcW w:w="1242" w:type="dxa"/>
            <w:vMerge w:val="continue"/>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3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基本公共服务水平</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提升</w:t>
            </w:r>
          </w:p>
        </w:tc>
      </w:tr>
      <w:tr>
        <w:tblPrEx>
          <w:shd w:val="clear" w:color="auto" w:fill="auto"/>
          <w:tblCellMar>
            <w:top w:w="0" w:type="dxa"/>
            <w:left w:w="0" w:type="dxa"/>
            <w:bottom w:w="0" w:type="dxa"/>
            <w:right w:w="0" w:type="dxa"/>
          </w:tblCellMar>
        </w:tblPrEx>
        <w:trPr>
          <w:trHeight w:val="700" w:hRule="atLeast"/>
          <w:jc w:val="center"/>
        </w:trPr>
        <w:tc>
          <w:tcPr>
            <w:tcW w:w="1242" w:type="dxa"/>
            <w:vMerge w:val="continue"/>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可持续影响指标</w:t>
            </w:r>
          </w:p>
        </w:tc>
        <w:tc>
          <w:tcPr>
            <w:tcW w:w="3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项目适应未来一定时间内交通需求</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适应</w:t>
            </w:r>
          </w:p>
        </w:tc>
      </w:tr>
      <w:tr>
        <w:tblPrEx>
          <w:tblCellMar>
            <w:top w:w="0" w:type="dxa"/>
            <w:left w:w="0" w:type="dxa"/>
            <w:bottom w:w="0" w:type="dxa"/>
            <w:right w:w="0" w:type="dxa"/>
          </w:tblCellMar>
        </w:tblPrEx>
        <w:trPr>
          <w:trHeight w:val="420" w:hRule="atLeast"/>
          <w:jc w:val="center"/>
        </w:trPr>
        <w:tc>
          <w:tcPr>
            <w:tcW w:w="1242" w:type="dxa"/>
            <w:vMerge w:val="continue"/>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满意度指标</w:t>
            </w:r>
          </w:p>
        </w:tc>
        <w:tc>
          <w:tcPr>
            <w:tcW w:w="3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社会公众满意度</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eastAsiaTheme="minorEastAsia"/>
                <w:i w:val="0"/>
                <w:color w:val="000000"/>
                <w:sz w:val="21"/>
                <w:szCs w:val="21"/>
                <w:u w:val="none"/>
                <w:lang w:val="en-US" w:eastAsia="zh-CN"/>
              </w:rPr>
            </w:pPr>
            <w:r>
              <w:rPr>
                <w:rFonts w:hint="eastAsia" w:ascii="宋体" w:hAnsi="宋体" w:eastAsia="宋体" w:cs="宋体"/>
                <w:i w:val="0"/>
                <w:color w:val="000000"/>
                <w:kern w:val="0"/>
                <w:sz w:val="21"/>
                <w:szCs w:val="21"/>
                <w:u w:val="none"/>
                <w:lang w:val="en-US" w:eastAsia="zh-CN" w:bidi="ar"/>
              </w:rPr>
              <w:t>≥90</w:t>
            </w:r>
            <w:r>
              <w:rPr>
                <w:rFonts w:hint="eastAsia"/>
                <w:lang w:val="en-US" w:eastAsia="zh-CN"/>
              </w:rPr>
              <w:t>%</w:t>
            </w:r>
          </w:p>
        </w:tc>
      </w:tr>
      <w:tr>
        <w:tblPrEx>
          <w:shd w:val="clear" w:color="auto" w:fill="auto"/>
          <w:tblCellMar>
            <w:top w:w="0" w:type="dxa"/>
            <w:left w:w="0" w:type="dxa"/>
            <w:bottom w:w="0" w:type="dxa"/>
            <w:right w:w="0" w:type="dxa"/>
          </w:tblCellMar>
        </w:tblPrEx>
        <w:trPr>
          <w:trHeight w:val="420" w:hRule="atLeast"/>
          <w:jc w:val="center"/>
        </w:trPr>
        <w:tc>
          <w:tcPr>
            <w:tcW w:w="1242" w:type="dxa"/>
            <w:vMerge w:val="continue"/>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35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项目区群众满意度</w:t>
            </w:r>
          </w:p>
        </w:tc>
        <w:tc>
          <w:tcPr>
            <w:tcW w:w="18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≥90%</w:t>
            </w:r>
          </w:p>
        </w:tc>
      </w:tr>
    </w:tbl>
    <w:p>
      <w:pPr>
        <w:spacing w:line="580" w:lineRule="exact"/>
        <w:ind w:firstLine="643" w:firstLineChars="200"/>
      </w:pPr>
      <w:r>
        <w:rPr>
          <w:rFonts w:hint="eastAsia" w:ascii="仿宋_GB2312" w:hAnsi="仿宋_GB2312" w:eastAsia="仿宋_GB2312" w:cs="仿宋_GB2312"/>
          <w:b/>
          <w:bCs/>
          <w:sz w:val="32"/>
          <w:szCs w:val="32"/>
        </w:rPr>
        <w:t>绩效目标与实际工作内容具有相关性，</w:t>
      </w:r>
      <w:r>
        <w:rPr>
          <w:rFonts w:hint="eastAsia" w:ascii="仿宋_GB2312" w:hAnsi="仿宋_GB2312" w:eastAsia="仿宋_GB2312" w:cs="仿宋_GB2312"/>
          <w:sz w:val="32"/>
          <w:szCs w:val="32"/>
        </w:rPr>
        <w:t>项目单位制定的绩效目标与实际工作内容具有相关性，与预算确定的项目投资额或资金量相匹配。</w:t>
      </w:r>
    </w:p>
    <w:p>
      <w:pPr>
        <w:spacing w:line="580" w:lineRule="exact"/>
        <w:ind w:firstLine="640" w:firstLineChars="200"/>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val="en-US" w:eastAsia="zh-CN" w:bidi="ar"/>
        </w:rPr>
        <w:t>3</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资金投入</w:t>
      </w:r>
      <w:r>
        <w:rPr>
          <w:rFonts w:hint="eastAsia" w:ascii="仿宋_GB2312" w:hAnsi="仿宋_GB2312" w:eastAsia="仿宋_GB2312" w:cs="仿宋_GB2312"/>
          <w:color w:val="000000"/>
          <w:sz w:val="32"/>
          <w:szCs w:val="32"/>
          <w:lang w:val="en-US" w:eastAsia="zh-CN" w:bidi="ar"/>
        </w:rPr>
        <w:t>分析</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该指标</w:t>
      </w:r>
      <w:r>
        <w:rPr>
          <w:rFonts w:hint="eastAsia" w:ascii="仿宋_GB2312" w:hAnsi="仿宋_GB2312" w:eastAsia="仿宋_GB2312" w:cs="仿宋_GB2312"/>
          <w:sz w:val="32"/>
          <w:szCs w:val="32"/>
          <w:lang w:val="en-US" w:eastAsia="zh-CN"/>
        </w:rPr>
        <w:t>包括预算编制科学性1个三级指标。</w:t>
      </w:r>
    </w:p>
    <w:p>
      <w:pPr>
        <w:pStyle w:val="7"/>
        <w:spacing w:before="0" w:line="580" w:lineRule="exact"/>
        <w:ind w:left="0" w:firstLine="643" w:firstLineChars="200"/>
        <w:rPr>
          <w:rFonts w:hint="eastAsia"/>
          <w:highlight w:val="none"/>
          <w:lang w:val="en-US"/>
        </w:rPr>
      </w:pPr>
      <w:r>
        <w:rPr>
          <w:rFonts w:hint="eastAsia"/>
          <w:b/>
          <w:bCs/>
          <w:highlight w:val="none"/>
          <w:lang w:val="en-US" w:eastAsia="zh-CN"/>
        </w:rPr>
        <w:t>预算编制不够合理。</w:t>
      </w:r>
      <w:r>
        <w:rPr>
          <w:rFonts w:hint="eastAsia"/>
          <w:b w:val="0"/>
          <w:bCs w:val="0"/>
          <w:highlight w:val="none"/>
          <w:lang w:val="en-US" w:eastAsia="zh-CN"/>
        </w:rPr>
        <w:t>区交通局编制的预算说明内容为三年攻坚任务，未细化至各年度具体实施内容；另外该项目预算编制依据不充分，一是测算标准不清晰；二是预算编制未经过科学论证</w:t>
      </w:r>
      <w:r>
        <w:rPr>
          <w:rFonts w:hint="eastAsia"/>
          <w:highlight w:val="none"/>
          <w:lang w:val="en-US" w:eastAsia="zh-CN"/>
        </w:rPr>
        <w:t>。</w:t>
      </w:r>
    </w:p>
    <w:p>
      <w:pPr>
        <w:numPr>
          <w:ilvl w:val="0"/>
          <w:numId w:val="0"/>
        </w:numPr>
        <w:spacing w:line="580" w:lineRule="exact"/>
        <w:ind w:firstLine="640" w:firstLineChars="200"/>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2.</w:t>
      </w:r>
      <w:r>
        <w:rPr>
          <w:rFonts w:hint="eastAsia" w:ascii="仿宋_GB2312" w:hAnsi="仿宋_GB2312" w:eastAsia="仿宋_GB2312" w:cs="仿宋_GB2312"/>
          <w:color w:val="000000"/>
          <w:sz w:val="32"/>
          <w:szCs w:val="32"/>
          <w:lang w:bidi="ar"/>
        </w:rPr>
        <w:t>项目</w:t>
      </w:r>
      <w:r>
        <w:rPr>
          <w:rFonts w:hint="eastAsia" w:ascii="仿宋_GB2312" w:hAnsi="仿宋_GB2312" w:eastAsia="仿宋_GB2312" w:cs="仿宋_GB2312"/>
          <w:color w:val="000000"/>
          <w:sz w:val="32"/>
          <w:szCs w:val="32"/>
          <w:lang w:val="en-US" w:eastAsia="zh-CN" w:bidi="ar"/>
        </w:rPr>
        <w:t>过程分析</w:t>
      </w:r>
    </w:p>
    <w:p>
      <w:pPr>
        <w:pStyle w:val="7"/>
        <w:keepNext w:val="0"/>
        <w:keepLines w:val="0"/>
        <w:pageBreakBefore w:val="0"/>
        <w:widowControl/>
        <w:kinsoku/>
        <w:wordWrap/>
        <w:overflowPunct w:val="0"/>
        <w:topLinePunct w:val="0"/>
        <w:autoSpaceDE w:val="0"/>
        <w:autoSpaceDN w:val="0"/>
        <w:bidi w:val="0"/>
        <w:adjustRightInd w:val="0"/>
        <w:snapToGrid/>
        <w:spacing w:before="0" w:line="580" w:lineRule="exact"/>
        <w:ind w:left="0" w:leftChars="0" w:firstLine="640" w:firstLineChars="200"/>
        <w:jc w:val="both"/>
        <w:textAlignment w:val="baseline"/>
        <w:rPr>
          <w:rFonts w:hint="eastAsia"/>
          <w:lang w:val="en-US"/>
        </w:rPr>
      </w:pPr>
      <w:r>
        <w:rPr>
          <w:rFonts w:hint="eastAsia"/>
          <w:lang w:val="en-US"/>
        </w:rPr>
        <w:t>该一级指标包括</w:t>
      </w:r>
      <w:r>
        <w:rPr>
          <w:rFonts w:hint="eastAsia"/>
          <w:lang w:val="en-US" w:eastAsia="zh-CN"/>
        </w:rPr>
        <w:t>资金管理和组织实施2</w:t>
      </w:r>
      <w:r>
        <w:rPr>
          <w:rFonts w:hint="eastAsia"/>
          <w:lang w:val="en-US"/>
        </w:rPr>
        <w:t>个二级指标，得分情况如下表所示：</w:t>
      </w:r>
    </w:p>
    <w:p>
      <w:pPr>
        <w:spacing w:line="580" w:lineRule="exact"/>
        <w:ind w:firstLine="562" w:firstLineChars="200"/>
        <w:jc w:val="center"/>
        <w:rPr>
          <w:rFonts w:ascii="仿宋_GB2312" w:hAnsi="仿宋_GB2312" w:eastAsia="仿宋_GB2312" w:cs="仿宋_GB2312"/>
          <w:sz w:val="32"/>
          <w:szCs w:val="32"/>
        </w:rPr>
      </w:pPr>
      <w:r>
        <w:rPr>
          <w:rFonts w:hint="eastAsia" w:ascii="宋体" w:hAnsi="宋体" w:eastAsia="宋体" w:cs="宋体"/>
          <w:b/>
          <w:bCs/>
          <w:color w:val="000000"/>
          <w:sz w:val="28"/>
          <w:szCs w:val="28"/>
          <w:lang w:bidi="ar"/>
        </w:rPr>
        <w:t>表</w:t>
      </w:r>
      <w:r>
        <w:rPr>
          <w:rFonts w:hint="eastAsia" w:ascii="宋体" w:hAnsi="宋体" w:eastAsia="宋体" w:cs="宋体"/>
          <w:b/>
          <w:bCs/>
          <w:color w:val="000000"/>
          <w:sz w:val="28"/>
          <w:szCs w:val="28"/>
          <w:lang w:val="en-US" w:eastAsia="zh-CN" w:bidi="ar"/>
        </w:rPr>
        <w:t>6</w:t>
      </w:r>
      <w:r>
        <w:rPr>
          <w:rFonts w:hint="eastAsia" w:ascii="宋体" w:hAnsi="宋体" w:eastAsia="宋体" w:cs="宋体"/>
          <w:b/>
          <w:bCs/>
          <w:color w:val="000000"/>
          <w:sz w:val="28"/>
          <w:szCs w:val="28"/>
          <w:lang w:bidi="ar"/>
        </w:rPr>
        <w:t>：过程指标得分情况表</w:t>
      </w:r>
      <w:bookmarkEnd w:id="127"/>
      <w:bookmarkEnd w:id="128"/>
      <w:bookmarkEnd w:id="129"/>
      <w:bookmarkEnd w:id="130"/>
    </w:p>
    <w:tbl>
      <w:tblPr>
        <w:tblStyle w:val="19"/>
        <w:tblW w:w="9716" w:type="dxa"/>
        <w:jc w:val="center"/>
        <w:shd w:val="clear" w:color="auto" w:fill="auto"/>
        <w:tblLayout w:type="fixed"/>
        <w:tblCellMar>
          <w:top w:w="0" w:type="dxa"/>
          <w:left w:w="0" w:type="dxa"/>
          <w:bottom w:w="0" w:type="dxa"/>
          <w:right w:w="0" w:type="dxa"/>
        </w:tblCellMar>
      </w:tblPr>
      <w:tblGrid>
        <w:gridCol w:w="993"/>
        <w:gridCol w:w="756"/>
        <w:gridCol w:w="1031"/>
        <w:gridCol w:w="684"/>
        <w:gridCol w:w="1704"/>
        <w:gridCol w:w="667"/>
        <w:gridCol w:w="2297"/>
        <w:gridCol w:w="768"/>
        <w:gridCol w:w="816"/>
      </w:tblGrid>
      <w:tr>
        <w:tblPrEx>
          <w:shd w:val="clear" w:color="auto" w:fill="auto"/>
          <w:tblCellMar>
            <w:top w:w="0" w:type="dxa"/>
            <w:left w:w="0" w:type="dxa"/>
            <w:bottom w:w="0" w:type="dxa"/>
            <w:right w:w="0" w:type="dxa"/>
          </w:tblCellMar>
        </w:tblPrEx>
        <w:trPr>
          <w:trHeight w:val="380" w:hRule="atLeast"/>
          <w:jc w:val="center"/>
        </w:trPr>
        <w:tc>
          <w:tcPr>
            <w:tcW w:w="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一级指标</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二级指标</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三级指标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四级指标</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81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得分</w:t>
            </w:r>
          </w:p>
        </w:tc>
      </w:tr>
      <w:tr>
        <w:tblPrEx>
          <w:shd w:val="clear" w:color="auto" w:fill="auto"/>
          <w:tblCellMar>
            <w:top w:w="0" w:type="dxa"/>
            <w:left w:w="0" w:type="dxa"/>
            <w:bottom w:w="0" w:type="dxa"/>
            <w:right w:w="0" w:type="dxa"/>
          </w:tblCellMar>
        </w:tblPrEx>
        <w:trPr>
          <w:trHeight w:val="360" w:hRule="atLeast"/>
          <w:jc w:val="center"/>
        </w:trPr>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过程</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25.00 </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资金管理</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12.00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资金到位率</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r>
      <w:tr>
        <w:tblPrEx>
          <w:shd w:val="clear" w:color="auto" w:fill="auto"/>
          <w:tblCellMar>
            <w:top w:w="0" w:type="dxa"/>
            <w:left w:w="0" w:type="dxa"/>
            <w:bottom w:w="0" w:type="dxa"/>
            <w:right w:w="0" w:type="dxa"/>
          </w:tblCellMar>
        </w:tblPrEx>
        <w:trPr>
          <w:trHeight w:val="36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预算执行率</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u w:val="none"/>
                <w:lang w:val="en-US" w:eastAsia="zh-CN" w:bidi="ar"/>
              </w:rPr>
              <w:t xml:space="preserve">2.64 </w:t>
            </w:r>
          </w:p>
        </w:tc>
      </w:tr>
      <w:tr>
        <w:tblPrEx>
          <w:shd w:val="clear" w:color="auto" w:fill="auto"/>
          <w:tblCellMar>
            <w:top w:w="0" w:type="dxa"/>
            <w:left w:w="0" w:type="dxa"/>
            <w:bottom w:w="0" w:type="dxa"/>
            <w:right w:w="0" w:type="dxa"/>
          </w:tblCellMar>
        </w:tblPrEx>
        <w:trPr>
          <w:trHeight w:val="36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资金使用合规性</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7.00 </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资金使用规范性</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r>
      <w:tr>
        <w:tblPrEx>
          <w:shd w:val="clear" w:color="auto" w:fill="auto"/>
          <w:tblCellMar>
            <w:top w:w="0" w:type="dxa"/>
            <w:left w:w="0" w:type="dxa"/>
            <w:bottom w:w="0" w:type="dxa"/>
            <w:right w:w="0" w:type="dxa"/>
          </w:tblCellMar>
        </w:tblPrEx>
        <w:trPr>
          <w:trHeight w:val="36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资金拨付合规性</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0.00 </w:t>
            </w:r>
          </w:p>
        </w:tc>
      </w:tr>
      <w:tr>
        <w:tblPrEx>
          <w:shd w:val="clear" w:color="auto" w:fill="auto"/>
          <w:tblCellMar>
            <w:top w:w="0" w:type="dxa"/>
            <w:left w:w="0" w:type="dxa"/>
            <w:bottom w:w="0" w:type="dxa"/>
            <w:right w:w="0" w:type="dxa"/>
          </w:tblCellMar>
        </w:tblPrEx>
        <w:trPr>
          <w:trHeight w:val="36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政府采购合规性</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 </w:t>
            </w:r>
          </w:p>
        </w:tc>
      </w:tr>
      <w:tr>
        <w:tblPrEx>
          <w:shd w:val="clear" w:color="auto" w:fill="auto"/>
          <w:tblCellMar>
            <w:top w:w="0" w:type="dxa"/>
            <w:left w:w="0" w:type="dxa"/>
            <w:bottom w:w="0" w:type="dxa"/>
            <w:right w:w="0" w:type="dxa"/>
          </w:tblCellMar>
        </w:tblPrEx>
        <w:trPr>
          <w:trHeight w:val="36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组织实施</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13.00 </w:t>
            </w:r>
          </w:p>
        </w:tc>
        <w:tc>
          <w:tcPr>
            <w:tcW w:w="17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管理制度健全性</w:t>
            </w:r>
          </w:p>
        </w:tc>
        <w:tc>
          <w:tcPr>
            <w:tcW w:w="66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管理制度健全性</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r>
      <w:tr>
        <w:tblPrEx>
          <w:shd w:val="clear" w:color="auto" w:fill="auto"/>
          <w:tblCellMar>
            <w:top w:w="0" w:type="dxa"/>
            <w:left w:w="0" w:type="dxa"/>
            <w:bottom w:w="0" w:type="dxa"/>
            <w:right w:w="0" w:type="dxa"/>
          </w:tblCellMar>
        </w:tblPrEx>
        <w:trPr>
          <w:trHeight w:val="36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制度执行有效性</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11.00 </w:t>
            </w: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项目管理规范性</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r>
      <w:tr>
        <w:tblPrEx>
          <w:shd w:val="clear" w:color="auto" w:fill="auto"/>
          <w:tblCellMar>
            <w:top w:w="0" w:type="dxa"/>
            <w:left w:w="0" w:type="dxa"/>
            <w:bottom w:w="0" w:type="dxa"/>
            <w:right w:w="0" w:type="dxa"/>
          </w:tblCellMar>
        </w:tblPrEx>
        <w:trPr>
          <w:trHeight w:val="36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组织领导机制的健全性</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r>
      <w:tr>
        <w:tblPrEx>
          <w:shd w:val="clear" w:color="auto" w:fill="auto"/>
          <w:tblCellMar>
            <w:top w:w="0" w:type="dxa"/>
            <w:left w:w="0" w:type="dxa"/>
            <w:bottom w:w="0" w:type="dxa"/>
            <w:right w:w="0" w:type="dxa"/>
          </w:tblCellMar>
        </w:tblPrEx>
        <w:trPr>
          <w:trHeight w:val="36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会计核算规范性</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r>
      <w:tr>
        <w:tblPrEx>
          <w:shd w:val="clear" w:color="auto" w:fill="auto"/>
          <w:tblCellMar>
            <w:top w:w="0" w:type="dxa"/>
            <w:left w:w="0" w:type="dxa"/>
            <w:bottom w:w="0" w:type="dxa"/>
            <w:right w:w="0" w:type="dxa"/>
          </w:tblCellMar>
        </w:tblPrEx>
        <w:trPr>
          <w:trHeight w:val="36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调整手续完备性</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 </w:t>
            </w:r>
          </w:p>
        </w:tc>
      </w:tr>
      <w:tr>
        <w:tblPrEx>
          <w:shd w:val="clear" w:color="auto" w:fill="auto"/>
          <w:tblCellMar>
            <w:top w:w="0" w:type="dxa"/>
            <w:left w:w="0" w:type="dxa"/>
            <w:bottom w:w="0" w:type="dxa"/>
            <w:right w:w="0" w:type="dxa"/>
          </w:tblCellMar>
        </w:tblPrEx>
        <w:trPr>
          <w:trHeight w:val="360" w:hRule="atLeast"/>
          <w:jc w:val="center"/>
        </w:trPr>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29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档案齐全性</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2.00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 </w:t>
            </w:r>
          </w:p>
        </w:tc>
      </w:tr>
    </w:tbl>
    <w:p>
      <w:pPr>
        <w:keepNext w:val="0"/>
        <w:keepLines w:val="0"/>
        <w:pageBreakBefore w:val="0"/>
        <w:widowControl/>
        <w:numPr>
          <w:ilvl w:val="0"/>
          <w:numId w:val="0"/>
        </w:numPr>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sz w:val="32"/>
          <w:szCs w:val="32"/>
          <w:highlight w:val="none"/>
        </w:rPr>
      </w:pPr>
      <w:bookmarkStart w:id="131" w:name="_Toc1325023872_WPSOffice_Level2"/>
      <w:bookmarkStart w:id="132" w:name="_Toc8164"/>
      <w:bookmarkStart w:id="133" w:name="_Toc1131613852_WPSOffice_Level2"/>
      <w:bookmarkStart w:id="134" w:name="_Toc1636336353_WPSOffice_Level2"/>
      <w:bookmarkStart w:id="135" w:name="_Toc226474396_WPSOffice_Level2"/>
      <w:r>
        <w:rPr>
          <w:rFonts w:hint="eastAsia" w:ascii="仿宋_GB2312" w:hAnsi="仿宋_GB2312" w:eastAsia="仿宋_GB2312" w:cs="仿宋_GB2312"/>
          <w:sz w:val="32"/>
          <w:szCs w:val="32"/>
          <w:highlight w:val="none"/>
          <w:lang w:val="en-US" w:eastAsia="zh-CN"/>
        </w:rPr>
        <w:t>（1）资金管理</w:t>
      </w:r>
      <w:r>
        <w:rPr>
          <w:rFonts w:hint="eastAsia" w:ascii="仿宋_GB2312" w:hAnsi="仿宋_GB2312" w:eastAsia="仿宋_GB2312" w:cs="仿宋_GB2312"/>
          <w:sz w:val="32"/>
          <w:szCs w:val="32"/>
          <w:highlight w:val="none"/>
        </w:rPr>
        <w:t>情况分析</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该二级指标包括</w:t>
      </w:r>
      <w:r>
        <w:rPr>
          <w:rFonts w:hint="eastAsia" w:ascii="仿宋_GB2312" w:eastAsia="仿宋_GB2312" w:cs="仿宋_GB2312"/>
          <w:sz w:val="32"/>
          <w:szCs w:val="32"/>
          <w:highlight w:val="none"/>
        </w:rPr>
        <w:t>资金到位执行情况和资金使用合规性</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个三级指标。</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①资金到位执行情况</w:t>
      </w:r>
      <w:r>
        <w:rPr>
          <w:rFonts w:hint="eastAsia" w:ascii="仿宋_GB2312" w:hAnsi="仿宋_GB2312" w:eastAsia="仿宋_GB2312" w:cs="仿宋_GB2312"/>
          <w:sz w:val="32"/>
          <w:szCs w:val="32"/>
          <w:highlight w:val="none"/>
          <w:lang w:val="en-US" w:eastAsia="zh-CN"/>
        </w:rPr>
        <w:t>分析</w:t>
      </w:r>
    </w:p>
    <w:p>
      <w:pPr>
        <w:keepNext w:val="0"/>
        <w:keepLines w:val="0"/>
        <w:pageBreakBefore w:val="0"/>
        <w:widowControl/>
        <w:kinsoku/>
        <w:wordWrap/>
        <w:overflowPunct w:val="0"/>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该指标主要从以下</w:t>
      </w:r>
      <w:r>
        <w:rPr>
          <w:rFonts w:hint="eastAsia" w:ascii="仿宋_GB2312" w:hAnsi="仿宋_GB2312" w:eastAsia="仿宋_GB2312" w:cs="仿宋_GB2312"/>
          <w:sz w:val="32"/>
          <w:szCs w:val="32"/>
          <w:highlight w:val="none"/>
          <w:lang w:val="en-US" w:eastAsia="zh-CN"/>
        </w:rPr>
        <w:t>两</w:t>
      </w:r>
      <w:r>
        <w:rPr>
          <w:rFonts w:hint="eastAsia" w:ascii="仿宋_GB2312" w:hAnsi="仿宋_GB2312" w:eastAsia="仿宋_GB2312" w:cs="仿宋_GB2312"/>
          <w:sz w:val="32"/>
          <w:szCs w:val="32"/>
          <w:highlight w:val="none"/>
        </w:rPr>
        <w:t>方面进行评价，具体情况如下</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highlight w:val="none"/>
          <w:lang w:val="en-US" w:eastAsia="zh-CN"/>
        </w:rPr>
      </w:pPr>
      <w:r>
        <w:rPr>
          <w:rFonts w:hint="eastAsia" w:ascii="仿宋_GB2312" w:hAnsi="仿宋_GB2312" w:eastAsia="仿宋_GB2312" w:cs="仿宋_GB2312"/>
          <w:b/>
          <w:sz w:val="32"/>
          <w:szCs w:val="32"/>
          <w:highlight w:val="none"/>
          <w:lang w:val="en-US" w:eastAsia="zh-CN"/>
        </w:rPr>
        <w:t>一是资金足额及时到位。</w:t>
      </w:r>
      <w:r>
        <w:rPr>
          <w:rFonts w:hint="eastAsia" w:ascii="仿宋_GB2312" w:hAnsi="仿宋_GB2312" w:eastAsia="仿宋_GB2312" w:cs="仿宋_GB2312"/>
          <w:b w:val="0"/>
          <w:bCs w:val="0"/>
          <w:sz w:val="32"/>
          <w:szCs w:val="32"/>
          <w:highlight w:val="none"/>
          <w:lang w:val="en-US" w:eastAsia="zh-CN"/>
        </w:rPr>
        <w:t>项目预算资金2266.33万元，实际到位资金2266.33万元，</w:t>
      </w:r>
      <w:r>
        <w:rPr>
          <w:rFonts w:hint="eastAsia" w:ascii="仿宋_GB2312" w:hAnsi="仿宋_GB2312" w:eastAsia="仿宋_GB2312" w:cs="仿宋_GB2312"/>
          <w:b w:val="0"/>
          <w:bCs w:val="0"/>
          <w:kern w:val="2"/>
          <w:sz w:val="32"/>
          <w:szCs w:val="32"/>
          <w:highlight w:val="none"/>
          <w:lang w:val="en-US" w:eastAsia="zh-CN" w:bidi="ar-SA"/>
        </w:rPr>
        <w:t>资金足额及时到位。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二是预算执行率较好。</w:t>
      </w:r>
      <w:r>
        <w:rPr>
          <w:rFonts w:hint="eastAsia" w:ascii="仿宋_GB2312" w:hAnsi="仿宋_GB2312" w:eastAsia="仿宋_GB2312" w:cs="仿宋_GB2312"/>
          <w:b w:val="0"/>
          <w:bCs w:val="0"/>
          <w:sz w:val="32"/>
          <w:szCs w:val="32"/>
          <w:highlight w:val="none"/>
          <w:lang w:val="en-US" w:eastAsia="zh-CN"/>
        </w:rPr>
        <w:t>纳入评价范围预算资金为2266.33万元，截止2020年8月30日，实际支出1992.67万元，</w:t>
      </w:r>
      <w:r>
        <w:rPr>
          <w:rFonts w:hint="eastAsia" w:ascii="仿宋_GB2312" w:hAnsi="仿宋_GB2312" w:eastAsia="仿宋_GB2312" w:cs="仿宋_GB2312"/>
          <w:sz w:val="32"/>
          <w:szCs w:val="32"/>
          <w:highlight w:val="none"/>
          <w:lang w:val="en-US" w:eastAsia="zh-CN"/>
        </w:rPr>
        <w:t>预算执行率为87.92%。资金支出情况详见下表：</w:t>
      </w:r>
      <w:r>
        <w:rPr>
          <w:rFonts w:hint="eastAsia" w:ascii="仿宋_GB2312" w:hAnsi="仿宋_GB2312" w:eastAsia="仿宋_GB2312" w:cs="仿宋_GB2312"/>
          <w:sz w:val="32"/>
          <w:szCs w:val="32"/>
          <w:highlight w:val="none"/>
          <w:lang w:val="en-US" w:eastAsia="zh-CN"/>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宋体" w:hAnsi="宋体" w:eastAsia="宋体" w:cs="宋体"/>
          <w:b/>
          <w:bCs/>
          <w:color w:val="000000"/>
          <w:sz w:val="28"/>
          <w:szCs w:val="28"/>
          <w:lang w:bidi="ar"/>
        </w:rPr>
        <w:t>表</w:t>
      </w:r>
      <w:r>
        <w:rPr>
          <w:rFonts w:hint="eastAsia" w:ascii="宋体" w:hAnsi="宋体" w:eastAsia="宋体" w:cs="宋体"/>
          <w:b/>
          <w:bCs/>
          <w:color w:val="000000"/>
          <w:sz w:val="28"/>
          <w:szCs w:val="28"/>
          <w:lang w:val="en-US" w:eastAsia="zh-CN" w:bidi="ar"/>
        </w:rPr>
        <w:t>7</w:t>
      </w:r>
      <w:r>
        <w:rPr>
          <w:rFonts w:hint="eastAsia" w:ascii="宋体" w:hAnsi="宋体" w:eastAsia="宋体" w:cs="宋体"/>
          <w:b/>
          <w:bCs/>
          <w:color w:val="000000"/>
          <w:sz w:val="28"/>
          <w:szCs w:val="28"/>
          <w:lang w:bidi="ar"/>
        </w:rPr>
        <w:t>：</w:t>
      </w:r>
      <w:r>
        <w:rPr>
          <w:rFonts w:hint="eastAsia" w:ascii="宋体" w:hAnsi="宋体" w:eastAsia="宋体" w:cs="宋体"/>
          <w:b/>
          <w:bCs/>
          <w:color w:val="000000"/>
          <w:sz w:val="28"/>
          <w:szCs w:val="28"/>
          <w:lang w:val="en-US" w:eastAsia="zh-CN" w:bidi="ar"/>
        </w:rPr>
        <w:t>资金支出情况</w:t>
      </w:r>
      <w:r>
        <w:rPr>
          <w:rFonts w:hint="eastAsia" w:ascii="宋体" w:hAnsi="宋体" w:eastAsia="宋体" w:cs="宋体"/>
          <w:b/>
          <w:bCs/>
          <w:color w:val="000000"/>
          <w:sz w:val="28"/>
          <w:szCs w:val="28"/>
          <w:lang w:bidi="ar"/>
        </w:rPr>
        <w:t>表</w:t>
      </w:r>
    </w:p>
    <w:tbl>
      <w:tblPr>
        <w:tblStyle w:val="19"/>
        <w:tblW w:w="7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88"/>
        <w:gridCol w:w="1908"/>
        <w:gridCol w:w="2028"/>
        <w:gridCol w:w="3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80" w:hRule="atLeast"/>
          <w:jc w:val="center"/>
        </w:trPr>
        <w:tc>
          <w:tcPr>
            <w:tcW w:w="58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90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日期</w:t>
            </w:r>
          </w:p>
        </w:tc>
        <w:tc>
          <w:tcPr>
            <w:tcW w:w="202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支出金额（万元）</w:t>
            </w:r>
          </w:p>
        </w:tc>
        <w:tc>
          <w:tcPr>
            <w:tcW w:w="3096"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8" w:hRule="atLeast"/>
          <w:jc w:val="center"/>
        </w:trPr>
        <w:tc>
          <w:tcPr>
            <w:tcW w:w="58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1</w:t>
            </w:r>
          </w:p>
        </w:tc>
        <w:tc>
          <w:tcPr>
            <w:tcW w:w="190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0"/>
                <w:szCs w:val="20"/>
                <w:u w:val="none"/>
                <w:lang w:val="en-US" w:eastAsia="zh-CN" w:bidi="ar"/>
              </w:rPr>
              <w:t>2018/10/17</w:t>
            </w:r>
          </w:p>
        </w:tc>
        <w:tc>
          <w:tcPr>
            <w:tcW w:w="202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kern w:val="0"/>
                <w:sz w:val="20"/>
                <w:szCs w:val="20"/>
                <w:u w:val="none"/>
                <w:lang w:val="en-US" w:eastAsia="zh-CN" w:bidi="ar"/>
              </w:rPr>
              <w:t>153</w:t>
            </w:r>
          </w:p>
        </w:tc>
        <w:tc>
          <w:tcPr>
            <w:tcW w:w="3096" w:type="dxa"/>
            <w:vMerge w:val="restart"/>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支付李东线李庄-西崮城工程款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58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90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2018/11/7</w:t>
            </w:r>
          </w:p>
        </w:tc>
        <w:tc>
          <w:tcPr>
            <w:tcW w:w="202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606</w:t>
            </w:r>
          </w:p>
        </w:tc>
        <w:tc>
          <w:tcPr>
            <w:tcW w:w="3096" w:type="dxa"/>
            <w:vMerge w:val="continue"/>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58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90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2018/12/25</w:t>
            </w:r>
          </w:p>
        </w:tc>
        <w:tc>
          <w:tcPr>
            <w:tcW w:w="202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329</w:t>
            </w:r>
          </w:p>
        </w:tc>
        <w:tc>
          <w:tcPr>
            <w:tcW w:w="3096" w:type="dxa"/>
            <w:vMerge w:val="continue"/>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58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90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2019/4/22</w:t>
            </w:r>
          </w:p>
        </w:tc>
        <w:tc>
          <w:tcPr>
            <w:tcW w:w="202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612</w:t>
            </w:r>
          </w:p>
        </w:tc>
        <w:tc>
          <w:tcPr>
            <w:tcW w:w="3096" w:type="dxa"/>
            <w:vMerge w:val="continue"/>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60" w:hRule="atLeast"/>
          <w:jc w:val="center"/>
        </w:trPr>
        <w:tc>
          <w:tcPr>
            <w:tcW w:w="58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90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2019/11/13</w:t>
            </w:r>
          </w:p>
        </w:tc>
        <w:tc>
          <w:tcPr>
            <w:tcW w:w="2028" w:type="dxa"/>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
              </w:rPr>
              <w:t>292.67</w:t>
            </w:r>
          </w:p>
        </w:tc>
        <w:tc>
          <w:tcPr>
            <w:tcW w:w="3096" w:type="dxa"/>
            <w:vMerge w:val="continue"/>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bookmarkEnd w:id="131"/>
      <w:bookmarkEnd w:id="132"/>
      <w:bookmarkEnd w:id="133"/>
      <w:bookmarkEnd w:id="134"/>
      <w:bookmarkEnd w:id="135"/>
    </w:tbl>
    <w:p>
      <w:pPr>
        <w:pStyle w:val="2"/>
        <w:keepNext w:val="0"/>
        <w:keepLines w:val="0"/>
        <w:pageBreakBefore w:val="0"/>
        <w:widowControl/>
        <w:kinsoku/>
        <w:wordWrap/>
        <w:overflowPunct w:val="0"/>
        <w:topLinePunct w:val="0"/>
        <w:autoSpaceDE w:val="0"/>
        <w:autoSpaceDN w:val="0"/>
        <w:bidi w:val="0"/>
        <w:adjustRightInd w:val="0"/>
        <w:snapToGrid/>
        <w:spacing w:line="580" w:lineRule="exact"/>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②资金使用合规性分析</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该指标主要从以</w:t>
      </w:r>
      <w:r>
        <w:rPr>
          <w:rFonts w:hint="eastAsia" w:ascii="仿宋_GB2312" w:eastAsia="仿宋_GB2312" w:cs="仿宋_GB2312"/>
          <w:sz w:val="32"/>
          <w:szCs w:val="32"/>
          <w:highlight w:val="none"/>
        </w:rPr>
        <w:t>下</w:t>
      </w:r>
      <w:r>
        <w:rPr>
          <w:rFonts w:hint="eastAsia" w:ascii="仿宋_GB2312" w:eastAsia="仿宋_GB2312" w:cs="仿宋_GB2312"/>
          <w:sz w:val="32"/>
          <w:szCs w:val="32"/>
          <w:highlight w:val="none"/>
          <w:lang w:val="en-US" w:eastAsia="zh-CN"/>
        </w:rPr>
        <w:t>三</w:t>
      </w:r>
      <w:r>
        <w:rPr>
          <w:rFonts w:hint="eastAsia" w:ascii="仿宋_GB2312" w:eastAsia="仿宋_GB2312" w:cs="仿宋_GB2312"/>
          <w:sz w:val="32"/>
          <w:szCs w:val="32"/>
          <w:highlight w:val="none"/>
        </w:rPr>
        <w:t>方面进行评价，具体情况如下</w:t>
      </w:r>
      <w:r>
        <w:rPr>
          <w:rFonts w:hint="eastAsia" w:ascii="仿宋_GB2312" w:eastAsia="仿宋_GB2312" w:cs="仿宋_GB2312"/>
          <w:sz w:val="32"/>
          <w:szCs w:val="32"/>
          <w:highlight w:val="none"/>
          <w:lang w:eastAsia="zh-CN"/>
        </w:rPr>
        <w:t>：</w:t>
      </w:r>
    </w:p>
    <w:p>
      <w:pPr>
        <w:pStyle w:val="2"/>
        <w:keepNext w:val="0"/>
        <w:keepLines w:val="0"/>
        <w:pageBreakBefore w:val="0"/>
        <w:widowControl/>
        <w:kinsoku/>
        <w:wordWrap/>
        <w:overflowPunct w:val="0"/>
        <w:topLinePunct w:val="0"/>
        <w:autoSpaceDE w:val="0"/>
        <w:autoSpaceDN w:val="0"/>
        <w:bidi w:val="0"/>
        <w:adjustRightInd w:val="0"/>
        <w:snapToGrid/>
        <w:spacing w:line="580" w:lineRule="exact"/>
        <w:ind w:firstLine="643"/>
        <w:textAlignment w:val="baseline"/>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一是资金使用合规。</w:t>
      </w:r>
      <w:r>
        <w:rPr>
          <w:rFonts w:hint="eastAsia" w:ascii="仿宋_GB2312" w:hAnsi="仿宋_GB2312" w:eastAsia="仿宋_GB2312" w:cs="仿宋_GB2312"/>
          <w:sz w:val="32"/>
          <w:szCs w:val="32"/>
        </w:rPr>
        <w:t>依据现场查</w:t>
      </w:r>
      <w:r>
        <w:rPr>
          <w:rFonts w:hint="eastAsia" w:ascii="仿宋_GB2312" w:hAnsi="仿宋_GB2312" w:eastAsia="仿宋_GB2312" w:cs="仿宋_GB2312"/>
          <w:sz w:val="32"/>
          <w:szCs w:val="32"/>
          <w:lang w:val="en-US" w:eastAsia="zh-CN"/>
        </w:rPr>
        <w:t>阅</w:t>
      </w:r>
      <w:r>
        <w:rPr>
          <w:rFonts w:hint="eastAsia" w:ascii="仿宋_GB2312" w:hAnsi="仿宋_GB2312" w:eastAsia="仿宋_GB2312" w:cs="仿宋_GB2312"/>
          <w:sz w:val="32"/>
          <w:szCs w:val="32"/>
        </w:rPr>
        <w:t>相关财务资料，</w:t>
      </w:r>
      <w:r>
        <w:rPr>
          <w:rFonts w:hint="eastAsia" w:ascii="仿宋_GB2312" w:hAnsi="仿宋_GB2312" w:eastAsia="仿宋_GB2312" w:cs="仿宋_GB2312"/>
          <w:sz w:val="32"/>
          <w:szCs w:val="32"/>
          <w:lang w:val="en-US" w:eastAsia="zh-CN"/>
        </w:rPr>
        <w:t>评价发现，项目</w:t>
      </w:r>
      <w:r>
        <w:rPr>
          <w:rFonts w:hint="eastAsia" w:ascii="仿宋_GB2312" w:hAnsi="仿宋_GB2312" w:eastAsia="仿宋_GB2312" w:cs="仿宋_GB2312"/>
          <w:sz w:val="32"/>
          <w:szCs w:val="32"/>
        </w:rPr>
        <w:t>资金使用符合国家财经法规和财务管理制度以及</w:t>
      </w:r>
      <w:r>
        <w:rPr>
          <w:rFonts w:hint="eastAsia" w:ascii="仿宋_GB2312" w:hAnsi="仿宋_GB2312" w:eastAsia="仿宋_GB2312" w:cs="仿宋_GB2312"/>
          <w:sz w:val="32"/>
          <w:szCs w:val="32"/>
          <w:lang w:eastAsia="zh-CN"/>
        </w:rPr>
        <w:t>《山亭区人民政府 关于印发山亭区财政资金管理办法的通知》（山政字〔2018〕14号）</w:t>
      </w:r>
      <w:r>
        <w:rPr>
          <w:rFonts w:hint="eastAsia" w:ascii="仿宋_GB2312" w:hAnsi="仿宋_GB2312" w:eastAsia="仿宋_GB2312" w:cs="仿宋_GB2312"/>
          <w:sz w:val="32"/>
          <w:szCs w:val="32"/>
        </w:rPr>
        <w:t>的规定，未发现截留、挤占、挪用、虚列支出等情况。</w:t>
      </w:r>
    </w:p>
    <w:p>
      <w:pPr>
        <w:pStyle w:val="2"/>
        <w:keepNext w:val="0"/>
        <w:keepLines w:val="0"/>
        <w:pageBreakBefore w:val="0"/>
        <w:widowControl/>
        <w:shd w:val="clear"/>
        <w:tabs>
          <w:tab w:val="center" w:pos="4479"/>
        </w:tabs>
        <w:kinsoku/>
        <w:wordWrap/>
        <w:overflowPunct w:val="0"/>
        <w:topLinePunct w:val="0"/>
        <w:autoSpaceDE w:val="0"/>
        <w:autoSpaceDN w:val="0"/>
        <w:bidi w:val="0"/>
        <w:adjustRightInd w:val="0"/>
        <w:snapToGrid/>
        <w:spacing w:line="580" w:lineRule="exact"/>
        <w:ind w:firstLine="643"/>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二是资金拨付</w:t>
      </w:r>
      <w:r>
        <w:rPr>
          <w:rFonts w:hint="eastAsia" w:ascii="仿宋_GB2312" w:hAnsi="仿宋_GB2312" w:eastAsia="仿宋_GB2312" w:cs="仿宋_GB2312"/>
          <w:b/>
          <w:bCs/>
          <w:sz w:val="32"/>
          <w:szCs w:val="32"/>
          <w:highlight w:val="none"/>
          <w:lang w:val="en-US" w:eastAsia="zh-CN"/>
        </w:rPr>
        <w:t>不</w:t>
      </w:r>
      <w:r>
        <w:rPr>
          <w:rFonts w:hint="eastAsia" w:ascii="仿宋_GB2312" w:hAnsi="仿宋_GB2312" w:eastAsia="仿宋_GB2312" w:cs="仿宋_GB2312"/>
          <w:b/>
          <w:bCs/>
          <w:sz w:val="32"/>
          <w:szCs w:val="32"/>
          <w:highlight w:val="none"/>
        </w:rPr>
        <w:t>规范。</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highlight w:val="none"/>
        </w:rPr>
        <w:t>资金拨付流程为由业务科室提报，农村公路事务中心、局计划基建股、分管领导、主要领导层层审批，签署意见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但现场评价发现，合同约定付款方式为“工程开工，施工单位正式进场后，付到工程合同总价的30%，乙方完成工程量超过合同总价60%时，可申请一次工程进度款，经监理验收合格并签字认可后，付已完成工程总造价的的90%；所有工程完成，验收合格并完成工程决算审计后，付决算审计金额的90%；质保期满一年，无质量问题付清工程全部资金（不计息）”，项目于2018年10月17日拨付第一笔工程款153万元，按照合同金额2266.33万元测算，第一次拨付工程合同总价的30%，金额应为679.9万元，拨款金额与合同约定不符，资金拨付不规范。</w:t>
      </w:r>
    </w:p>
    <w:p>
      <w:pPr>
        <w:pStyle w:val="2"/>
        <w:keepNext w:val="0"/>
        <w:keepLines w:val="0"/>
        <w:pageBreakBefore w:val="0"/>
        <w:widowControl/>
        <w:tabs>
          <w:tab w:val="center" w:pos="4479"/>
        </w:tabs>
        <w:kinsoku/>
        <w:wordWrap/>
        <w:overflowPunct w:val="0"/>
        <w:topLinePunct w:val="0"/>
        <w:autoSpaceDE w:val="0"/>
        <w:autoSpaceDN w:val="0"/>
        <w:bidi w:val="0"/>
        <w:adjustRightInd w:val="0"/>
        <w:snapToGrid/>
        <w:spacing w:line="580" w:lineRule="exact"/>
        <w:ind w:firstLine="643"/>
        <w:textAlignment w:val="baseline"/>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三是政府采购程序合规。</w:t>
      </w:r>
      <w:r>
        <w:rPr>
          <w:rFonts w:hint="eastAsia" w:ascii="仿宋_GB2312" w:hAnsi="仿宋_GB2312" w:eastAsia="仿宋_GB2312" w:cs="仿宋_GB2312"/>
          <w:b w:val="0"/>
          <w:bCs w:val="0"/>
          <w:sz w:val="32"/>
          <w:szCs w:val="32"/>
          <w:lang w:val="en-US" w:eastAsia="zh-CN"/>
        </w:rPr>
        <w:t>通过查阅招标、投标、政府采购合同等文件资料，评价发现项目采购经过政府采购程序，符合政府采购法的相关规定，程序合规。</w:t>
      </w:r>
    </w:p>
    <w:p>
      <w:pPr>
        <w:pStyle w:val="7"/>
        <w:keepNext w:val="0"/>
        <w:keepLines w:val="0"/>
        <w:pageBreakBefore w:val="0"/>
        <w:kinsoku/>
        <w:wordWrap/>
        <w:topLinePunct w:val="0"/>
        <w:bidi w:val="0"/>
        <w:snapToGrid/>
        <w:spacing w:before="0" w:line="580" w:lineRule="exact"/>
        <w:ind w:left="0" w:firstLine="640" w:firstLineChars="200"/>
        <w:rPr>
          <w:highlight w:val="none"/>
          <w:lang w:val="en-US"/>
        </w:rPr>
      </w:pPr>
      <w:bookmarkStart w:id="136" w:name="_Toc918832732_WPSOffice_Level2"/>
      <w:bookmarkStart w:id="137" w:name="_Toc270797314_WPSOffice_Level2"/>
      <w:bookmarkStart w:id="138" w:name="_Toc1229501389_WPSOffice_Level2"/>
      <w:bookmarkStart w:id="139" w:name="_Toc1014151088_WPSOffice_Level2"/>
      <w:r>
        <w:rPr>
          <w:rFonts w:hint="eastAsia"/>
          <w:highlight w:val="none"/>
          <w:lang w:val="en-US"/>
        </w:rPr>
        <w:t>（2）组织实施分析</w:t>
      </w:r>
    </w:p>
    <w:p>
      <w:pPr>
        <w:keepNext w:val="0"/>
        <w:keepLines w:val="0"/>
        <w:pageBreakBefore w:val="0"/>
        <w:kinsoku/>
        <w:wordWrap/>
        <w:topLinePunct w:val="0"/>
        <w:bidi w:val="0"/>
        <w:snapToGrid/>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该二级指标包括管理制度健全性和制度执行有效性2个三级指标。</w:t>
      </w:r>
    </w:p>
    <w:p>
      <w:pPr>
        <w:pStyle w:val="2"/>
        <w:keepNext w:val="0"/>
        <w:keepLines w:val="0"/>
        <w:pageBreakBefore w:val="0"/>
        <w:widowControl/>
        <w:kinsoku/>
        <w:wordWrap/>
        <w:overflowPunct w:val="0"/>
        <w:topLinePunct w:val="0"/>
        <w:autoSpaceDE w:val="0"/>
        <w:autoSpaceDN w:val="0"/>
        <w:bidi w:val="0"/>
        <w:adjustRightInd w:val="0"/>
        <w:snapToGrid/>
        <w:spacing w:line="580" w:lineRule="exact"/>
        <w:ind w:firstLine="640"/>
        <w:textAlignment w:val="baseline"/>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①管理制度健全性分析</w:t>
      </w:r>
    </w:p>
    <w:p>
      <w:pPr>
        <w:keepNext w:val="0"/>
        <w:keepLines w:val="0"/>
        <w:pageBreakBefore w:val="0"/>
        <w:kinsoku/>
        <w:wordWrap/>
        <w:topLinePunct w:val="0"/>
        <w:bidi w:val="0"/>
        <w:snapToGrid/>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该指标主要评价管理制度健全性，具体情况如下：</w:t>
      </w:r>
    </w:p>
    <w:p>
      <w:pPr>
        <w:pStyle w:val="7"/>
        <w:keepNext w:val="0"/>
        <w:keepLines w:val="0"/>
        <w:pageBreakBefore w:val="0"/>
        <w:widowControl w:val="0"/>
        <w:kinsoku/>
        <w:wordWrap/>
        <w:overflowPunct/>
        <w:topLinePunct w:val="0"/>
        <w:autoSpaceDE/>
        <w:autoSpaceDN/>
        <w:bidi w:val="0"/>
        <w:adjustRightInd/>
        <w:snapToGrid/>
        <w:spacing w:before="0" w:line="580" w:lineRule="exact"/>
        <w:ind w:left="0" w:lef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项目管理制度较健全。</w:t>
      </w:r>
      <w:bookmarkEnd w:id="136"/>
      <w:bookmarkEnd w:id="137"/>
      <w:bookmarkEnd w:id="138"/>
      <w:bookmarkEnd w:id="139"/>
      <w:bookmarkStart w:id="140" w:name="_Toc1142193489_WPSOffice_Level2"/>
      <w:bookmarkStart w:id="141" w:name="_Toc13435"/>
      <w:bookmarkStart w:id="142" w:name="_Toc259629777_WPSOffice_Level2"/>
      <w:bookmarkStart w:id="143" w:name="_Toc266821147_WPSOffice_Level2"/>
      <w:bookmarkStart w:id="144" w:name="_Toc772608405_WPSOffice_Level2"/>
      <w:r>
        <w:rPr>
          <w:rFonts w:hint="eastAsia" w:cs="仿宋_GB2312"/>
          <w:b w:val="0"/>
          <w:bCs w:val="0"/>
          <w:sz w:val="32"/>
          <w:szCs w:val="32"/>
          <w:highlight w:val="none"/>
          <w:lang w:val="en-US" w:eastAsia="zh-CN"/>
        </w:rPr>
        <w:t>为进一步加强资金管理，规范资金使用程序，提高资金使用效益，2018年4月12日，山亭区人民政府印发了《山亭区人民政府 关于印发山亭区财政资金管理办法的通知》（山政字〔2018〕14号），文件明确了专项资金的管理机制、资金的拨付和使用、绩效评价、监督检查及责任划分；</w:t>
      </w:r>
      <w:r>
        <w:rPr>
          <w:rFonts w:hint="eastAsia" w:ascii="仿宋_GB2312" w:hAnsi="仿宋_GB2312" w:eastAsia="仿宋_GB2312" w:cs="仿宋_GB2312"/>
          <w:kern w:val="2"/>
          <w:sz w:val="32"/>
          <w:szCs w:val="32"/>
          <w:highlight w:val="none"/>
          <w:lang w:val="en-US" w:eastAsia="zh-CN" w:bidi="zh-CN"/>
        </w:rPr>
        <w:t>为落实省、市关于进一步加快“四好农村路”建设的要求，山亭区</w:t>
      </w:r>
      <w:r>
        <w:rPr>
          <w:rFonts w:hint="eastAsia" w:cs="仿宋_GB2312"/>
          <w:kern w:val="2"/>
          <w:sz w:val="32"/>
          <w:szCs w:val="32"/>
          <w:highlight w:val="none"/>
          <w:lang w:val="en-US" w:eastAsia="zh-CN" w:bidi="zh-CN"/>
        </w:rPr>
        <w:t>人民政府办公室制定了</w:t>
      </w:r>
      <w:r>
        <w:rPr>
          <w:rFonts w:hint="eastAsia" w:ascii="仿宋_GB2312" w:hAnsi="仿宋_GB2312" w:eastAsia="仿宋_GB2312" w:cs="仿宋_GB2312"/>
          <w:kern w:val="2"/>
          <w:sz w:val="32"/>
          <w:szCs w:val="32"/>
          <w:highlight w:val="none"/>
          <w:lang w:val="en-US" w:eastAsia="zh-CN" w:bidi="zh-CN"/>
        </w:rPr>
        <w:t>《山亭区“四好农村路”三年集中攻坚专项行动实施方案》，</w:t>
      </w:r>
      <w:r>
        <w:rPr>
          <w:rFonts w:hint="eastAsia" w:cs="仿宋_GB2312"/>
          <w:kern w:val="2"/>
          <w:sz w:val="32"/>
          <w:szCs w:val="32"/>
          <w:highlight w:val="none"/>
          <w:lang w:val="en-US" w:eastAsia="zh-CN" w:bidi="zh-CN"/>
        </w:rPr>
        <w:t>方案明确了总体目标、主要任务、实施步骤及保障措施等内容；项目财务及业务管理制度</w:t>
      </w:r>
      <w:r>
        <w:rPr>
          <w:rFonts w:hint="eastAsia" w:ascii="仿宋_GB2312" w:hAnsi="仿宋_GB2312" w:eastAsia="仿宋_GB2312" w:cs="仿宋_GB2312"/>
          <w:sz w:val="32"/>
          <w:szCs w:val="32"/>
          <w:highlight w:val="none"/>
        </w:rPr>
        <w:t>文件内容齐全完整，可操作性高。</w:t>
      </w:r>
    </w:p>
    <w:p>
      <w:pPr>
        <w:pStyle w:val="2"/>
        <w:keepNext w:val="0"/>
        <w:keepLines w:val="0"/>
        <w:pageBreakBefore w:val="0"/>
        <w:widowControl/>
        <w:tabs>
          <w:tab w:val="left" w:pos="560"/>
        </w:tabs>
        <w:kinsoku/>
        <w:wordWrap/>
        <w:overflowPunct w:val="0"/>
        <w:topLinePunct w:val="0"/>
        <w:autoSpaceDE w:val="0"/>
        <w:autoSpaceDN w:val="0"/>
        <w:bidi w:val="0"/>
        <w:adjustRightInd w:val="0"/>
        <w:snapToGrid/>
        <w:spacing w:line="580" w:lineRule="exact"/>
        <w:textAlignment w:val="baseline"/>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②制度执行有效性分析</w:t>
      </w:r>
    </w:p>
    <w:p>
      <w:pPr>
        <w:keepNext w:val="0"/>
        <w:keepLines w:val="0"/>
        <w:pageBreakBefore w:val="0"/>
        <w:kinsoku/>
        <w:wordWrap/>
        <w:topLinePunct w:val="0"/>
        <w:bidi w:val="0"/>
        <w:snapToGrid/>
        <w:spacing w:line="580" w:lineRule="exact"/>
        <w:ind w:firstLine="640" w:firstLineChars="200"/>
        <w:rPr>
          <w:rFonts w:hint="eastAsia" w:ascii="仿宋_GB2312" w:eastAsia="仿宋_GB2312" w:cs="仿宋_GB2312"/>
          <w:sz w:val="32"/>
          <w:szCs w:val="32"/>
          <w:lang w:eastAsia="zh-CN"/>
        </w:rPr>
      </w:pPr>
      <w:r>
        <w:rPr>
          <w:rFonts w:hint="eastAsia" w:ascii="仿宋_GB2312" w:hAnsi="仿宋_GB2312" w:eastAsia="仿宋_GB2312" w:cs="仿宋_GB2312"/>
          <w:sz w:val="32"/>
          <w:szCs w:val="32"/>
        </w:rPr>
        <w:t>该指标主要从项目管理规范性、</w:t>
      </w:r>
      <w:r>
        <w:rPr>
          <w:rFonts w:hint="eastAsia" w:ascii="仿宋_GB2312" w:hAnsi="仿宋_GB2312" w:eastAsia="仿宋_GB2312" w:cs="仿宋_GB2312"/>
          <w:sz w:val="32"/>
          <w:szCs w:val="32"/>
          <w:lang w:val="en-US" w:eastAsia="zh-CN"/>
        </w:rPr>
        <w:t>组织领导机制健全性、会计核算规范性、</w:t>
      </w:r>
      <w:r>
        <w:rPr>
          <w:rFonts w:hint="eastAsia" w:ascii="仿宋_GB2312" w:hAnsi="仿宋_GB2312" w:eastAsia="仿宋_GB2312" w:cs="仿宋_GB2312"/>
          <w:sz w:val="32"/>
          <w:szCs w:val="32"/>
        </w:rPr>
        <w:t>项目调整及支出调整手续的完备性和</w:t>
      </w:r>
      <w:r>
        <w:rPr>
          <w:rFonts w:hint="eastAsia" w:ascii="仿宋_GB2312" w:eastAsia="仿宋_GB2312" w:cs="仿宋_GB2312"/>
          <w:sz w:val="32"/>
          <w:szCs w:val="32"/>
        </w:rPr>
        <w:t>档案管理规范性</w:t>
      </w:r>
      <w:r>
        <w:rPr>
          <w:rFonts w:hint="eastAsia" w:ascii="仿宋_GB2312" w:eastAsia="仿宋_GB2312" w:cs="仿宋_GB2312"/>
          <w:sz w:val="32"/>
          <w:szCs w:val="32"/>
          <w:lang w:val="en-US" w:eastAsia="zh-CN"/>
        </w:rPr>
        <w:t>五</w:t>
      </w:r>
      <w:r>
        <w:rPr>
          <w:rFonts w:hint="eastAsia" w:ascii="仿宋_GB2312" w:hAnsi="仿宋_GB2312" w:eastAsia="仿宋_GB2312" w:cs="仿宋_GB2312"/>
          <w:sz w:val="32"/>
          <w:szCs w:val="32"/>
        </w:rPr>
        <w:t>个方面</w:t>
      </w:r>
      <w:r>
        <w:rPr>
          <w:rFonts w:hint="eastAsia" w:ascii="仿宋_GB2312" w:eastAsia="仿宋_GB2312" w:cs="仿宋_GB2312"/>
          <w:sz w:val="32"/>
          <w:szCs w:val="32"/>
        </w:rPr>
        <w:t>进行评价，具体情况如下</w:t>
      </w:r>
      <w:r>
        <w:rPr>
          <w:rFonts w:hint="eastAsia" w:ascii="仿宋_GB2312" w:eastAsia="仿宋_GB2312" w:cs="仿宋_GB2312"/>
          <w:sz w:val="32"/>
          <w:szCs w:val="32"/>
          <w:lang w:eastAsia="zh-CN"/>
        </w:rPr>
        <w:t>：</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eastAsia="仿宋_GB2312" w:cs="仿宋_GB2312"/>
          <w:sz w:val="32"/>
          <w:szCs w:val="32"/>
        </w:rPr>
      </w:pPr>
      <w:r>
        <w:rPr>
          <w:rFonts w:hint="eastAsia" w:ascii="仿宋_GB2312" w:eastAsia="仿宋_GB2312" w:cs="仿宋_GB2312"/>
          <w:sz w:val="32"/>
          <w:szCs w:val="32"/>
          <w:lang w:val="en-US" w:eastAsia="zh-CN"/>
        </w:rPr>
        <w:t>A.</w:t>
      </w:r>
      <w:r>
        <w:rPr>
          <w:rFonts w:hint="eastAsia" w:ascii="仿宋_GB2312" w:eastAsia="仿宋_GB2312" w:cs="仿宋_GB2312"/>
          <w:sz w:val="32"/>
          <w:szCs w:val="32"/>
        </w:rPr>
        <w:t>项目管理规范</w:t>
      </w:r>
    </w:p>
    <w:p>
      <w:pPr>
        <w:pStyle w:val="7"/>
        <w:keepNext w:val="0"/>
        <w:keepLines w:val="0"/>
        <w:pageBreakBefore w:val="0"/>
        <w:kinsoku/>
        <w:wordWrap/>
        <w:topLinePunct w:val="0"/>
        <w:bidi w:val="0"/>
        <w:snapToGrid/>
        <w:spacing w:before="0" w:line="580" w:lineRule="exact"/>
        <w:ind w:left="0" w:firstLine="643" w:firstLineChars="200"/>
        <w:rPr>
          <w:rFonts w:hint="default" w:ascii="仿宋_GB2312" w:eastAsia="仿宋_GB2312" w:cs="仿宋_GB2312"/>
          <w:sz w:val="32"/>
          <w:szCs w:val="32"/>
          <w:lang w:val="en-US" w:eastAsia="zh-CN"/>
        </w:rPr>
      </w:pPr>
      <w:r>
        <w:rPr>
          <w:rFonts w:hint="eastAsia" w:cs="仿宋_GB2312"/>
          <w:b/>
          <w:bCs/>
          <w:sz w:val="32"/>
          <w:szCs w:val="32"/>
          <w:lang w:val="en-US" w:eastAsia="zh-CN"/>
        </w:rPr>
        <w:t>项目管理规范。</w:t>
      </w:r>
      <w:r>
        <w:rPr>
          <w:rFonts w:hint="eastAsia" w:ascii="仿宋_GB2312" w:eastAsia="仿宋_GB2312" w:cs="仿宋_GB2312"/>
          <w:sz w:val="32"/>
          <w:szCs w:val="32"/>
        </w:rPr>
        <w:t>项目实施</w:t>
      </w:r>
      <w:r>
        <w:rPr>
          <w:rFonts w:hint="eastAsia" w:ascii="仿宋_GB2312" w:eastAsia="仿宋_GB2312" w:cs="仿宋_GB2312"/>
          <w:sz w:val="32"/>
          <w:szCs w:val="32"/>
          <w:lang w:val="en-US" w:eastAsia="zh-CN"/>
        </w:rPr>
        <w:t>过程</w:t>
      </w:r>
      <w:r>
        <w:rPr>
          <w:rFonts w:hint="eastAsia" w:cs="仿宋_GB2312"/>
          <w:sz w:val="32"/>
          <w:szCs w:val="32"/>
          <w:lang w:val="en-US" w:eastAsia="zh-CN"/>
        </w:rPr>
        <w:t>中</w:t>
      </w:r>
      <w:r>
        <w:rPr>
          <w:rFonts w:hint="eastAsia"/>
          <w:lang w:val="en-US"/>
        </w:rPr>
        <w:t>严格执行相关管理制度，未发现执行不规范的地方。</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B.</w:t>
      </w:r>
      <w:r>
        <w:rPr>
          <w:rFonts w:hint="eastAsia" w:ascii="仿宋_GB2312" w:hAnsi="仿宋_GB2312" w:eastAsia="仿宋_GB2312" w:cs="仿宋_GB2312"/>
          <w:sz w:val="32"/>
          <w:szCs w:val="32"/>
          <w:lang w:val="en-US" w:eastAsia="zh-CN"/>
        </w:rPr>
        <w:t>组织领导机制健全性</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cs="仿宋_GB2312"/>
          <w:b/>
          <w:bCs/>
          <w:sz w:val="32"/>
          <w:szCs w:val="32"/>
          <w:lang w:val="en-US" w:eastAsia="zh-CN"/>
        </w:rPr>
        <w:t>组织领导机制健全。</w:t>
      </w:r>
      <w:r>
        <w:rPr>
          <w:rFonts w:hint="eastAsia" w:cs="仿宋_GB2312"/>
          <w:sz w:val="32"/>
          <w:szCs w:val="32"/>
          <w:lang w:val="en-US" w:eastAsia="zh-CN"/>
        </w:rPr>
        <w:t>为规范山亭区“四好农村路”建设工作的实施，山亭区人民政府成立了山亭区“四好农村路”建设工作领导小组，由区委副书记、区长任组长。项目管理和执行机构健全，人员分工明确，能够满足项目工作需要。</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cs="仿宋_GB2312"/>
          <w:sz w:val="32"/>
          <w:szCs w:val="32"/>
          <w:lang w:val="en-US" w:eastAsia="zh-CN"/>
        </w:rPr>
        <w:t>C.</w:t>
      </w:r>
      <w:r>
        <w:rPr>
          <w:rFonts w:hint="eastAsia" w:ascii="仿宋_GB2312" w:hAnsi="仿宋_GB2312" w:eastAsia="仿宋_GB2312" w:cs="仿宋_GB2312"/>
          <w:sz w:val="32"/>
          <w:szCs w:val="32"/>
          <w:lang w:val="en-US" w:eastAsia="zh-CN"/>
        </w:rPr>
        <w:t>会计核算规范性</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会计核算规范</w:t>
      </w:r>
      <w:r>
        <w:rPr>
          <w:rFonts w:hint="eastAsia" w:cs="仿宋_GB2312"/>
          <w:b/>
          <w:bCs/>
          <w:sz w:val="32"/>
          <w:szCs w:val="32"/>
          <w:lang w:val="en-US" w:eastAsia="zh-CN"/>
        </w:rPr>
        <w:t>。</w:t>
      </w:r>
      <w:r>
        <w:rPr>
          <w:rFonts w:hint="eastAsia" w:cs="仿宋_GB2312"/>
          <w:sz w:val="32"/>
          <w:szCs w:val="32"/>
          <w:lang w:val="en-US" w:eastAsia="zh-CN"/>
        </w:rPr>
        <w:t>通过现场查阅相关财务资料，评价发现，该项目的</w:t>
      </w:r>
      <w:r>
        <w:rPr>
          <w:rFonts w:hint="default" w:ascii="仿宋_GB2312" w:hAnsi="仿宋_GB2312" w:eastAsia="仿宋_GB2312" w:cs="仿宋_GB2312"/>
          <w:sz w:val="32"/>
          <w:szCs w:val="32"/>
          <w:lang w:val="en-US" w:eastAsia="zh-CN"/>
        </w:rPr>
        <w:t>会计核算符合会计制度，财务数据真实、准确，财务信息完整、规范。</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D.</w:t>
      </w:r>
      <w:r>
        <w:rPr>
          <w:rFonts w:hint="eastAsia" w:ascii="仿宋_GB2312" w:hAnsi="仿宋_GB2312" w:eastAsia="仿宋_GB2312" w:cs="仿宋_GB2312"/>
          <w:sz w:val="32"/>
          <w:szCs w:val="32"/>
        </w:rPr>
        <w:t>项目调整及支出调整手续的完备性</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项目调整</w:t>
      </w:r>
      <w:r>
        <w:rPr>
          <w:rFonts w:hint="eastAsia" w:cs="仿宋_GB2312"/>
          <w:b/>
          <w:bCs/>
          <w:sz w:val="32"/>
          <w:szCs w:val="32"/>
          <w:lang w:val="en-US" w:eastAsia="zh-CN"/>
        </w:rPr>
        <w:t>程序合规。</w:t>
      </w:r>
      <w:r>
        <w:rPr>
          <w:rFonts w:hint="eastAsia" w:cs="仿宋_GB2312"/>
          <w:sz w:val="32"/>
          <w:szCs w:val="32"/>
          <w:lang w:val="en-US" w:eastAsia="zh-CN"/>
        </w:rPr>
        <w:t>项目实施过程中未发生调整。</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line="580" w:lineRule="exact"/>
        <w:ind w:firstLine="640" w:firstLineChars="200"/>
        <w:textAlignment w:val="auto"/>
        <w:rPr>
          <w:rFonts w:hint="eastAsia" w:ascii="仿宋_GB2312" w:eastAsia="仿宋_GB2312" w:cs="仿宋_GB2312"/>
          <w:sz w:val="32"/>
          <w:szCs w:val="32"/>
        </w:rPr>
      </w:pPr>
      <w:r>
        <w:rPr>
          <w:rFonts w:hint="eastAsia" w:cs="仿宋_GB2312"/>
          <w:sz w:val="32"/>
          <w:szCs w:val="32"/>
          <w:lang w:val="en-US" w:eastAsia="zh-CN"/>
        </w:rPr>
        <w:t>E.</w:t>
      </w:r>
      <w:r>
        <w:rPr>
          <w:rFonts w:hint="eastAsia" w:ascii="仿宋_GB2312" w:eastAsia="仿宋_GB2312" w:cs="仿宋_GB2312"/>
          <w:sz w:val="32"/>
          <w:szCs w:val="32"/>
        </w:rPr>
        <w:t>档案管理规范性</w:t>
      </w:r>
    </w:p>
    <w:p>
      <w:pPr>
        <w:pStyle w:val="7"/>
        <w:keepNext w:val="0"/>
        <w:keepLines w:val="0"/>
        <w:pageBreakBefore w:val="0"/>
        <w:widowControl w:val="0"/>
        <w:kinsoku/>
        <w:wordWrap/>
        <w:overflowPunct/>
        <w:topLinePunct w:val="0"/>
        <w:autoSpaceDE/>
        <w:autoSpaceDN/>
        <w:bidi w:val="0"/>
        <w:adjustRightInd/>
        <w:snapToGrid/>
        <w:spacing w:before="0" w:line="580" w:lineRule="exact"/>
        <w:ind w:left="0" w:leftChars="0" w:firstLine="643" w:firstLineChars="200"/>
        <w:textAlignment w:val="auto"/>
        <w:rPr>
          <w:rFonts w:hint="eastAsia" w:cs="仿宋_GB2312"/>
          <w:sz w:val="32"/>
          <w:szCs w:val="32"/>
          <w:lang w:val="en-US" w:eastAsia="zh-CN"/>
        </w:rPr>
      </w:pPr>
      <w:r>
        <w:rPr>
          <w:rFonts w:hint="eastAsia" w:ascii="仿宋_GB2312" w:eastAsia="仿宋_GB2312" w:cs="仿宋_GB2312"/>
          <w:b/>
          <w:bCs/>
          <w:sz w:val="32"/>
          <w:szCs w:val="32"/>
        </w:rPr>
        <w:t>档案管理</w:t>
      </w:r>
      <w:r>
        <w:rPr>
          <w:rFonts w:hint="eastAsia" w:cs="仿宋_GB2312"/>
          <w:b/>
          <w:bCs/>
          <w:sz w:val="32"/>
          <w:szCs w:val="32"/>
          <w:lang w:val="en-US" w:eastAsia="zh-CN"/>
        </w:rPr>
        <w:t>不</w:t>
      </w:r>
      <w:r>
        <w:rPr>
          <w:rFonts w:hint="eastAsia" w:ascii="仿宋_GB2312" w:eastAsia="仿宋_GB2312" w:cs="仿宋_GB2312"/>
          <w:b/>
          <w:bCs/>
          <w:sz w:val="32"/>
          <w:szCs w:val="32"/>
        </w:rPr>
        <w:t>规范</w:t>
      </w:r>
      <w:r>
        <w:rPr>
          <w:rFonts w:hint="eastAsia" w:cs="仿宋_GB2312"/>
          <w:b/>
          <w:bCs/>
          <w:sz w:val="32"/>
          <w:szCs w:val="32"/>
          <w:lang w:eastAsia="zh-CN"/>
        </w:rPr>
        <w:t>。</w:t>
      </w:r>
      <w:r>
        <w:rPr>
          <w:rFonts w:hint="eastAsia" w:cs="仿宋_GB2312"/>
          <w:sz w:val="32"/>
          <w:szCs w:val="32"/>
          <w:lang w:val="en-US" w:eastAsia="zh-CN"/>
        </w:rPr>
        <w:t>现场查阅项目实施过程资料时，未见工程监理资料及施工过程资料，项目档案资料不够完整，归档不够及时。</w:t>
      </w:r>
    </w:p>
    <w:p>
      <w:pPr>
        <w:pStyle w:val="7"/>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textAlignment w:val="auto"/>
        <w:rPr>
          <w:rFonts w:hint="eastAsia" w:eastAsia="仿宋_GB2312"/>
          <w:b/>
          <w:bCs/>
          <w:lang w:val="en-US" w:eastAsia="zh-CN"/>
        </w:rPr>
      </w:pPr>
      <w:r>
        <w:rPr>
          <w:rFonts w:hint="default"/>
          <w:b w:val="0"/>
          <w:bCs w:val="0"/>
        </w:rPr>
        <w:t>3.产出指标</w:t>
      </w:r>
      <w:r>
        <w:rPr>
          <w:rFonts w:hint="eastAsia"/>
          <w:b w:val="0"/>
          <w:bCs w:val="0"/>
          <w:lang w:val="en-US" w:eastAsia="zh-CN"/>
        </w:rPr>
        <w:t>分析</w:t>
      </w:r>
    </w:p>
    <w:bookmarkEnd w:id="140"/>
    <w:bookmarkEnd w:id="141"/>
    <w:bookmarkEnd w:id="142"/>
    <w:bookmarkEnd w:id="143"/>
    <w:bookmarkEnd w:id="144"/>
    <w:p>
      <w:pPr>
        <w:pStyle w:val="7"/>
        <w:keepNext w:val="0"/>
        <w:keepLines w:val="0"/>
        <w:pageBreakBefore w:val="0"/>
        <w:kinsoku/>
        <w:wordWrap/>
        <w:topLinePunct w:val="0"/>
        <w:bidi w:val="0"/>
        <w:snapToGrid/>
        <w:spacing w:before="0" w:line="580" w:lineRule="exact"/>
        <w:ind w:left="0" w:firstLine="640" w:firstLineChars="200"/>
        <w:rPr>
          <w:rFonts w:hint="default"/>
          <w:lang w:val="en-US"/>
        </w:rPr>
      </w:pPr>
      <w:r>
        <w:rPr>
          <w:rFonts w:hint="eastAsia"/>
          <w:lang w:val="en-US"/>
        </w:rPr>
        <w:t>该一级指标包括产出数量、</w:t>
      </w:r>
      <w:r>
        <w:rPr>
          <w:rFonts w:hint="eastAsia"/>
          <w:lang w:val="en-US" w:eastAsia="zh-CN"/>
        </w:rPr>
        <w:t>产出质量、</w:t>
      </w:r>
      <w:r>
        <w:rPr>
          <w:rFonts w:hint="eastAsia"/>
          <w:lang w:val="en-US"/>
        </w:rPr>
        <w:t>产出时效和产出成本</w:t>
      </w:r>
      <w:r>
        <w:rPr>
          <w:rFonts w:hint="eastAsia"/>
          <w:lang w:val="en-US" w:eastAsia="zh-CN"/>
        </w:rPr>
        <w:t>4</w:t>
      </w:r>
      <w:r>
        <w:rPr>
          <w:rFonts w:hint="eastAsia"/>
          <w:lang w:val="en-US"/>
        </w:rPr>
        <w:t>个二级指标，得分情况如下表所示：</w:t>
      </w:r>
    </w:p>
    <w:p>
      <w:pPr>
        <w:pStyle w:val="2"/>
        <w:ind w:firstLine="562"/>
        <w:jc w:val="center"/>
        <w:rPr>
          <w:rFonts w:hint="eastAsia" w:ascii="宋体" w:hAnsi="宋体" w:eastAsia="宋体" w:cs="宋体"/>
        </w:rPr>
      </w:pPr>
      <w:bookmarkStart w:id="145" w:name="_Toc90682977_WPSOffice_Level2"/>
      <w:bookmarkStart w:id="146" w:name="_Toc1556274727_WPSOffice_Level2"/>
      <w:bookmarkStart w:id="147" w:name="_Toc1145193735_WPSOffice_Level2"/>
      <w:bookmarkStart w:id="148" w:name="_Toc795291155_WPSOffice_Level2"/>
      <w:r>
        <w:rPr>
          <w:rFonts w:hint="eastAsia" w:ascii="宋体" w:hAnsi="宋体" w:eastAsia="宋体" w:cs="宋体"/>
          <w:b/>
          <w:bCs/>
          <w:color w:val="000000"/>
          <w:sz w:val="28"/>
          <w:szCs w:val="28"/>
          <w:lang w:bidi="ar"/>
        </w:rPr>
        <w:t>表</w:t>
      </w:r>
      <w:r>
        <w:rPr>
          <w:rFonts w:hint="eastAsia" w:ascii="宋体" w:hAnsi="宋体" w:eastAsia="宋体" w:cs="宋体"/>
          <w:b/>
          <w:bCs/>
          <w:color w:val="000000"/>
          <w:sz w:val="28"/>
          <w:szCs w:val="28"/>
          <w:lang w:val="en-US" w:eastAsia="zh-CN" w:bidi="ar"/>
        </w:rPr>
        <w:t>8</w:t>
      </w:r>
      <w:r>
        <w:rPr>
          <w:rFonts w:hint="eastAsia" w:ascii="宋体" w:hAnsi="宋体" w:eastAsia="宋体" w:cs="宋体"/>
          <w:b/>
          <w:bCs/>
          <w:color w:val="000000"/>
          <w:sz w:val="28"/>
          <w:szCs w:val="28"/>
          <w:lang w:bidi="ar"/>
        </w:rPr>
        <w:t>：</w:t>
      </w:r>
      <w:r>
        <w:rPr>
          <w:rFonts w:hint="eastAsia" w:ascii="宋体" w:hAnsi="宋体" w:eastAsia="宋体" w:cs="宋体"/>
          <w:b/>
          <w:bCs/>
          <w:color w:val="000000"/>
          <w:sz w:val="28"/>
          <w:szCs w:val="28"/>
          <w:lang w:val="en-US" w:eastAsia="zh-CN" w:bidi="ar"/>
        </w:rPr>
        <w:t>产出</w:t>
      </w:r>
      <w:r>
        <w:rPr>
          <w:rFonts w:hint="eastAsia" w:ascii="宋体" w:hAnsi="宋体" w:eastAsia="宋体" w:cs="宋体"/>
          <w:b/>
          <w:bCs/>
          <w:color w:val="000000"/>
          <w:sz w:val="28"/>
          <w:szCs w:val="28"/>
          <w:lang w:bidi="ar"/>
        </w:rPr>
        <w:t>指标得分情况表</w:t>
      </w:r>
      <w:bookmarkEnd w:id="145"/>
      <w:bookmarkEnd w:id="146"/>
      <w:bookmarkEnd w:id="147"/>
      <w:bookmarkEnd w:id="148"/>
    </w:p>
    <w:tbl>
      <w:tblPr>
        <w:tblStyle w:val="19"/>
        <w:tblW w:w="8608" w:type="dxa"/>
        <w:jc w:val="center"/>
        <w:shd w:val="clear" w:color="auto" w:fill="auto"/>
        <w:tblLayout w:type="fixed"/>
        <w:tblCellMar>
          <w:top w:w="0" w:type="dxa"/>
          <w:left w:w="0" w:type="dxa"/>
          <w:bottom w:w="0" w:type="dxa"/>
          <w:right w:w="0" w:type="dxa"/>
        </w:tblCellMar>
      </w:tblPr>
      <w:tblGrid>
        <w:gridCol w:w="968"/>
        <w:gridCol w:w="612"/>
        <w:gridCol w:w="1020"/>
        <w:gridCol w:w="669"/>
        <w:gridCol w:w="1728"/>
        <w:gridCol w:w="744"/>
        <w:gridCol w:w="1259"/>
        <w:gridCol w:w="708"/>
        <w:gridCol w:w="900"/>
      </w:tblGrid>
      <w:tr>
        <w:tblPrEx>
          <w:shd w:val="clear" w:color="auto" w:fill="auto"/>
          <w:tblCellMar>
            <w:top w:w="0" w:type="dxa"/>
            <w:left w:w="0" w:type="dxa"/>
            <w:bottom w:w="0" w:type="dxa"/>
            <w:right w:w="0" w:type="dxa"/>
          </w:tblCellMar>
        </w:tblPrEx>
        <w:trPr>
          <w:trHeight w:val="380" w:hRule="atLeast"/>
          <w:jc w:val="center"/>
        </w:trPr>
        <w:tc>
          <w:tcPr>
            <w:tcW w:w="9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bookmarkStart w:id="149" w:name="_Toc2105999876_WPSOffice_Level2"/>
            <w:bookmarkStart w:id="150" w:name="_Toc1522659731_WPSOffice_Level2"/>
            <w:bookmarkStart w:id="151" w:name="_Toc1542888716_WPSOffice_Level2"/>
            <w:bookmarkStart w:id="152" w:name="_Toc520223157_WPSOffice_Level2"/>
            <w:r>
              <w:rPr>
                <w:rFonts w:hint="eastAsia" w:ascii="宋体" w:hAnsi="宋体" w:eastAsia="宋体" w:cs="宋体"/>
                <w:b/>
                <w:i w:val="0"/>
                <w:color w:val="000000"/>
                <w:kern w:val="0"/>
                <w:sz w:val="21"/>
                <w:szCs w:val="21"/>
                <w:u w:val="none"/>
                <w:lang w:val="en-US" w:eastAsia="zh-CN" w:bidi="ar"/>
              </w:rPr>
              <w:t>一级指标</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二级指标</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三级指标</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四级指标</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得分</w:t>
            </w:r>
          </w:p>
        </w:tc>
      </w:tr>
      <w:tr>
        <w:tblPrEx>
          <w:shd w:val="clear" w:color="auto" w:fill="auto"/>
          <w:tblCellMar>
            <w:top w:w="0" w:type="dxa"/>
            <w:left w:w="0" w:type="dxa"/>
            <w:bottom w:w="0" w:type="dxa"/>
            <w:right w:w="0" w:type="dxa"/>
          </w:tblCellMar>
        </w:tblPrEx>
        <w:trPr>
          <w:trHeight w:val="360" w:hRule="atLeast"/>
          <w:jc w:val="center"/>
        </w:trPr>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产出数量</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 </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实际完成率</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 </w:t>
            </w:r>
          </w:p>
        </w:tc>
      </w:tr>
      <w:tr>
        <w:tblPrEx>
          <w:shd w:val="clear" w:color="auto" w:fill="auto"/>
          <w:tblCellMar>
            <w:top w:w="0" w:type="dxa"/>
            <w:left w:w="0" w:type="dxa"/>
            <w:bottom w:w="0" w:type="dxa"/>
            <w:right w:w="0" w:type="dxa"/>
          </w:tblCellMar>
        </w:tblPrEx>
        <w:trPr>
          <w:trHeight w:val="60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产出质量</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10.00 </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项目建设完成的质量情况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r>
      <w:tr>
        <w:tblPrEx>
          <w:shd w:val="clear" w:color="auto" w:fill="auto"/>
          <w:tblCellMar>
            <w:top w:w="0" w:type="dxa"/>
            <w:left w:w="0" w:type="dxa"/>
            <w:bottom w:w="0" w:type="dxa"/>
            <w:right w:w="0" w:type="dxa"/>
          </w:tblCellMar>
        </w:tblPrEx>
        <w:trPr>
          <w:trHeight w:val="36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验收程序规范性</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r>
      <w:tr>
        <w:tblPrEx>
          <w:shd w:val="clear" w:color="auto" w:fill="auto"/>
          <w:tblCellMar>
            <w:top w:w="0" w:type="dxa"/>
            <w:left w:w="0" w:type="dxa"/>
            <w:bottom w:w="0" w:type="dxa"/>
            <w:right w:w="0" w:type="dxa"/>
          </w:tblCellMar>
        </w:tblPrEx>
        <w:trPr>
          <w:trHeight w:val="36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产出时效</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 </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工程完工及时情况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6.00 </w:t>
            </w:r>
          </w:p>
        </w:tc>
      </w:tr>
      <w:tr>
        <w:tblPrEx>
          <w:shd w:val="clear" w:color="auto" w:fill="auto"/>
          <w:tblCellMar>
            <w:top w:w="0" w:type="dxa"/>
            <w:left w:w="0" w:type="dxa"/>
            <w:bottom w:w="0" w:type="dxa"/>
            <w:right w:w="0" w:type="dxa"/>
          </w:tblCellMar>
        </w:tblPrEx>
        <w:trPr>
          <w:trHeight w:val="360" w:hRule="atLeast"/>
          <w:jc w:val="center"/>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产出成本</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成本节约率</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r>
    </w:tbl>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rPr>
          <w:rFonts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val="en-US" w:eastAsia="zh-CN" w:bidi="ar"/>
        </w:rPr>
        <w:t>1</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产出数量</w:t>
      </w:r>
    </w:p>
    <w:p>
      <w:pPr>
        <w:pStyle w:val="2"/>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该指标主要评价</w:t>
      </w:r>
      <w:r>
        <w:rPr>
          <w:rFonts w:hint="eastAsia" w:ascii="仿宋_GB2312" w:hAnsi="仿宋_GB2312" w:eastAsia="仿宋_GB2312" w:cs="仿宋_GB2312"/>
          <w:sz w:val="32"/>
          <w:szCs w:val="32"/>
          <w:highlight w:val="none"/>
          <w:lang w:val="en-US" w:eastAsia="zh-CN"/>
        </w:rPr>
        <w:t>实际完成率</w:t>
      </w:r>
      <w:r>
        <w:rPr>
          <w:rFonts w:hint="eastAsia" w:ascii="仿宋_GB2312" w:hAnsi="仿宋_GB2312" w:eastAsia="仿宋_GB2312" w:cs="仿宋_GB2312"/>
          <w:sz w:val="32"/>
          <w:szCs w:val="32"/>
          <w:highlight w:val="none"/>
        </w:rPr>
        <w:t>，具体情况如下</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kinsoku/>
        <w:wordWrap/>
        <w:overflowPunct w:val="0"/>
        <w:topLinePunct w:val="0"/>
        <w:autoSpaceDE w:val="0"/>
        <w:autoSpaceDN w:val="0"/>
        <w:bidi w:val="0"/>
        <w:adjustRightInd w:val="0"/>
        <w:snapToGrid/>
        <w:spacing w:line="580" w:lineRule="exact"/>
        <w:ind w:left="0" w:leftChars="0" w:right="0" w:rightChars="0" w:firstLine="643" w:firstLineChars="200"/>
        <w:jc w:val="both"/>
        <w:textAlignment w:val="baseline"/>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40"/>
        </w:rPr>
        <w:t>项目完成率高</w:t>
      </w:r>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依据项目绩效目标申报表填写数据，</w:t>
      </w:r>
      <w:r>
        <w:rPr>
          <w:rFonts w:hint="eastAsia" w:ascii="仿宋_GB2312" w:hAnsi="仿宋_GB2312" w:eastAsia="仿宋_GB2312" w:cs="仿宋_GB2312"/>
          <w:kern w:val="2"/>
          <w:sz w:val="32"/>
          <w:szCs w:val="32"/>
          <w:lang w:val="en-US" w:eastAsia="zh-CN" w:bidi="ar-SA"/>
        </w:rPr>
        <w:t>项目计划新增沥青混凝土路面公路10.5公里，实际完成10.5公里，完成率100%。</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val="en-US" w:eastAsia="zh-CN" w:bidi="ar"/>
        </w:rPr>
        <w:t>2</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产出</w:t>
      </w:r>
      <w:r>
        <w:rPr>
          <w:rFonts w:hint="eastAsia" w:ascii="仿宋_GB2312" w:hAnsi="仿宋_GB2312" w:eastAsia="仿宋_GB2312" w:cs="仿宋_GB2312"/>
          <w:color w:val="000000"/>
          <w:sz w:val="32"/>
          <w:szCs w:val="32"/>
          <w:lang w:val="en-US" w:eastAsia="zh-CN" w:bidi="ar"/>
        </w:rPr>
        <w:t>质量</w:t>
      </w:r>
    </w:p>
    <w:p>
      <w:pPr>
        <w:pStyle w:val="2"/>
        <w:keepNext w:val="0"/>
        <w:keepLines w:val="0"/>
        <w:pageBreakBefore w:val="0"/>
        <w:kinsoku/>
        <w:wordWrap/>
        <w:topLinePunct w:val="0"/>
        <w:bidi w:val="0"/>
        <w:snapToGrid/>
        <w:spacing w:line="580" w:lineRule="exact"/>
        <w:ind w:firstLine="640" w:firstLineChars="200"/>
        <w:jc w:val="both"/>
        <w:rPr>
          <w:rFonts w:hint="eastAsia" w:ascii="宋体" w:hAnsi="宋体" w:eastAsia="仿宋_GB2312" w:cs="宋体"/>
          <w:b/>
          <w:bCs/>
          <w:color w:val="000000"/>
          <w:sz w:val="28"/>
          <w:szCs w:val="28"/>
          <w:lang w:eastAsia="zh-CN" w:bidi="ar"/>
        </w:rPr>
      </w:pPr>
      <w:r>
        <w:rPr>
          <w:rFonts w:hint="eastAsia" w:ascii="仿宋_GB2312" w:hAnsi="仿宋_GB2312" w:eastAsia="仿宋_GB2312" w:cs="仿宋_GB2312"/>
          <w:sz w:val="32"/>
          <w:szCs w:val="32"/>
        </w:rPr>
        <w:t>该指标主要从以下</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方面进行评价，具体情况如下</w:t>
      </w:r>
      <w:r>
        <w:rPr>
          <w:rFonts w:hint="eastAsia" w:ascii="仿宋_GB2312" w:hAnsi="仿宋_GB2312" w:eastAsia="仿宋_GB2312" w:cs="仿宋_GB2312"/>
          <w:sz w:val="32"/>
          <w:szCs w:val="32"/>
          <w:lang w:eastAsia="zh-CN"/>
        </w:rPr>
        <w:t>：</w:t>
      </w:r>
    </w:p>
    <w:p>
      <w:pPr>
        <w:pStyle w:val="2"/>
        <w:keepNext w:val="0"/>
        <w:keepLines w:val="0"/>
        <w:pageBreakBefore w:val="0"/>
        <w:widowControl/>
        <w:kinsoku/>
        <w:wordWrap/>
        <w:overflowPunct w:val="0"/>
        <w:topLinePunct w:val="0"/>
        <w:autoSpaceDE w:val="0"/>
        <w:autoSpaceDN w:val="0"/>
        <w:bidi w:val="0"/>
        <w:adjustRightInd w:val="0"/>
        <w:snapToGrid/>
        <w:spacing w:line="580" w:lineRule="exact"/>
        <w:ind w:left="0" w:leftChars="0" w:right="0" w:rightChars="0" w:firstLine="643" w:firstLineChars="200"/>
        <w:jc w:val="both"/>
        <w:textAlignment w:val="baseline"/>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default" w:ascii="仿宋_GB2312" w:hAnsi="仿宋_GB2312" w:eastAsia="仿宋_GB2312" w:cs="仿宋_GB2312"/>
          <w:b/>
          <w:bCs/>
          <w:kern w:val="2"/>
          <w:sz w:val="32"/>
          <w:szCs w:val="32"/>
          <w:lang w:val="en-US" w:eastAsia="zh-CN" w:bidi="ar-SA"/>
        </w:rPr>
        <w:t>项目建设完成质量</w:t>
      </w:r>
      <w:r>
        <w:rPr>
          <w:rFonts w:hint="eastAsia" w:ascii="仿宋_GB2312" w:hAnsi="仿宋_GB2312" w:eastAsia="仿宋_GB2312" w:cs="仿宋_GB2312"/>
          <w:b/>
          <w:bCs/>
          <w:kern w:val="2"/>
          <w:sz w:val="32"/>
          <w:szCs w:val="32"/>
          <w:lang w:val="en-US" w:eastAsia="zh-CN" w:bidi="ar-SA"/>
        </w:rPr>
        <w:t>较好。</w:t>
      </w:r>
      <w:r>
        <w:rPr>
          <w:rFonts w:hint="eastAsia" w:ascii="仿宋_GB2312" w:hAnsi="仿宋_GB2312" w:eastAsia="仿宋_GB2312" w:cs="仿宋_GB2312"/>
          <w:sz w:val="32"/>
          <w:szCs w:val="32"/>
          <w:lang w:val="en-US"/>
        </w:rPr>
        <w:t>项目</w:t>
      </w:r>
      <w:r>
        <w:rPr>
          <w:rFonts w:hint="eastAsia" w:ascii="仿宋_GB2312" w:hAnsi="仿宋_GB2312" w:eastAsia="仿宋_GB2312" w:cs="仿宋_GB2312"/>
          <w:sz w:val="32"/>
          <w:szCs w:val="32"/>
        </w:rPr>
        <w:t>工程质量符合绩效目标和设计规划标准，未发现质量不合格的情况</w:t>
      </w:r>
      <w:r>
        <w:rPr>
          <w:rFonts w:hint="eastAsia" w:ascii="仿宋_GB2312" w:hAnsi="仿宋_GB2312" w:eastAsia="仿宋_GB2312" w:cs="仿宋_GB2312"/>
          <w:sz w:val="32"/>
          <w:szCs w:val="32"/>
          <w:lang w:eastAsia="zh-CN"/>
        </w:rPr>
        <w:t>。</w:t>
      </w:r>
    </w:p>
    <w:p>
      <w:pPr>
        <w:pStyle w:val="2"/>
        <w:keepNext w:val="0"/>
        <w:keepLines w:val="0"/>
        <w:pageBreakBefore w:val="0"/>
        <w:widowControl/>
        <w:kinsoku/>
        <w:wordWrap/>
        <w:overflowPunct w:val="0"/>
        <w:topLinePunct w:val="0"/>
        <w:autoSpaceDE w:val="0"/>
        <w:autoSpaceDN w:val="0"/>
        <w:bidi w:val="0"/>
        <w:adjustRightInd w:val="0"/>
        <w:snapToGrid/>
        <w:spacing w:line="580" w:lineRule="exact"/>
        <w:ind w:left="0" w:leftChars="0" w:right="0" w:rightChars="0" w:firstLine="643" w:firstLineChars="200"/>
        <w:jc w:val="both"/>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二是验收程序规范。</w:t>
      </w:r>
      <w:r>
        <w:rPr>
          <w:rFonts w:hint="eastAsia" w:ascii="仿宋_GB2312" w:hAnsi="仿宋_GB2312" w:eastAsia="仿宋_GB2312" w:cs="仿宋_GB2312"/>
          <w:b w:val="0"/>
          <w:bCs w:val="0"/>
          <w:kern w:val="2"/>
          <w:sz w:val="32"/>
          <w:szCs w:val="32"/>
          <w:lang w:val="en-US" w:eastAsia="zh-CN" w:bidi="ar-SA"/>
        </w:rPr>
        <w:t>项目验收由施工、监理、设计及项目法人四方进行验收，程序规范，验收报告内容合理。</w:t>
      </w:r>
    </w:p>
    <w:p>
      <w:pPr>
        <w:pStyle w:val="2"/>
        <w:keepNext w:val="0"/>
        <w:keepLines w:val="0"/>
        <w:pageBreakBefore w:val="0"/>
        <w:widowControl/>
        <w:numPr>
          <w:ilvl w:val="0"/>
          <w:numId w:val="3"/>
        </w:numPr>
        <w:kinsoku/>
        <w:wordWrap/>
        <w:overflowPunct w:val="0"/>
        <w:topLinePunct w:val="0"/>
        <w:autoSpaceDE w:val="0"/>
        <w:autoSpaceDN w:val="0"/>
        <w:bidi w:val="0"/>
        <w:adjustRightInd w:val="0"/>
        <w:snapToGrid/>
        <w:spacing w:line="580" w:lineRule="exact"/>
        <w:ind w:left="0" w:leftChars="0" w:right="0" w:rightChars="0" w:firstLine="640" w:firstLineChars="200"/>
        <w:jc w:val="both"/>
        <w:textAlignment w:val="baseline"/>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产出时效</w:t>
      </w:r>
    </w:p>
    <w:p>
      <w:pPr>
        <w:pStyle w:val="2"/>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highlight w:val="none"/>
        </w:rPr>
        <w:t>该指标主要评价</w:t>
      </w:r>
      <w:r>
        <w:rPr>
          <w:rFonts w:hint="eastAsia" w:ascii="仿宋_GB2312" w:hAnsi="仿宋_GB2312" w:eastAsia="仿宋_GB2312" w:cs="仿宋_GB2312"/>
          <w:sz w:val="32"/>
          <w:szCs w:val="32"/>
          <w:highlight w:val="none"/>
          <w:lang w:val="en-US" w:eastAsia="zh-CN"/>
        </w:rPr>
        <w:t>工程完工及时情况</w:t>
      </w:r>
      <w:r>
        <w:rPr>
          <w:rFonts w:hint="eastAsia" w:ascii="仿宋_GB2312" w:hAnsi="仿宋_GB2312" w:eastAsia="仿宋_GB2312" w:cs="仿宋_GB2312"/>
          <w:sz w:val="32"/>
          <w:szCs w:val="32"/>
          <w:highlight w:val="none"/>
        </w:rPr>
        <w:t>，具体情况如下</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spacing w:line="580" w:lineRule="exact"/>
        <w:ind w:right="0" w:rightChars="0" w:firstLine="643" w:firstLineChars="200"/>
        <w:jc w:val="both"/>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项目完工及时。</w:t>
      </w:r>
      <w:r>
        <w:rPr>
          <w:rFonts w:hint="eastAsia" w:ascii="仿宋_GB2312" w:hAnsi="仿宋_GB2312" w:eastAsia="仿宋_GB2312" w:cs="仿宋_GB2312"/>
          <w:b w:val="0"/>
          <w:bCs w:val="0"/>
          <w:kern w:val="2"/>
          <w:sz w:val="32"/>
          <w:szCs w:val="32"/>
          <w:lang w:val="en-US" w:eastAsia="zh-CN" w:bidi="ar-SA"/>
        </w:rPr>
        <w:t>本次评价以开工报告日期为实际开工时间、竣工验收日期为项目的完工时间，并对照施工合同的开工和完工日期，以此判定项目实施是否及时，整体进度是否合理。通过现场调研和查阅相关资料，评价项目能按照计划及时开工和完工，项目整体进度合理。</w:t>
      </w:r>
    </w:p>
    <w:p>
      <w:pPr>
        <w:pStyle w:val="2"/>
        <w:keepNext w:val="0"/>
        <w:keepLines w:val="0"/>
        <w:pageBreakBefore w:val="0"/>
        <w:widowControl/>
        <w:numPr>
          <w:ilvl w:val="0"/>
          <w:numId w:val="3"/>
        </w:numPr>
        <w:kinsoku/>
        <w:wordWrap/>
        <w:overflowPunct w:val="0"/>
        <w:topLinePunct w:val="0"/>
        <w:autoSpaceDE w:val="0"/>
        <w:autoSpaceDN w:val="0"/>
        <w:bidi w:val="0"/>
        <w:adjustRightInd w:val="0"/>
        <w:snapToGrid/>
        <w:spacing w:line="580" w:lineRule="exact"/>
        <w:ind w:left="0" w:leftChars="0" w:right="0" w:rightChars="0" w:firstLine="640" w:firstLineChars="200"/>
        <w:jc w:val="both"/>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产出成本</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spacing w:line="580" w:lineRule="exact"/>
        <w:ind w:right="0" w:rightChars="0" w:firstLine="640" w:firstLineChars="200"/>
        <w:jc w:val="both"/>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该指标主要评价</w:t>
      </w:r>
      <w:r>
        <w:rPr>
          <w:rFonts w:hint="eastAsia" w:ascii="仿宋_GB2312" w:hAnsi="仿宋_GB2312" w:eastAsia="仿宋_GB2312" w:cs="仿宋_GB2312"/>
          <w:sz w:val="32"/>
          <w:szCs w:val="32"/>
          <w:highlight w:val="none"/>
          <w:lang w:val="en-US" w:eastAsia="zh-CN"/>
        </w:rPr>
        <w:t>成本节约率</w:t>
      </w:r>
      <w:r>
        <w:rPr>
          <w:rFonts w:hint="eastAsia" w:ascii="仿宋_GB2312" w:hAnsi="仿宋_GB2312" w:eastAsia="仿宋_GB2312" w:cs="仿宋_GB2312"/>
          <w:sz w:val="32"/>
          <w:szCs w:val="32"/>
          <w:highlight w:val="none"/>
        </w:rPr>
        <w:t>，具体情况如下</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numPr>
          <w:ilvl w:val="0"/>
          <w:numId w:val="0"/>
        </w:numPr>
        <w:kinsoku/>
        <w:wordWrap/>
        <w:overflowPunct w:val="0"/>
        <w:topLinePunct w:val="0"/>
        <w:autoSpaceDE w:val="0"/>
        <w:autoSpaceDN w:val="0"/>
        <w:bidi w:val="0"/>
        <w:adjustRightInd w:val="0"/>
        <w:snapToGrid/>
        <w:spacing w:line="580" w:lineRule="exact"/>
        <w:ind w:right="0" w:rightChars="0" w:firstLine="640" w:firstLineChars="200"/>
        <w:jc w:val="both"/>
        <w:textAlignment w:val="baseline"/>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通过查阅相关财务资料，评价发现项目实际成本与工作内容匹配程度高，项目产出成本控制措施有效。</w:t>
      </w:r>
    </w:p>
    <w:p>
      <w:pPr>
        <w:keepNext w:val="0"/>
        <w:keepLines w:val="0"/>
        <w:pageBreakBefore w:val="0"/>
        <w:numPr>
          <w:ilvl w:val="0"/>
          <w:numId w:val="0"/>
        </w:numPr>
        <w:kinsoku/>
        <w:wordWrap/>
        <w:topLinePunct w:val="0"/>
        <w:bidi w:val="0"/>
        <w:snapToGrid/>
        <w:spacing w:line="580" w:lineRule="exact"/>
        <w:ind w:firstLine="640" w:firstLineChars="200"/>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4.</w:t>
      </w:r>
      <w:r>
        <w:rPr>
          <w:rFonts w:hint="eastAsia" w:ascii="仿宋_GB2312" w:hAnsi="仿宋_GB2312" w:eastAsia="仿宋_GB2312" w:cs="仿宋_GB2312"/>
          <w:color w:val="000000"/>
          <w:sz w:val="32"/>
          <w:szCs w:val="32"/>
          <w:lang w:bidi="ar"/>
        </w:rPr>
        <w:t>效果</w:t>
      </w:r>
      <w:r>
        <w:rPr>
          <w:rFonts w:hint="eastAsia" w:ascii="仿宋_GB2312" w:hAnsi="仿宋_GB2312" w:eastAsia="仿宋_GB2312" w:cs="仿宋_GB2312"/>
          <w:color w:val="000000"/>
          <w:sz w:val="32"/>
          <w:szCs w:val="32"/>
          <w:lang w:val="en-US" w:eastAsia="zh-CN" w:bidi="ar"/>
        </w:rPr>
        <w:t>指标分析</w:t>
      </w:r>
    </w:p>
    <w:bookmarkEnd w:id="149"/>
    <w:bookmarkEnd w:id="150"/>
    <w:bookmarkEnd w:id="151"/>
    <w:bookmarkEnd w:id="152"/>
    <w:p>
      <w:pPr>
        <w:pStyle w:val="7"/>
        <w:keepNext w:val="0"/>
        <w:keepLines w:val="0"/>
        <w:pageBreakBefore w:val="0"/>
        <w:widowControl/>
        <w:kinsoku/>
        <w:wordWrap/>
        <w:overflowPunct w:val="0"/>
        <w:topLinePunct w:val="0"/>
        <w:autoSpaceDE w:val="0"/>
        <w:autoSpaceDN w:val="0"/>
        <w:bidi w:val="0"/>
        <w:adjustRightInd w:val="0"/>
        <w:snapToGrid/>
        <w:spacing w:before="0" w:line="580" w:lineRule="exact"/>
        <w:ind w:left="0" w:leftChars="0" w:firstLine="640" w:firstLineChars="200"/>
        <w:jc w:val="both"/>
        <w:textAlignment w:val="baseline"/>
        <w:rPr>
          <w:rFonts w:hint="eastAsia"/>
          <w:lang w:val="en-US"/>
        </w:rPr>
      </w:pPr>
      <w:r>
        <w:rPr>
          <w:rFonts w:hint="eastAsia"/>
          <w:lang w:val="en-US"/>
        </w:rPr>
        <w:t>该一级指标包括</w:t>
      </w:r>
      <w:r>
        <w:rPr>
          <w:rFonts w:hint="eastAsia"/>
          <w:lang w:val="en-US" w:eastAsia="zh-CN"/>
        </w:rPr>
        <w:t>项目效益1</w:t>
      </w:r>
      <w:r>
        <w:rPr>
          <w:rFonts w:hint="eastAsia"/>
          <w:lang w:val="en-US"/>
        </w:rPr>
        <w:t>个二级指标，得分情况如下表所示：</w:t>
      </w:r>
    </w:p>
    <w:p>
      <w:pPr>
        <w:shd w:val="clear"/>
        <w:spacing w:line="58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表</w:t>
      </w:r>
      <w:r>
        <w:rPr>
          <w:rFonts w:hint="eastAsia" w:ascii="宋体" w:hAnsi="宋体" w:eastAsia="宋体" w:cs="宋体"/>
          <w:b/>
          <w:bCs/>
          <w:sz w:val="28"/>
          <w:szCs w:val="28"/>
          <w:highlight w:val="none"/>
          <w:lang w:val="en-US" w:eastAsia="zh-CN"/>
        </w:rPr>
        <w:t>9</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val="en-US" w:eastAsia="zh-CN"/>
        </w:rPr>
        <w:t>效果指标</w:t>
      </w:r>
      <w:r>
        <w:rPr>
          <w:rFonts w:hint="eastAsia" w:ascii="宋体" w:hAnsi="宋体" w:eastAsia="宋体" w:cs="宋体"/>
          <w:b/>
          <w:bCs/>
          <w:sz w:val="28"/>
          <w:szCs w:val="28"/>
          <w:highlight w:val="none"/>
        </w:rPr>
        <w:t>得分</w:t>
      </w:r>
      <w:r>
        <w:rPr>
          <w:rFonts w:hint="eastAsia" w:ascii="宋体" w:hAnsi="宋体" w:eastAsia="宋体" w:cs="宋体"/>
          <w:b/>
          <w:bCs/>
          <w:sz w:val="28"/>
          <w:szCs w:val="28"/>
          <w:highlight w:val="none"/>
          <w:lang w:val="en-US" w:eastAsia="zh-CN"/>
        </w:rPr>
        <w:t>情况</w:t>
      </w:r>
      <w:r>
        <w:rPr>
          <w:rFonts w:hint="eastAsia" w:ascii="宋体" w:hAnsi="宋体" w:eastAsia="宋体" w:cs="宋体"/>
          <w:b/>
          <w:bCs/>
          <w:sz w:val="28"/>
          <w:szCs w:val="28"/>
          <w:highlight w:val="none"/>
        </w:rPr>
        <w:t>表</w:t>
      </w:r>
    </w:p>
    <w:tbl>
      <w:tblPr>
        <w:tblStyle w:val="19"/>
        <w:tblW w:w="9037" w:type="dxa"/>
        <w:jc w:val="center"/>
        <w:shd w:val="clear" w:color="auto" w:fill="auto"/>
        <w:tblLayout w:type="fixed"/>
        <w:tblCellMar>
          <w:top w:w="0" w:type="dxa"/>
          <w:left w:w="0" w:type="dxa"/>
          <w:bottom w:w="0" w:type="dxa"/>
          <w:right w:w="0" w:type="dxa"/>
        </w:tblCellMar>
      </w:tblPr>
      <w:tblGrid>
        <w:gridCol w:w="936"/>
        <w:gridCol w:w="708"/>
        <w:gridCol w:w="984"/>
        <w:gridCol w:w="684"/>
        <w:gridCol w:w="1240"/>
        <w:gridCol w:w="744"/>
        <w:gridCol w:w="2180"/>
        <w:gridCol w:w="781"/>
        <w:gridCol w:w="780"/>
      </w:tblGrid>
      <w:tr>
        <w:tblPrEx>
          <w:shd w:val="clear" w:color="auto" w:fill="auto"/>
          <w:tblCellMar>
            <w:top w:w="0" w:type="dxa"/>
            <w:left w:w="0" w:type="dxa"/>
            <w:bottom w:w="0" w:type="dxa"/>
            <w:right w:w="0" w:type="dxa"/>
          </w:tblCellMar>
        </w:tblPrEx>
        <w:trPr>
          <w:trHeight w:val="38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一级指标</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二级指标</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三级指标</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四级指标</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分值</w:t>
            </w:r>
          </w:p>
        </w:tc>
        <w:tc>
          <w:tcPr>
            <w:tcW w:w="7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得分</w:t>
            </w:r>
          </w:p>
        </w:tc>
      </w:tr>
      <w:tr>
        <w:tblPrEx>
          <w:shd w:val="clear" w:color="auto" w:fill="auto"/>
          <w:tblCellMar>
            <w:top w:w="0" w:type="dxa"/>
            <w:left w:w="0" w:type="dxa"/>
            <w:bottom w:w="0" w:type="dxa"/>
            <w:right w:w="0" w:type="dxa"/>
          </w:tblCellMar>
        </w:tblPrEx>
        <w:trPr>
          <w:trHeight w:val="360" w:hRule="atLeast"/>
          <w:jc w:val="center"/>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效果</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30.00 </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项目效益</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30.00 </w:t>
            </w: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经济效益</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带动地方经济发展</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r>
      <w:tr>
        <w:tblPrEx>
          <w:shd w:val="clear" w:color="auto" w:fill="auto"/>
          <w:tblCellMar>
            <w:top w:w="0" w:type="dxa"/>
            <w:left w:w="0" w:type="dxa"/>
            <w:bottom w:w="0" w:type="dxa"/>
            <w:right w:w="0" w:type="dxa"/>
          </w:tblCellMar>
        </w:tblPrEx>
        <w:trPr>
          <w:trHeight w:val="360"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社会效益</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14.00 </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提升基本公共交通水平</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r>
      <w:tr>
        <w:tblPrEx>
          <w:shd w:val="clear" w:color="auto" w:fill="auto"/>
          <w:tblCellMar>
            <w:top w:w="0" w:type="dxa"/>
            <w:left w:w="0" w:type="dxa"/>
            <w:bottom w:w="0" w:type="dxa"/>
            <w:right w:w="0" w:type="dxa"/>
          </w:tblCellMar>
        </w:tblPrEx>
        <w:trPr>
          <w:trHeight w:val="360"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路网综合运输效益提高程度</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5.00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r>
      <w:tr>
        <w:tblPrEx>
          <w:shd w:val="clear" w:color="auto" w:fill="auto"/>
          <w:tblCellMar>
            <w:top w:w="0" w:type="dxa"/>
            <w:left w:w="0" w:type="dxa"/>
            <w:bottom w:w="0" w:type="dxa"/>
            <w:right w:w="0" w:type="dxa"/>
          </w:tblCellMar>
        </w:tblPrEx>
        <w:trPr>
          <w:trHeight w:val="360"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改善村容村貌</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3.00 </w:t>
            </w:r>
          </w:p>
        </w:tc>
      </w:tr>
      <w:tr>
        <w:tblPrEx>
          <w:shd w:val="clear" w:color="auto" w:fill="auto"/>
          <w:tblCellMar>
            <w:top w:w="0" w:type="dxa"/>
            <w:left w:w="0" w:type="dxa"/>
            <w:bottom w:w="0" w:type="dxa"/>
            <w:right w:w="0" w:type="dxa"/>
          </w:tblCellMar>
        </w:tblPrEx>
        <w:trPr>
          <w:trHeight w:val="360"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可持续影响</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长效运行机制的健全性</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4.00 </w:t>
            </w:r>
          </w:p>
        </w:tc>
      </w:tr>
      <w:tr>
        <w:tblPrEx>
          <w:shd w:val="clear" w:color="auto" w:fill="auto"/>
          <w:tblCellMar>
            <w:top w:w="0" w:type="dxa"/>
            <w:left w:w="0" w:type="dxa"/>
            <w:bottom w:w="0" w:type="dxa"/>
            <w:right w:w="0" w:type="dxa"/>
          </w:tblCellMar>
        </w:tblPrEx>
        <w:trPr>
          <w:trHeight w:val="360" w:hRule="atLeast"/>
          <w:jc w:val="center"/>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服务对象满意度</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7.00 </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受益群众满意度</w:t>
            </w:r>
          </w:p>
        </w:tc>
        <w:tc>
          <w:tcPr>
            <w:tcW w:w="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7.00 </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6.91 </w:t>
            </w:r>
          </w:p>
        </w:tc>
      </w:tr>
    </w:tbl>
    <w:p>
      <w:pPr>
        <w:pageBreakBefore w:val="0"/>
        <w:kinsoku/>
        <w:wordWrap/>
        <w:topLinePunct w:val="0"/>
        <w:bidi w:val="0"/>
        <w:snapToGrid/>
        <w:spacing w:line="580" w:lineRule="exact"/>
        <w:ind w:firstLine="640" w:firstLineChars="200"/>
        <w:rPr>
          <w:rFonts w:hint="default"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val="en-US" w:eastAsia="zh-CN" w:bidi="ar"/>
        </w:rPr>
        <w:t>1</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val="en-US" w:eastAsia="zh-CN" w:bidi="ar"/>
        </w:rPr>
        <w:t>项目效益</w:t>
      </w:r>
    </w:p>
    <w:p>
      <w:pPr>
        <w:keepNext w:val="0"/>
        <w:keepLines w:val="0"/>
        <w:pageBreakBefore w:val="0"/>
        <w:widowControl/>
        <w:numPr>
          <w:ilvl w:val="0"/>
          <w:numId w:val="0"/>
        </w:numPr>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该二级指标包括</w:t>
      </w:r>
      <w:r>
        <w:rPr>
          <w:rFonts w:hint="eastAsia" w:ascii="仿宋_GB2312" w:hAnsi="仿宋_GB2312" w:eastAsia="仿宋_GB2312" w:cs="仿宋_GB2312"/>
          <w:sz w:val="32"/>
          <w:szCs w:val="32"/>
          <w:lang w:val="en-US" w:eastAsia="zh-CN"/>
        </w:rPr>
        <w:t>经济效益、社会效益、可持续影响和满意度3</w:t>
      </w:r>
      <w:r>
        <w:rPr>
          <w:rFonts w:hint="eastAsia" w:ascii="仿宋_GB2312" w:hAnsi="仿宋_GB2312" w:eastAsia="仿宋_GB2312" w:cs="仿宋_GB2312"/>
          <w:sz w:val="32"/>
          <w:szCs w:val="32"/>
        </w:rPr>
        <w:t>个三级指标。</w:t>
      </w:r>
    </w:p>
    <w:p>
      <w:pPr>
        <w:pStyle w:val="7"/>
        <w:pageBreakBefore w:val="0"/>
        <w:kinsoku/>
        <w:wordWrap/>
        <w:topLinePunct w:val="0"/>
        <w:bidi w:val="0"/>
        <w:snapToGrid/>
        <w:spacing w:before="0" w:line="580" w:lineRule="exact"/>
        <w:ind w:left="0" w:leftChars="0" w:firstLine="640" w:firstLineChars="200"/>
        <w:jc w:val="both"/>
        <w:rPr>
          <w:rFonts w:hint="eastAsia"/>
          <w:b w:val="0"/>
          <w:bCs w:val="0"/>
          <w:highlight w:val="none"/>
          <w:lang w:val="en-US" w:eastAsia="zh-CN"/>
        </w:rPr>
      </w:pPr>
      <w:r>
        <w:rPr>
          <w:rFonts w:hint="eastAsia" w:ascii="仿宋_GB2312" w:hAnsi="仿宋_GB2312" w:eastAsia="仿宋_GB2312" w:cs="仿宋_GB2312"/>
          <w:sz w:val="32"/>
          <w:szCs w:val="32"/>
        </w:rPr>
        <w:t>①</w:t>
      </w:r>
      <w:r>
        <w:rPr>
          <w:rFonts w:hint="eastAsia" w:cs="仿宋_GB2312"/>
          <w:i w:val="0"/>
          <w:color w:val="000000"/>
          <w:kern w:val="0"/>
          <w:sz w:val="32"/>
          <w:szCs w:val="32"/>
          <w:u w:val="none"/>
          <w:lang w:val="en-US" w:eastAsia="zh-CN" w:bidi="ar"/>
        </w:rPr>
        <w:t>经济</w:t>
      </w:r>
      <w:r>
        <w:rPr>
          <w:rFonts w:hint="eastAsia" w:ascii="仿宋_GB2312" w:hAnsi="仿宋_GB2312" w:eastAsia="仿宋_GB2312" w:cs="仿宋_GB2312"/>
          <w:i w:val="0"/>
          <w:color w:val="000000"/>
          <w:kern w:val="0"/>
          <w:sz w:val="32"/>
          <w:szCs w:val="32"/>
          <w:u w:val="none"/>
          <w:lang w:val="en-US" w:eastAsia="zh-CN" w:bidi="ar"/>
        </w:rPr>
        <w:t>效益</w:t>
      </w:r>
      <w:r>
        <w:rPr>
          <w:rFonts w:hint="eastAsia" w:ascii="仿宋_GB2312" w:hAnsi="仿宋_GB2312" w:eastAsia="仿宋_GB2312" w:cs="仿宋_GB2312"/>
          <w:sz w:val="32"/>
          <w:szCs w:val="32"/>
          <w:lang w:val="en-US" w:eastAsia="zh-CN"/>
        </w:rPr>
        <w:t>分析</w:t>
      </w:r>
    </w:p>
    <w:p>
      <w:pPr>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eastAsia" w:eastAsia="仿宋_GB2312"/>
          <w:b w:val="0"/>
          <w:bCs w:val="0"/>
          <w:highlight w:val="none"/>
          <w:lang w:val="en-US" w:eastAsia="zh-CN"/>
        </w:rPr>
      </w:pPr>
      <w:r>
        <w:rPr>
          <w:rFonts w:hint="eastAsia" w:ascii="仿宋_GB2312" w:hAnsi="仿宋_GB2312" w:eastAsia="仿宋_GB2312" w:cs="仿宋_GB2312"/>
          <w:sz w:val="32"/>
          <w:szCs w:val="32"/>
        </w:rPr>
        <w:t>该指标主要</w:t>
      </w:r>
      <w:r>
        <w:rPr>
          <w:rFonts w:hint="eastAsia" w:ascii="仿宋_GB2312" w:hAnsi="仿宋_GB2312" w:eastAsia="仿宋_GB2312" w:cs="仿宋_GB2312"/>
          <w:sz w:val="32"/>
          <w:szCs w:val="32"/>
          <w:lang w:val="en-US" w:eastAsia="zh-CN"/>
        </w:rPr>
        <w:t>评价项目的实施对</w:t>
      </w:r>
      <w:r>
        <w:rPr>
          <w:rFonts w:hint="eastAsia" w:ascii="仿宋_GB2312" w:hAnsi="仿宋_GB2312" w:eastAsia="仿宋_GB2312" w:cs="仿宋_GB2312"/>
          <w:sz w:val="32"/>
          <w:szCs w:val="32"/>
        </w:rPr>
        <w:t>带动地方经济发展</w:t>
      </w:r>
      <w:r>
        <w:rPr>
          <w:rFonts w:hint="eastAsia" w:ascii="仿宋_GB2312" w:hAnsi="仿宋_GB2312" w:eastAsia="仿宋_GB2312" w:cs="仿宋_GB2312"/>
          <w:sz w:val="32"/>
          <w:szCs w:val="32"/>
          <w:lang w:val="en-US" w:eastAsia="zh-CN"/>
        </w:rPr>
        <w:t>情况</w:t>
      </w:r>
      <w:r>
        <w:rPr>
          <w:rFonts w:hint="eastAsia" w:ascii="仿宋_GB2312" w:eastAsia="仿宋_GB2312" w:cs="仿宋_GB2312"/>
          <w:sz w:val="32"/>
          <w:szCs w:val="32"/>
        </w:rPr>
        <w:t>，具体情况如下</w:t>
      </w:r>
      <w:r>
        <w:rPr>
          <w:rFonts w:hint="eastAsia" w:ascii="仿宋_GB2312" w:eastAsia="仿宋_GB2312" w:cs="仿宋_GB2312"/>
          <w:sz w:val="32"/>
          <w:szCs w:val="32"/>
          <w:lang w:eastAsia="zh-CN"/>
        </w:rPr>
        <w:t>：</w:t>
      </w:r>
    </w:p>
    <w:p>
      <w:pPr>
        <w:pStyle w:val="7"/>
        <w:pageBreakBefore w:val="0"/>
        <w:kinsoku/>
        <w:wordWrap/>
        <w:topLinePunct w:val="0"/>
        <w:bidi w:val="0"/>
        <w:snapToGrid/>
        <w:spacing w:before="0" w:line="580" w:lineRule="exact"/>
        <w:ind w:left="0" w:leftChars="0" w:firstLine="643" w:firstLineChars="200"/>
        <w:jc w:val="both"/>
        <w:rPr>
          <w:rFonts w:hint="eastAsia" w:ascii="仿宋_GB2312" w:hAnsi="仿宋_GB2312" w:eastAsia="仿宋_GB2312" w:cs="仿宋_GB2312"/>
          <w:i w:val="0"/>
          <w:caps w:val="0"/>
          <w:color w:val="333333"/>
          <w:spacing w:val="0"/>
          <w:sz w:val="32"/>
          <w:szCs w:val="32"/>
        </w:rPr>
      </w:pPr>
      <w:r>
        <w:rPr>
          <w:rFonts w:hint="eastAsia"/>
          <w:b/>
          <w:bCs/>
          <w:highlight w:val="none"/>
          <w:lang w:val="en-US" w:eastAsia="zh-CN"/>
        </w:rPr>
        <w:t>经济效益显著。</w:t>
      </w:r>
      <w:r>
        <w:rPr>
          <w:rFonts w:hint="eastAsia"/>
          <w:b w:val="0"/>
          <w:bCs w:val="0"/>
          <w:highlight w:val="none"/>
          <w:lang w:val="en-US" w:eastAsia="zh-CN"/>
        </w:rPr>
        <w:t>该项目实施后，促进了当地的经济发展。道路的修建</w:t>
      </w:r>
      <w:r>
        <w:rPr>
          <w:rFonts w:hint="eastAsia" w:ascii="仿宋_GB2312" w:hAnsi="仿宋_GB2312" w:eastAsia="仿宋_GB2312" w:cs="仿宋_GB2312"/>
          <w:i w:val="0"/>
          <w:caps w:val="0"/>
          <w:color w:val="333333"/>
          <w:spacing w:val="0"/>
          <w:sz w:val="32"/>
          <w:szCs w:val="32"/>
        </w:rPr>
        <w:t>，极大地改善了农村的交通运输状况，为农副产品迅速转化为商品创造了条件，也改变了农民的出行方式，加快了农村信息传播和对外交流，</w:t>
      </w:r>
      <w:r>
        <w:rPr>
          <w:rFonts w:hint="eastAsia" w:cs="仿宋_GB2312"/>
          <w:i w:val="0"/>
          <w:caps w:val="0"/>
          <w:color w:val="333333"/>
          <w:spacing w:val="0"/>
          <w:sz w:val="32"/>
          <w:szCs w:val="32"/>
          <w:lang w:val="en-US" w:eastAsia="zh-CN"/>
        </w:rPr>
        <w:t>促进</w:t>
      </w:r>
      <w:r>
        <w:rPr>
          <w:rFonts w:hint="eastAsia" w:ascii="仿宋_GB2312" w:hAnsi="仿宋_GB2312" w:eastAsia="仿宋_GB2312" w:cs="仿宋_GB2312"/>
          <w:i w:val="0"/>
          <w:caps w:val="0"/>
          <w:color w:val="333333"/>
          <w:spacing w:val="0"/>
          <w:sz w:val="32"/>
          <w:szCs w:val="32"/>
        </w:rPr>
        <w:t>了城乡交流和农村经济发展。</w:t>
      </w:r>
    </w:p>
    <w:p>
      <w:pPr>
        <w:pStyle w:val="7"/>
        <w:pageBreakBefore w:val="0"/>
        <w:kinsoku/>
        <w:wordWrap/>
        <w:topLinePunct w:val="0"/>
        <w:bidi w:val="0"/>
        <w:snapToGrid/>
        <w:spacing w:before="0" w:line="580" w:lineRule="exact"/>
        <w:ind w:left="0" w:leftChars="0" w:firstLine="640" w:firstLineChars="200"/>
        <w:jc w:val="both"/>
        <w:rPr>
          <w:rFonts w:hint="eastAsia" w:cs="仿宋_GB2312"/>
          <w:sz w:val="32"/>
          <w:szCs w:val="32"/>
          <w:lang w:val="en-US" w:eastAsia="zh-CN"/>
        </w:rPr>
      </w:pPr>
      <w:r>
        <w:rPr>
          <w:rFonts w:hint="eastAsia" w:ascii="仿宋_GB2312" w:hAnsi="仿宋_GB2312" w:eastAsia="仿宋_GB2312" w:cs="仿宋_GB2312"/>
          <w:sz w:val="32"/>
          <w:szCs w:val="32"/>
        </w:rPr>
        <w:t>②</w:t>
      </w:r>
      <w:r>
        <w:rPr>
          <w:rFonts w:hint="eastAsia" w:cs="仿宋_GB2312"/>
          <w:sz w:val="32"/>
          <w:szCs w:val="32"/>
          <w:lang w:val="en-US" w:eastAsia="zh-CN"/>
        </w:rPr>
        <w:t>社会效益分析</w:t>
      </w:r>
    </w:p>
    <w:p>
      <w:pPr>
        <w:pStyle w:val="2"/>
        <w:keepNext w:val="0"/>
        <w:keepLines w:val="0"/>
        <w:pageBreakBefore w:val="0"/>
        <w:widowControl/>
        <w:kinsoku/>
        <w:wordWrap/>
        <w:overflowPunct w:val="0"/>
        <w:topLinePunct w:val="0"/>
        <w:autoSpaceDE w:val="0"/>
        <w:autoSpaceDN w:val="0"/>
        <w:bidi w:val="0"/>
        <w:adjustRightInd w:val="0"/>
        <w:snapToGrid/>
        <w:spacing w:line="58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该指标主要从以下</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方面进行评价，具体情况如下</w:t>
      </w:r>
      <w:r>
        <w:rPr>
          <w:rFonts w:hint="eastAsia" w:ascii="仿宋_GB2312" w:hAnsi="仿宋_GB2312" w:eastAsia="仿宋_GB2312" w:cs="仿宋_GB2312"/>
          <w:sz w:val="32"/>
          <w:szCs w:val="32"/>
          <w:lang w:eastAsia="zh-CN"/>
        </w:rPr>
        <w:t>：</w:t>
      </w:r>
    </w:p>
    <w:p>
      <w:pPr>
        <w:pStyle w:val="7"/>
        <w:pageBreakBefore w:val="0"/>
        <w:kinsoku/>
        <w:wordWrap/>
        <w:topLinePunct w:val="0"/>
        <w:bidi w:val="0"/>
        <w:snapToGrid/>
        <w:spacing w:before="0" w:line="580" w:lineRule="exact"/>
        <w:ind w:left="0" w:leftChars="0" w:firstLine="643" w:firstLineChars="200"/>
        <w:jc w:val="both"/>
        <w:rPr>
          <w:rFonts w:hint="eastAsia" w:cs="仿宋_GB2312"/>
          <w:b/>
          <w:bCs/>
          <w:sz w:val="32"/>
          <w:szCs w:val="32"/>
          <w:lang w:val="en-US" w:eastAsia="zh-CN"/>
        </w:rPr>
      </w:pPr>
      <w:r>
        <w:rPr>
          <w:rFonts w:hint="eastAsia" w:cs="仿宋_GB2312"/>
          <w:b/>
          <w:bCs/>
          <w:sz w:val="32"/>
          <w:szCs w:val="32"/>
          <w:lang w:val="en-US" w:eastAsia="zh-CN"/>
        </w:rPr>
        <w:t>一是提升了基本公共交通水平。</w:t>
      </w:r>
      <w:r>
        <w:rPr>
          <w:rFonts w:hint="eastAsia" w:cs="仿宋_GB2312"/>
          <w:sz w:val="32"/>
          <w:szCs w:val="32"/>
          <w:lang w:val="en-US" w:eastAsia="zh-CN"/>
        </w:rPr>
        <w:t>“四好农村路”李东线李庄至西崮城段改建工程项目的实施，进一步推动了农村公路网络向自然村延伸，加快推进了城乡交通一体化建设，优化了城乡公交线网布局，有效提升了基本公共交通水平，改善了村民的出行条件，满足了出行需求。</w:t>
      </w:r>
    </w:p>
    <w:p>
      <w:pPr>
        <w:pStyle w:val="7"/>
        <w:pageBreakBefore w:val="0"/>
        <w:kinsoku/>
        <w:wordWrap/>
        <w:topLinePunct w:val="0"/>
        <w:bidi w:val="0"/>
        <w:snapToGrid/>
        <w:spacing w:before="0" w:line="580" w:lineRule="exact"/>
        <w:ind w:left="0" w:leftChars="0" w:firstLine="643" w:firstLineChars="200"/>
        <w:jc w:val="both"/>
        <w:rPr>
          <w:rFonts w:hint="default" w:cs="仿宋_GB2312"/>
          <w:b w:val="0"/>
          <w:bCs w:val="0"/>
          <w:sz w:val="32"/>
          <w:szCs w:val="32"/>
          <w:lang w:val="en-US" w:eastAsia="zh-CN"/>
        </w:rPr>
      </w:pPr>
      <w:r>
        <w:rPr>
          <w:rFonts w:hint="eastAsia" w:cs="仿宋_GB2312"/>
          <w:b/>
          <w:bCs/>
          <w:sz w:val="32"/>
          <w:szCs w:val="32"/>
          <w:lang w:val="en-US" w:eastAsia="zh-CN"/>
        </w:rPr>
        <w:t>二是提高了路网综合运输效益。</w:t>
      </w:r>
      <w:r>
        <w:rPr>
          <w:rFonts w:hint="eastAsia" w:cs="仿宋_GB2312"/>
          <w:sz w:val="32"/>
          <w:szCs w:val="32"/>
          <w:lang w:val="en-US" w:eastAsia="zh-CN"/>
        </w:rPr>
        <w:t>“四好农村路”李东线李庄至西崮城段改建工程项目的实施，统筹利用了交通运输、农业、商务、供销、邮政等资源，推进了区级物流中心、镇级服务站和村级服务站点建设，促进了区镇村三级农村物流节点网络化，将交通建设与美丽乡村建设、乡村产业发展相结合，</w:t>
      </w:r>
      <w:r>
        <w:rPr>
          <w:rFonts w:hint="eastAsia" w:cs="仿宋_GB2312"/>
          <w:b w:val="0"/>
          <w:bCs w:val="0"/>
          <w:sz w:val="32"/>
          <w:szCs w:val="32"/>
          <w:lang w:val="en-US" w:eastAsia="zh-CN"/>
        </w:rPr>
        <w:t>提高了路网综合运输效益。</w:t>
      </w:r>
    </w:p>
    <w:p>
      <w:pPr>
        <w:pStyle w:val="7"/>
        <w:pageBreakBefore w:val="0"/>
        <w:kinsoku/>
        <w:wordWrap/>
        <w:topLinePunct w:val="0"/>
        <w:bidi w:val="0"/>
        <w:snapToGrid/>
        <w:spacing w:before="0" w:line="580" w:lineRule="exact"/>
        <w:ind w:left="0" w:leftChars="0" w:firstLine="643" w:firstLineChars="200"/>
        <w:jc w:val="both"/>
        <w:rPr>
          <w:rFonts w:hint="default" w:cs="仿宋_GB2312"/>
          <w:b w:val="0"/>
          <w:bCs w:val="0"/>
          <w:sz w:val="32"/>
          <w:szCs w:val="32"/>
          <w:lang w:val="en-US" w:eastAsia="zh-CN"/>
        </w:rPr>
      </w:pPr>
      <w:r>
        <w:rPr>
          <w:rFonts w:hint="eastAsia" w:cs="仿宋_GB2312"/>
          <w:b/>
          <w:bCs/>
          <w:sz w:val="32"/>
          <w:szCs w:val="32"/>
          <w:lang w:val="en-US" w:eastAsia="zh-CN"/>
        </w:rPr>
        <w:t>三是改善了村容村貌。</w:t>
      </w:r>
      <w:r>
        <w:rPr>
          <w:rFonts w:hint="eastAsia" w:cs="仿宋_GB2312"/>
          <w:b w:val="0"/>
          <w:bCs w:val="0"/>
          <w:sz w:val="32"/>
          <w:szCs w:val="32"/>
          <w:lang w:val="en-US" w:eastAsia="zh-CN"/>
        </w:rPr>
        <w:t>项目结合了路域环境整治、美丽乡村创建、村级公路安防工程、城乡公交一体化建设等项目的实施，完善了现有农村公路的安全防护、排水、绿化、公交站点等配套设施，改善了村容村貌。</w:t>
      </w:r>
    </w:p>
    <w:p>
      <w:pPr>
        <w:pStyle w:val="7"/>
        <w:pageBreakBefore w:val="0"/>
        <w:kinsoku/>
        <w:wordWrap/>
        <w:topLinePunct w:val="0"/>
        <w:bidi w:val="0"/>
        <w:snapToGrid/>
        <w:spacing w:before="0" w:line="580" w:lineRule="exact"/>
        <w:ind w:left="0" w:leftChars="0" w:firstLine="640" w:firstLineChars="200"/>
        <w:jc w:val="both"/>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lang w:val="en-US" w:eastAsia="zh-CN"/>
        </w:rPr>
        <w:t>可持续影响分析</w:t>
      </w:r>
    </w:p>
    <w:p>
      <w:pPr>
        <w:pStyle w:val="7"/>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jc w:val="both"/>
        <w:textAlignment w:val="auto"/>
        <w:rPr>
          <w:rFonts w:hint="eastAsia" w:eastAsia="仿宋_GB2312" w:cs="仿宋_GB2312"/>
          <w:sz w:val="32"/>
          <w:szCs w:val="32"/>
          <w:lang w:val="en-US" w:eastAsia="zh-CN"/>
        </w:rPr>
      </w:pPr>
      <w:r>
        <w:rPr>
          <w:rFonts w:hint="eastAsia" w:ascii="仿宋_GB2312" w:hAnsi="仿宋_GB2312" w:eastAsia="仿宋_GB2312" w:cs="仿宋_GB2312"/>
          <w:sz w:val="32"/>
          <w:szCs w:val="32"/>
        </w:rPr>
        <w:t>该指标主要</w:t>
      </w:r>
      <w:r>
        <w:rPr>
          <w:rFonts w:hint="eastAsia" w:ascii="仿宋_GB2312" w:hAnsi="仿宋_GB2312" w:eastAsia="仿宋_GB2312" w:cs="仿宋_GB2312"/>
          <w:sz w:val="32"/>
          <w:szCs w:val="32"/>
          <w:lang w:val="en-US" w:eastAsia="zh-CN"/>
        </w:rPr>
        <w:t>评价项目长效运行机制的健全情况</w:t>
      </w:r>
      <w:r>
        <w:rPr>
          <w:rFonts w:hint="eastAsia" w:ascii="仿宋_GB2312" w:eastAsia="仿宋_GB2312" w:cs="仿宋_GB2312"/>
          <w:sz w:val="32"/>
          <w:szCs w:val="32"/>
        </w:rPr>
        <w:t>，具体情况如下</w:t>
      </w:r>
      <w:r>
        <w:rPr>
          <w:rFonts w:hint="eastAsia" w:cs="仿宋_GB2312"/>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before="0" w:line="580" w:lineRule="exact"/>
        <w:ind w:left="0" w:leftChars="0" w:firstLine="643" w:firstLineChars="200"/>
        <w:jc w:val="both"/>
        <w:textAlignment w:val="auto"/>
        <w:rPr>
          <w:rFonts w:hint="eastAsia" w:cs="仿宋_GB2312"/>
          <w:sz w:val="32"/>
          <w:szCs w:val="32"/>
          <w:lang w:val="en-US" w:eastAsia="zh-CN"/>
        </w:rPr>
      </w:pPr>
      <w:r>
        <w:rPr>
          <w:rFonts w:hint="eastAsia" w:ascii="仿宋_GB2312" w:hAnsi="仿宋_GB2312" w:eastAsia="仿宋_GB2312" w:cs="仿宋_GB2312"/>
          <w:b/>
          <w:bCs/>
          <w:sz w:val="32"/>
          <w:szCs w:val="32"/>
          <w:lang w:val="en-US" w:eastAsia="zh-CN"/>
        </w:rPr>
        <w:t>长效运行机制健全</w:t>
      </w:r>
      <w:r>
        <w:rPr>
          <w:rFonts w:hint="eastAsia" w:cs="仿宋_GB2312"/>
          <w:b/>
          <w:bCs/>
          <w:sz w:val="32"/>
          <w:szCs w:val="32"/>
          <w:lang w:val="en-US" w:eastAsia="zh-CN"/>
        </w:rPr>
        <w:t>。</w:t>
      </w:r>
      <w:r>
        <w:rPr>
          <w:rFonts w:hint="eastAsia" w:cs="仿宋_GB2312"/>
          <w:sz w:val="32"/>
          <w:szCs w:val="32"/>
          <w:lang w:val="en-US" w:eastAsia="zh-CN"/>
        </w:rPr>
        <w:t>《山亭区“四好农村路”三年集中攻坚专项行动实施方案》（山政办发〔2018〕31号）规定“区财政负责将农村公路管理机构运行经费、人员基本支出以及建设养护资金纳入同级财政预算；按规定标准拨付日常养护资金，负责养护大中修工程的路面工程投资和主要道路上的危桥改造地方配套资金。镇街按规定落实养护机构、充实人员、拨付养护经费，落实辖区内乡、村道路日常养护工作和境内农村道路的路域环境整治等工作”“加大政府资金整合力度，将政府土地出让金收益2%-3%的部分统筹用于“四好农村路”建设养护”，从人员、资金、政策等方面落实了项目后期管护问题，长效运行机制健全。</w:t>
      </w:r>
    </w:p>
    <w:p>
      <w:pPr>
        <w:pStyle w:val="7"/>
        <w:keepNext w:val="0"/>
        <w:keepLines w:val="0"/>
        <w:pageBreakBefore w:val="0"/>
        <w:widowControl w:val="0"/>
        <w:kinsoku/>
        <w:wordWrap/>
        <w:overflowPunct/>
        <w:topLinePunct w:val="0"/>
        <w:autoSpaceDE/>
        <w:autoSpaceDN/>
        <w:bidi w:val="0"/>
        <w:adjustRightInd/>
        <w:snapToGrid/>
        <w:spacing w:before="0" w:line="580" w:lineRule="exact"/>
        <w:ind w:left="0" w:leftChars="0" w:firstLine="640" w:firstLineChars="200"/>
        <w:jc w:val="both"/>
        <w:textAlignment w:val="auto"/>
        <w:rPr>
          <w:rFonts w:hint="eastAsia" w:cs="仿宋_GB2312"/>
          <w:sz w:val="32"/>
          <w:szCs w:val="32"/>
          <w:lang w:val="en-US" w:eastAsia="zh-CN"/>
        </w:rPr>
      </w:pPr>
      <w:r>
        <w:rPr>
          <w:rFonts w:hint="eastAsia" w:cs="仿宋_GB2312"/>
          <w:sz w:val="32"/>
          <w:szCs w:val="32"/>
          <w:lang w:val="en-US" w:eastAsia="zh-CN"/>
        </w:rPr>
        <w:t>④满意度分析</w:t>
      </w:r>
    </w:p>
    <w:p>
      <w:pPr>
        <w:pageBreakBefore w:val="0"/>
        <w:kinsoku/>
        <w:wordWrap/>
        <w:topLinePunct w:val="0"/>
        <w:bidi w:val="0"/>
        <w:snapToGrid/>
        <w:spacing w:line="580" w:lineRule="exact"/>
        <w:ind w:firstLine="640" w:firstLineChars="200"/>
        <w:rPr>
          <w:rFonts w:hint="eastAsia" w:ascii="仿宋_GB2312" w:eastAsia="仿宋_GB2312" w:cs="仿宋_GB2312"/>
          <w:b/>
          <w:bCs/>
          <w:sz w:val="32"/>
          <w:szCs w:val="32"/>
          <w:lang w:eastAsia="zh-CN"/>
        </w:rPr>
      </w:pPr>
      <w:r>
        <w:rPr>
          <w:rFonts w:hint="eastAsia" w:ascii="仿宋_GB2312" w:hAnsi="仿宋_GB2312" w:eastAsia="仿宋_GB2312" w:cs="仿宋_GB2312"/>
          <w:sz w:val="32"/>
          <w:szCs w:val="32"/>
        </w:rPr>
        <w:t>该指标主要</w:t>
      </w:r>
      <w:r>
        <w:rPr>
          <w:rFonts w:hint="eastAsia" w:ascii="仿宋_GB2312" w:hAnsi="仿宋_GB2312" w:eastAsia="仿宋_GB2312" w:cs="仿宋_GB2312"/>
          <w:sz w:val="32"/>
          <w:szCs w:val="32"/>
          <w:lang w:val="en-US" w:eastAsia="zh-CN"/>
        </w:rPr>
        <w:t>评价受益群众对项目的满意度情况</w:t>
      </w:r>
      <w:r>
        <w:rPr>
          <w:rFonts w:hint="eastAsia" w:ascii="仿宋_GB2312" w:eastAsia="仿宋_GB2312" w:cs="仿宋_GB2312"/>
          <w:sz w:val="32"/>
          <w:szCs w:val="32"/>
        </w:rPr>
        <w:t>，具体情况如下</w:t>
      </w:r>
      <w:r>
        <w:rPr>
          <w:rFonts w:hint="eastAsia" w:ascii="仿宋_GB2312" w:eastAsia="仿宋_GB2312" w:cs="仿宋_GB2312"/>
          <w:sz w:val="32"/>
          <w:szCs w:val="32"/>
          <w:lang w:eastAsia="zh-CN"/>
        </w:rPr>
        <w:t>：</w:t>
      </w:r>
    </w:p>
    <w:p>
      <w:pPr>
        <w:pageBreakBefore w:val="0"/>
        <w:kinsoku/>
        <w:wordWrap/>
        <w:topLinePunct w:val="0"/>
        <w:bidi w:val="0"/>
        <w:snapToGrid/>
        <w:spacing w:line="580" w:lineRule="exact"/>
        <w:ind w:firstLine="643" w:firstLineChars="200"/>
        <w:rPr>
          <w:rFonts w:hint="default" w:cs="仿宋_GB2312"/>
          <w:sz w:val="32"/>
          <w:szCs w:val="32"/>
          <w:lang w:val="en-US" w:eastAsia="zh-CN"/>
        </w:rPr>
      </w:pPr>
      <w:r>
        <w:rPr>
          <w:rFonts w:hint="eastAsia" w:ascii="仿宋_GB2312" w:eastAsia="仿宋_GB2312" w:cs="仿宋_GB2312"/>
          <w:b/>
          <w:bCs/>
          <w:sz w:val="32"/>
          <w:szCs w:val="32"/>
        </w:rPr>
        <w:t>满意度较高。</w:t>
      </w:r>
      <w:r>
        <w:rPr>
          <w:rFonts w:hint="eastAsia" w:ascii="仿宋_GB2312" w:eastAsia="仿宋_GB2312" w:cs="仿宋_GB2312"/>
          <w:sz w:val="32"/>
          <w:szCs w:val="32"/>
        </w:rPr>
        <w:t>本次绩效评价</w:t>
      </w:r>
      <w:r>
        <w:rPr>
          <w:rFonts w:hint="eastAsia" w:ascii="仿宋_GB2312" w:eastAsia="仿宋_GB2312" w:cs="仿宋_GB2312"/>
          <w:sz w:val="32"/>
          <w:szCs w:val="32"/>
          <w:lang w:val="en-US" w:eastAsia="zh-CN"/>
        </w:rPr>
        <w:t>发放问卷158份，有效问卷158份，</w:t>
      </w:r>
      <w:r>
        <w:rPr>
          <w:rFonts w:hint="eastAsia" w:ascii="仿宋_GB2312" w:eastAsia="仿宋_GB2312" w:cs="仿宋_GB2312"/>
          <w:sz w:val="32"/>
          <w:szCs w:val="32"/>
        </w:rPr>
        <w:t>通过对调查问卷进行统计分析，结果显示，</w:t>
      </w:r>
      <w:r>
        <w:rPr>
          <w:rFonts w:hint="eastAsia" w:ascii="仿宋_GB2312" w:eastAsia="仿宋_GB2312" w:cs="仿宋_GB2312"/>
          <w:sz w:val="32"/>
          <w:szCs w:val="32"/>
          <w:lang w:val="en-US" w:eastAsia="zh-CN"/>
        </w:rPr>
        <w:t>受益群众</w:t>
      </w:r>
      <w:r>
        <w:rPr>
          <w:rFonts w:hint="eastAsia" w:ascii="仿宋_GB2312" w:eastAsia="仿宋_GB2312" w:cs="仿宋_GB2312"/>
          <w:sz w:val="32"/>
          <w:szCs w:val="32"/>
        </w:rPr>
        <w:t>平均满意度为</w:t>
      </w:r>
      <w:r>
        <w:rPr>
          <w:rFonts w:hint="eastAsia" w:ascii="仿宋_GB2312" w:eastAsia="仿宋_GB2312" w:cs="仿宋_GB2312"/>
          <w:sz w:val="32"/>
          <w:szCs w:val="32"/>
          <w:lang w:val="en-US" w:eastAsia="zh-CN"/>
        </w:rPr>
        <w:t>98.73</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满意度较高。</w:t>
      </w:r>
    </w:p>
    <w:p>
      <w:pPr>
        <w:pStyle w:val="7"/>
        <w:pageBreakBefore w:val="0"/>
        <w:numPr>
          <w:ilvl w:val="0"/>
          <w:numId w:val="0"/>
        </w:numPr>
        <w:kinsoku/>
        <w:wordWrap/>
        <w:topLinePunct w:val="0"/>
        <w:bidi w:val="0"/>
        <w:snapToGrid/>
        <w:spacing w:before="0" w:line="580" w:lineRule="exact"/>
        <w:ind w:left="0" w:leftChars="0" w:firstLine="640" w:firstLineChars="200"/>
        <w:jc w:val="both"/>
        <w:outlineLvl w:val="0"/>
        <w:rPr>
          <w:rFonts w:hint="eastAsia" w:ascii="楷体_GB2312" w:hAnsi="楷体_GB2312" w:eastAsia="楷体_GB2312" w:cs="楷体_GB2312"/>
          <w:sz w:val="32"/>
          <w:szCs w:val="32"/>
        </w:rPr>
      </w:pPr>
      <w:bookmarkStart w:id="153" w:name="_Toc220274541_WPSOffice_Level1"/>
      <w:bookmarkStart w:id="154" w:name="_Toc13948"/>
      <w:bookmarkStart w:id="155" w:name="_Toc1026775881_WPSOffice_Level1"/>
      <w:bookmarkStart w:id="156" w:name="_Toc1789799330"/>
      <w:bookmarkStart w:id="157" w:name="_Toc1520301907_WPSOffice_Level1"/>
      <w:bookmarkStart w:id="158" w:name="_Toc1298603348_WPSOffice_Level1"/>
      <w:bookmarkStart w:id="159" w:name="_Toc1157168444_WPSOffice_Level1"/>
      <w:bookmarkStart w:id="160" w:name="_Toc1855551514_WPSOffice_Level1"/>
      <w:bookmarkStart w:id="161" w:name="_Toc255167188_WPSOffice_Level1"/>
      <w:r>
        <w:rPr>
          <w:rFonts w:hint="eastAsia" w:ascii="黑体" w:eastAsia="黑体"/>
          <w:lang w:val="en-US" w:eastAsia="zh-CN"/>
        </w:rPr>
        <w:t>五</w:t>
      </w:r>
      <w:r>
        <w:rPr>
          <w:rFonts w:hint="default" w:ascii="黑体" w:eastAsia="黑体"/>
        </w:rPr>
        <w:t>、</w:t>
      </w:r>
      <w:r>
        <w:rPr>
          <w:rFonts w:hint="eastAsia" w:ascii="黑体" w:eastAsia="黑体"/>
        </w:rPr>
        <w:t>项目主要绩效</w:t>
      </w:r>
      <w:bookmarkEnd w:id="153"/>
      <w:bookmarkEnd w:id="154"/>
      <w:bookmarkEnd w:id="155"/>
      <w:bookmarkEnd w:id="156"/>
      <w:bookmarkEnd w:id="157"/>
      <w:bookmarkEnd w:id="158"/>
      <w:bookmarkEnd w:id="159"/>
      <w:bookmarkEnd w:id="160"/>
      <w:bookmarkEnd w:id="161"/>
      <w:bookmarkStart w:id="162" w:name="_Toc633239126_WPSOffice_Level2"/>
      <w:bookmarkEnd w:id="162"/>
      <w:bookmarkStart w:id="163" w:name="_Toc1114162569_WPSOffice_Level2"/>
      <w:bookmarkEnd w:id="163"/>
      <w:bookmarkStart w:id="164" w:name="_Toc237100448_WPSOffice_Level2"/>
      <w:bookmarkEnd w:id="164"/>
      <w:bookmarkStart w:id="165" w:name="_Toc1353895781"/>
      <w:bookmarkEnd w:id="165"/>
      <w:bookmarkStart w:id="166" w:name="_Toc115297941_WPSOffice_Level2"/>
      <w:bookmarkEnd w:id="166"/>
      <w:bookmarkStart w:id="167" w:name="_Toc1124568588_WPSOffice_Level2"/>
      <w:bookmarkEnd w:id="167"/>
      <w:bookmarkStart w:id="168" w:name="_Toc1826568268_WPSOffice_Level2"/>
      <w:bookmarkEnd w:id="168"/>
      <w:bookmarkStart w:id="169" w:name="_Toc1052402166"/>
      <w:bookmarkEnd w:id="169"/>
      <w:bookmarkStart w:id="170" w:name="_Toc448870316_WPSOffice_Level2"/>
      <w:bookmarkEnd w:id="170"/>
      <w:bookmarkStart w:id="171" w:name="_Toc1478230384_WPSOffice_Level2"/>
      <w:bookmarkEnd w:id="171"/>
      <w:bookmarkStart w:id="172" w:name="_Toc175152006_WPSOffice_Level2"/>
      <w:bookmarkEnd w:id="172"/>
      <w:bookmarkStart w:id="173" w:name="_Toc886127152_WPSOffice_Level2"/>
      <w:bookmarkEnd w:id="173"/>
      <w:bookmarkStart w:id="174" w:name="_Toc1728397576_WPSOffice_Level2"/>
      <w:bookmarkEnd w:id="174"/>
    </w:p>
    <w:p>
      <w:pPr>
        <w:pageBreakBefore w:val="0"/>
        <w:kinsoku/>
        <w:wordWrap/>
        <w:topLinePunct w:val="0"/>
        <w:bidi w:val="0"/>
        <w:snapToGrid/>
        <w:spacing w:line="580" w:lineRule="exact"/>
        <w:ind w:left="0" w:leftChars="0" w:firstLine="640" w:firstLineChars="200"/>
        <w:jc w:val="both"/>
        <w:outlineLvl w:val="1"/>
        <w:rPr>
          <w:rFonts w:hint="eastAsia" w:ascii="仿宋_GB2312" w:hAnsi="仿宋_GB2312" w:eastAsia="仿宋_GB2312" w:cs="仿宋_GB2312"/>
          <w:i w:val="0"/>
          <w:caps w:val="0"/>
          <w:color w:val="333333"/>
          <w:spacing w:val="8"/>
          <w:kern w:val="2"/>
          <w:sz w:val="32"/>
          <w:szCs w:val="32"/>
          <w:shd w:val="clear" w:fill="FFFFFF"/>
          <w:lang w:val="en-US" w:eastAsia="zh-CN" w:bidi="ar-SA"/>
        </w:rPr>
      </w:pPr>
      <w:bookmarkStart w:id="175" w:name="_Toc7276"/>
      <w:bookmarkStart w:id="176" w:name="_Toc16455"/>
      <w:bookmarkStart w:id="177" w:name="_Toc15333"/>
      <w:bookmarkStart w:id="178" w:name="_Toc21660"/>
      <w:r>
        <w:rPr>
          <w:rFonts w:hint="eastAsia" w:ascii="楷体_GB2312" w:hAnsi="楷体_GB2312" w:eastAsia="楷体_GB2312" w:cs="楷体_GB2312"/>
          <w:b w:val="0"/>
          <w:bCs w:val="0"/>
          <w:sz w:val="32"/>
          <w:szCs w:val="32"/>
          <w:lang w:val="en-US" w:eastAsia="zh-CN"/>
        </w:rPr>
        <w:t>（一）</w:t>
      </w:r>
      <w:bookmarkEnd w:id="175"/>
      <w:bookmarkEnd w:id="176"/>
      <w:bookmarkEnd w:id="177"/>
      <w:bookmarkEnd w:id="178"/>
      <w:r>
        <w:rPr>
          <w:rFonts w:hint="eastAsia" w:ascii="楷体_GB2312" w:hAnsi="楷体_GB2312" w:eastAsia="楷体_GB2312" w:cs="楷体_GB2312"/>
          <w:b w:val="0"/>
          <w:bCs w:val="0"/>
          <w:sz w:val="32"/>
          <w:szCs w:val="32"/>
          <w:lang w:val="en-US" w:eastAsia="zh-CN"/>
        </w:rPr>
        <w:t>进一步</w:t>
      </w:r>
      <w:r>
        <w:rPr>
          <w:rFonts w:hint="eastAsia" w:ascii="楷体_GB2312" w:hAnsi="楷体_GB2312" w:eastAsia="楷体_GB2312" w:cs="楷体_GB2312"/>
          <w:i w:val="0"/>
          <w:caps w:val="0"/>
          <w:color w:val="333333"/>
          <w:spacing w:val="8"/>
          <w:sz w:val="32"/>
          <w:szCs w:val="32"/>
          <w:shd w:val="clear" w:fill="FFFFFF"/>
        </w:rPr>
        <w:t>加快推进</w:t>
      </w:r>
      <w:r>
        <w:rPr>
          <w:rFonts w:hint="eastAsia" w:ascii="楷体_GB2312" w:hAnsi="楷体_GB2312" w:eastAsia="楷体_GB2312" w:cs="楷体_GB2312"/>
          <w:i w:val="0"/>
          <w:caps w:val="0"/>
          <w:color w:val="333333"/>
          <w:spacing w:val="8"/>
          <w:sz w:val="32"/>
          <w:szCs w:val="32"/>
          <w:shd w:val="clear" w:fill="FFFFFF"/>
          <w:lang w:val="en-US" w:eastAsia="zh-CN"/>
        </w:rPr>
        <w:t>了</w:t>
      </w:r>
      <w:r>
        <w:rPr>
          <w:rFonts w:hint="eastAsia" w:ascii="楷体_GB2312" w:hAnsi="楷体_GB2312" w:eastAsia="楷体_GB2312" w:cs="楷体_GB2312"/>
          <w:i w:val="0"/>
          <w:caps w:val="0"/>
          <w:color w:val="333333"/>
          <w:spacing w:val="8"/>
          <w:sz w:val="32"/>
          <w:szCs w:val="32"/>
          <w:shd w:val="clear" w:fill="FFFFFF"/>
        </w:rPr>
        <w:t>城</w:t>
      </w:r>
      <w:r>
        <w:rPr>
          <w:rFonts w:hint="eastAsia" w:ascii="楷体_GB2312" w:hAnsi="楷体_GB2312" w:eastAsia="楷体_GB2312" w:cs="楷体_GB2312"/>
          <w:i w:val="0"/>
          <w:caps w:val="0"/>
          <w:color w:val="333333"/>
          <w:spacing w:val="8"/>
          <w:sz w:val="32"/>
          <w:szCs w:val="32"/>
          <w:shd w:val="clear" w:fill="FFFFFF"/>
          <w:lang w:val="en-US" w:eastAsia="zh-CN"/>
        </w:rPr>
        <w:t>乡交通一体化建设</w:t>
      </w:r>
    </w:p>
    <w:p>
      <w:pPr>
        <w:pStyle w:val="2"/>
        <w:pageBreakBefore w:val="0"/>
        <w:numPr>
          <w:ilvl w:val="0"/>
          <w:numId w:val="0"/>
        </w:numPr>
        <w:kinsoku/>
        <w:wordWrap/>
        <w:topLinePunct w:val="0"/>
        <w:bidi w:val="0"/>
        <w:snapToGrid/>
        <w:spacing w:line="580" w:lineRule="exact"/>
        <w:ind w:left="0" w:leftChars="0" w:firstLine="640" w:firstLineChars="200"/>
        <w:jc w:val="both"/>
        <w:rPr>
          <w:rFonts w:hint="eastAsia" w:ascii="仿宋_GB2312" w:hAnsi="仿宋_GB2312" w:eastAsia="仿宋_GB2312" w:cs="仿宋_GB2312"/>
          <w:i w:val="0"/>
          <w:caps w:val="0"/>
          <w:color w:val="333333"/>
          <w:spacing w:val="8"/>
          <w:sz w:val="32"/>
          <w:szCs w:val="32"/>
          <w:shd w:val="clear" w:fill="FFFFFF"/>
        </w:rPr>
      </w:pPr>
      <w:bookmarkStart w:id="179" w:name="_Toc32060"/>
      <w:r>
        <w:rPr>
          <w:rFonts w:hint="eastAsia" w:ascii="仿宋_GB2312" w:hAnsi="仿宋_GB2312" w:eastAsia="仿宋_GB2312" w:cs="仿宋_GB2312"/>
          <w:i w:val="0"/>
          <w:caps w:val="0"/>
          <w:color w:val="191919"/>
          <w:spacing w:val="0"/>
          <w:sz w:val="32"/>
          <w:szCs w:val="32"/>
          <w:shd w:val="clear" w:fill="FFFFFF"/>
          <w:lang w:val="en-US" w:eastAsia="zh-CN"/>
        </w:rPr>
        <w:t xml:space="preserve"> </w:t>
      </w:r>
      <w:r>
        <w:rPr>
          <w:rFonts w:hint="eastAsia" w:ascii="仿宋_GB2312" w:hAnsi="仿宋_GB2312" w:eastAsia="仿宋_GB2312" w:cs="仿宋_GB2312"/>
          <w:i w:val="0"/>
          <w:caps w:val="0"/>
          <w:color w:val="333333"/>
          <w:spacing w:val="8"/>
          <w:sz w:val="32"/>
          <w:szCs w:val="32"/>
          <w:shd w:val="clear" w:fill="FFFFFF"/>
        </w:rPr>
        <w:t>全力推进农村公路建设，确保交通运输系统行业安全，做到建管并重，杜绝安全责任</w:t>
      </w:r>
      <w:r>
        <w:rPr>
          <w:rFonts w:hint="eastAsia" w:ascii="仿宋_GB2312" w:hAnsi="仿宋_GB2312" w:eastAsia="仿宋_GB2312" w:cs="仿宋_GB2312"/>
          <w:i w:val="0"/>
          <w:caps w:val="0"/>
          <w:color w:val="333333"/>
          <w:spacing w:val="8"/>
          <w:sz w:val="32"/>
          <w:szCs w:val="32"/>
          <w:shd w:val="clear" w:fill="FFFFFF"/>
          <w:lang w:val="en-US" w:eastAsia="zh-CN"/>
        </w:rPr>
        <w:t>事故发生</w:t>
      </w:r>
      <w:r>
        <w:rPr>
          <w:rFonts w:hint="eastAsia" w:ascii="仿宋_GB2312" w:hAnsi="仿宋_GB2312" w:eastAsia="仿宋_GB2312" w:cs="仿宋_GB2312"/>
          <w:i w:val="0"/>
          <w:caps w:val="0"/>
          <w:color w:val="333333"/>
          <w:spacing w:val="8"/>
          <w:sz w:val="32"/>
          <w:szCs w:val="32"/>
          <w:shd w:val="clear" w:fill="FFFFFF"/>
        </w:rPr>
        <w:t>；积极开拓创新，建设好“四好农村路”，</w:t>
      </w:r>
      <w:r>
        <w:rPr>
          <w:rFonts w:hint="eastAsia" w:ascii="仿宋_GB2312" w:hAnsi="仿宋_GB2312" w:eastAsia="仿宋_GB2312" w:cs="仿宋_GB2312"/>
          <w:i w:val="0"/>
          <w:caps w:val="0"/>
          <w:color w:val="333333"/>
          <w:spacing w:val="8"/>
          <w:sz w:val="32"/>
          <w:szCs w:val="32"/>
          <w:shd w:val="clear" w:fill="FFFFFF"/>
          <w:lang w:val="en-US" w:eastAsia="zh-CN"/>
        </w:rPr>
        <w:t>加快推进了城乡交通一体化建设，优化了城乡公交线网布局，有效提升了基本公共交通水平</w:t>
      </w:r>
      <w:r>
        <w:rPr>
          <w:rFonts w:hint="eastAsia" w:ascii="仿宋_GB2312" w:hAnsi="仿宋_GB2312" w:eastAsia="仿宋_GB2312" w:cs="仿宋_GB2312"/>
          <w:i w:val="0"/>
          <w:caps w:val="0"/>
          <w:color w:val="333333"/>
          <w:spacing w:val="8"/>
          <w:sz w:val="32"/>
          <w:szCs w:val="32"/>
          <w:shd w:val="clear" w:fill="FFFFFF"/>
        </w:rPr>
        <w:t>，为人民群众提供更好的</w:t>
      </w:r>
      <w:r>
        <w:rPr>
          <w:rFonts w:hint="eastAsia" w:ascii="仿宋_GB2312" w:hAnsi="仿宋_GB2312" w:eastAsia="仿宋_GB2312" w:cs="仿宋_GB2312"/>
          <w:i w:val="0"/>
          <w:caps w:val="0"/>
          <w:color w:val="333333"/>
          <w:spacing w:val="8"/>
          <w:sz w:val="32"/>
          <w:szCs w:val="32"/>
          <w:shd w:val="clear" w:fill="FFFFFF"/>
          <w:lang w:val="en-US" w:eastAsia="zh-CN"/>
        </w:rPr>
        <w:t>交通运输服务</w:t>
      </w:r>
      <w:r>
        <w:rPr>
          <w:rFonts w:hint="eastAsia" w:ascii="仿宋_GB2312" w:hAnsi="仿宋_GB2312" w:eastAsia="仿宋_GB2312" w:cs="仿宋_GB2312"/>
          <w:i w:val="0"/>
          <w:caps w:val="0"/>
          <w:color w:val="333333"/>
          <w:spacing w:val="8"/>
          <w:sz w:val="32"/>
          <w:szCs w:val="32"/>
          <w:shd w:val="clear" w:fill="FFFFFF"/>
        </w:rPr>
        <w:t>。</w:t>
      </w:r>
    </w:p>
    <w:p>
      <w:pPr>
        <w:pStyle w:val="2"/>
        <w:pageBreakBefore w:val="0"/>
        <w:numPr>
          <w:ilvl w:val="0"/>
          <w:numId w:val="4"/>
        </w:numPr>
        <w:kinsoku/>
        <w:wordWrap/>
        <w:topLinePunct w:val="0"/>
        <w:bidi w:val="0"/>
        <w:snapToGrid/>
        <w:spacing w:line="580" w:lineRule="exact"/>
        <w:ind w:left="0" w:leftChars="0" w:firstLine="672" w:firstLineChars="200"/>
        <w:jc w:val="both"/>
        <w:rPr>
          <w:rFonts w:hint="eastAsia" w:ascii="楷体_GB2312" w:hAnsi="楷体_GB2312" w:eastAsia="楷体_GB2312" w:cs="楷体_GB2312"/>
          <w:i w:val="0"/>
          <w:caps w:val="0"/>
          <w:color w:val="333333"/>
          <w:spacing w:val="8"/>
          <w:kern w:val="2"/>
          <w:sz w:val="32"/>
          <w:szCs w:val="32"/>
          <w:shd w:val="clear" w:fill="FFFFFF"/>
          <w:lang w:val="en-US" w:eastAsia="zh-CN" w:bidi="ar-SA"/>
        </w:rPr>
      </w:pPr>
      <w:r>
        <w:rPr>
          <w:rFonts w:hint="eastAsia" w:ascii="楷体_GB2312" w:hAnsi="楷体_GB2312" w:eastAsia="楷体_GB2312" w:cs="楷体_GB2312"/>
          <w:i w:val="0"/>
          <w:caps w:val="0"/>
          <w:color w:val="333333"/>
          <w:spacing w:val="8"/>
          <w:kern w:val="2"/>
          <w:sz w:val="32"/>
          <w:szCs w:val="32"/>
          <w:shd w:val="clear" w:fill="FFFFFF"/>
          <w:lang w:val="en-US" w:eastAsia="zh-CN" w:bidi="ar-SA"/>
        </w:rPr>
        <w:t>进一步提高路网综合运输效益</w:t>
      </w:r>
    </w:p>
    <w:p>
      <w:pPr>
        <w:pStyle w:val="2"/>
        <w:pageBreakBefore w:val="0"/>
        <w:numPr>
          <w:ilvl w:val="0"/>
          <w:numId w:val="0"/>
        </w:numPr>
        <w:kinsoku/>
        <w:wordWrap/>
        <w:topLinePunct w:val="0"/>
        <w:bidi w:val="0"/>
        <w:snapToGrid/>
        <w:spacing w:line="580" w:lineRule="exact"/>
        <w:ind w:left="0" w:leftChars="0" w:firstLine="672" w:firstLineChars="200"/>
        <w:jc w:val="both"/>
        <w:rPr>
          <w:rFonts w:hint="eastAsia" w:ascii="仿宋_GB2312" w:hAnsi="仿宋_GB2312" w:eastAsia="仿宋_GB2312" w:cs="仿宋_GB2312"/>
          <w:i w:val="0"/>
          <w:caps w:val="0"/>
          <w:color w:val="333333"/>
          <w:spacing w:val="8"/>
          <w:sz w:val="32"/>
          <w:szCs w:val="32"/>
          <w:shd w:val="clear" w:fill="FFFFFF"/>
          <w:lang w:val="en-US" w:eastAsia="zh-CN"/>
        </w:rPr>
      </w:pPr>
      <w:r>
        <w:rPr>
          <w:rFonts w:hint="eastAsia" w:ascii="仿宋_GB2312" w:hAnsi="仿宋_GB2312" w:eastAsia="仿宋_GB2312" w:cs="仿宋_GB2312"/>
          <w:i w:val="0"/>
          <w:caps w:val="0"/>
          <w:color w:val="333333"/>
          <w:spacing w:val="8"/>
          <w:sz w:val="32"/>
          <w:szCs w:val="32"/>
          <w:shd w:val="clear" w:fill="FFFFFF"/>
          <w:lang w:val="en-US" w:eastAsia="zh-CN"/>
        </w:rPr>
        <w:t>统筹利用了交通运输、农业、商务、供销、邮政等资源，推进了区级物流中心、镇级服务站和村级服务站点建设，促进了区镇村三级农村物流节点网络化，将交通建设与美丽乡村建设、乡村产业发展相结合，提高了路网综合运输效益。</w:t>
      </w:r>
    </w:p>
    <w:p>
      <w:pPr>
        <w:pStyle w:val="2"/>
        <w:pageBreakBefore w:val="0"/>
        <w:numPr>
          <w:ilvl w:val="0"/>
          <w:numId w:val="4"/>
        </w:numPr>
        <w:kinsoku/>
        <w:wordWrap/>
        <w:topLinePunct w:val="0"/>
        <w:bidi w:val="0"/>
        <w:snapToGrid/>
        <w:spacing w:line="580" w:lineRule="exact"/>
        <w:ind w:left="0" w:leftChars="0" w:firstLine="672" w:firstLineChars="200"/>
        <w:jc w:val="both"/>
        <w:rPr>
          <w:rFonts w:hint="default" w:ascii="楷体_GB2312" w:hAnsi="楷体_GB2312" w:eastAsia="楷体_GB2312" w:cs="楷体_GB2312"/>
          <w:i w:val="0"/>
          <w:caps w:val="0"/>
          <w:color w:val="333333"/>
          <w:spacing w:val="8"/>
          <w:kern w:val="2"/>
          <w:sz w:val="32"/>
          <w:szCs w:val="32"/>
          <w:shd w:val="clear" w:fill="FFFFFF"/>
          <w:lang w:val="en-US" w:eastAsia="zh-CN" w:bidi="ar-SA"/>
        </w:rPr>
      </w:pPr>
      <w:r>
        <w:rPr>
          <w:rFonts w:hint="eastAsia" w:ascii="楷体_GB2312" w:hAnsi="楷体_GB2312" w:eastAsia="楷体_GB2312" w:cs="楷体_GB2312"/>
          <w:i w:val="0"/>
          <w:caps w:val="0"/>
          <w:color w:val="333333"/>
          <w:spacing w:val="8"/>
          <w:kern w:val="2"/>
          <w:sz w:val="32"/>
          <w:szCs w:val="32"/>
          <w:shd w:val="clear" w:fill="FFFFFF"/>
          <w:lang w:val="en-US" w:eastAsia="zh-CN" w:bidi="ar-SA"/>
        </w:rPr>
        <w:t>提升了群众出行满意度</w:t>
      </w:r>
    </w:p>
    <w:p>
      <w:pPr>
        <w:keepNext w:val="0"/>
        <w:keepLines w:val="0"/>
        <w:pageBreakBefore w:val="0"/>
        <w:widowControl/>
        <w:kinsoku/>
        <w:wordWrap/>
        <w:overflowPunct w:val="0"/>
        <w:topLinePunct w:val="0"/>
        <w:autoSpaceDE w:val="0"/>
        <w:autoSpaceDN w:val="0"/>
        <w:bidi w:val="0"/>
        <w:adjustRightInd w:val="0"/>
        <w:snapToGrid/>
        <w:spacing w:line="580" w:lineRule="exact"/>
        <w:ind w:left="0" w:leftChars="0" w:right="0" w:rightChars="0" w:firstLine="672" w:firstLineChars="200"/>
        <w:jc w:val="both"/>
        <w:textAlignment w:val="baseline"/>
        <w:outlineLvl w:val="0"/>
        <w:rPr>
          <w:rFonts w:hint="eastAsia" w:ascii="黑体" w:hAnsi="宋体" w:eastAsia="仿宋_GB2312" w:cs="黑体"/>
          <w:color w:val="000000"/>
          <w:sz w:val="32"/>
          <w:szCs w:val="32"/>
          <w:lang w:eastAsia="zh-CN" w:bidi="ar"/>
        </w:rPr>
      </w:pPr>
      <w:r>
        <w:rPr>
          <w:rFonts w:hint="eastAsia" w:ascii="仿宋_GB2312" w:hAnsi="仿宋_GB2312" w:eastAsia="仿宋_GB2312" w:cs="仿宋_GB2312"/>
          <w:i w:val="0"/>
          <w:caps w:val="0"/>
          <w:color w:val="333333"/>
          <w:spacing w:val="8"/>
          <w:sz w:val="32"/>
          <w:szCs w:val="32"/>
          <w:shd w:val="clear" w:fill="FFFFFF"/>
        </w:rPr>
        <w:t>优化提升</w:t>
      </w:r>
      <w:r>
        <w:rPr>
          <w:rFonts w:hint="eastAsia" w:ascii="仿宋_GB2312" w:hAnsi="仿宋_GB2312" w:eastAsia="仿宋_GB2312" w:cs="仿宋_GB2312"/>
          <w:i w:val="0"/>
          <w:caps w:val="0"/>
          <w:color w:val="333333"/>
          <w:spacing w:val="8"/>
          <w:sz w:val="32"/>
          <w:szCs w:val="32"/>
          <w:shd w:val="clear" w:fill="FFFFFF"/>
          <w:lang w:val="en-US" w:eastAsia="zh-CN"/>
        </w:rPr>
        <w:t>了</w:t>
      </w:r>
      <w:r>
        <w:rPr>
          <w:rFonts w:hint="eastAsia" w:ascii="仿宋_GB2312" w:hAnsi="仿宋_GB2312" w:eastAsia="仿宋_GB2312" w:cs="仿宋_GB2312"/>
          <w:i w:val="0"/>
          <w:caps w:val="0"/>
          <w:color w:val="333333"/>
          <w:spacing w:val="8"/>
          <w:sz w:val="32"/>
          <w:szCs w:val="32"/>
          <w:shd w:val="clear" w:fill="FFFFFF"/>
        </w:rPr>
        <w:t>公交线网</w:t>
      </w:r>
      <w:r>
        <w:rPr>
          <w:rFonts w:hint="eastAsia" w:ascii="仿宋_GB2312" w:hAnsi="仿宋_GB2312" w:eastAsia="仿宋_GB2312" w:cs="仿宋_GB2312"/>
          <w:i w:val="0"/>
          <w:caps w:val="0"/>
          <w:color w:val="333333"/>
          <w:spacing w:val="8"/>
          <w:sz w:val="32"/>
          <w:szCs w:val="32"/>
          <w:shd w:val="clear" w:fill="FFFFFF"/>
          <w:lang w:eastAsia="zh-CN"/>
        </w:rPr>
        <w:t>，</w:t>
      </w:r>
      <w:r>
        <w:rPr>
          <w:rFonts w:hint="eastAsia" w:ascii="仿宋_GB2312" w:hAnsi="仿宋_GB2312" w:eastAsia="仿宋_GB2312" w:cs="仿宋_GB2312"/>
          <w:i w:val="0"/>
          <w:caps w:val="0"/>
          <w:color w:val="333333"/>
          <w:spacing w:val="8"/>
          <w:sz w:val="32"/>
          <w:szCs w:val="32"/>
          <w:shd w:val="clear" w:fill="FFFFFF"/>
        </w:rPr>
        <w:t>持续提高辖区</w:t>
      </w:r>
      <w:r>
        <w:rPr>
          <w:rFonts w:hint="eastAsia" w:ascii="仿宋_GB2312" w:hAnsi="仿宋_GB2312" w:eastAsia="仿宋_GB2312" w:cs="仿宋_GB2312"/>
          <w:i w:val="0"/>
          <w:caps w:val="0"/>
          <w:color w:val="333333"/>
          <w:spacing w:val="8"/>
          <w:sz w:val="32"/>
          <w:szCs w:val="32"/>
          <w:shd w:val="clear" w:fill="FFFFFF"/>
          <w:lang w:val="en-US" w:eastAsia="zh-CN"/>
        </w:rPr>
        <w:t>内</w:t>
      </w:r>
      <w:r>
        <w:rPr>
          <w:rFonts w:hint="eastAsia" w:ascii="仿宋_GB2312" w:hAnsi="仿宋_GB2312" w:eastAsia="仿宋_GB2312" w:cs="仿宋_GB2312"/>
          <w:i w:val="0"/>
          <w:caps w:val="0"/>
          <w:color w:val="333333"/>
          <w:spacing w:val="8"/>
          <w:sz w:val="32"/>
          <w:szCs w:val="32"/>
          <w:shd w:val="clear" w:fill="FFFFFF"/>
        </w:rPr>
        <w:t>公交通达水平，进一步方便</w:t>
      </w:r>
      <w:r>
        <w:rPr>
          <w:rFonts w:hint="eastAsia" w:ascii="仿宋_GB2312" w:hAnsi="仿宋_GB2312" w:eastAsia="仿宋_GB2312" w:cs="仿宋_GB2312"/>
          <w:i w:val="0"/>
          <w:caps w:val="0"/>
          <w:color w:val="333333"/>
          <w:spacing w:val="8"/>
          <w:sz w:val="32"/>
          <w:szCs w:val="32"/>
          <w:shd w:val="clear" w:fill="FFFFFF"/>
          <w:lang w:val="en-US" w:eastAsia="zh-CN"/>
        </w:rPr>
        <w:t>了</w:t>
      </w:r>
      <w:r>
        <w:rPr>
          <w:rFonts w:hint="eastAsia" w:ascii="仿宋_GB2312" w:hAnsi="仿宋_GB2312" w:eastAsia="仿宋_GB2312" w:cs="仿宋_GB2312"/>
          <w:i w:val="0"/>
          <w:caps w:val="0"/>
          <w:color w:val="333333"/>
          <w:spacing w:val="8"/>
          <w:sz w:val="32"/>
          <w:szCs w:val="32"/>
          <w:shd w:val="clear" w:fill="FFFFFF"/>
        </w:rPr>
        <w:t>辖区群众的出行，</w:t>
      </w:r>
      <w:r>
        <w:rPr>
          <w:rFonts w:hint="eastAsia" w:ascii="仿宋_GB2312" w:hAnsi="仿宋_GB2312" w:eastAsia="仿宋_GB2312" w:cs="仿宋_GB2312"/>
          <w:i w:val="0"/>
          <w:caps w:val="0"/>
          <w:color w:val="333333"/>
          <w:spacing w:val="8"/>
          <w:sz w:val="32"/>
          <w:szCs w:val="32"/>
          <w:shd w:val="clear" w:fill="FFFFFF"/>
          <w:lang w:val="en-US" w:eastAsia="zh-CN"/>
        </w:rPr>
        <w:t>提升了</w:t>
      </w:r>
      <w:r>
        <w:rPr>
          <w:rFonts w:hint="eastAsia" w:ascii="仿宋_GB2312" w:hAnsi="仿宋_GB2312" w:eastAsia="仿宋_GB2312" w:cs="仿宋_GB2312"/>
          <w:color w:val="333333"/>
          <w:spacing w:val="8"/>
          <w:sz w:val="32"/>
          <w:szCs w:val="32"/>
          <w:shd w:val="clear" w:fill="FFFFFF"/>
          <w:lang w:bidi="ar-SA"/>
        </w:rPr>
        <w:t>群众</w:t>
      </w:r>
      <w:r>
        <w:rPr>
          <w:rFonts w:hint="eastAsia" w:ascii="仿宋_GB2312" w:hAnsi="仿宋_GB2312" w:eastAsia="仿宋_GB2312" w:cs="仿宋_GB2312"/>
          <w:color w:val="333333"/>
          <w:spacing w:val="8"/>
          <w:sz w:val="32"/>
          <w:szCs w:val="32"/>
          <w:shd w:val="clear" w:fill="FFFFFF"/>
          <w:lang w:val="en-US" w:eastAsia="zh-CN" w:bidi="ar-SA"/>
        </w:rPr>
        <w:t>出行</w:t>
      </w:r>
      <w:r>
        <w:rPr>
          <w:rFonts w:hint="eastAsia" w:ascii="仿宋_GB2312" w:hAnsi="仿宋_GB2312" w:eastAsia="仿宋_GB2312" w:cs="仿宋_GB2312"/>
          <w:color w:val="333333"/>
          <w:spacing w:val="8"/>
          <w:sz w:val="32"/>
          <w:szCs w:val="32"/>
          <w:shd w:val="clear" w:fill="FFFFFF"/>
          <w:lang w:bidi="ar-SA"/>
        </w:rPr>
        <w:t>满意度</w:t>
      </w:r>
      <w:r>
        <w:rPr>
          <w:rFonts w:hint="eastAsia" w:ascii="仿宋_GB2312" w:hAnsi="仿宋_GB2312" w:eastAsia="仿宋_GB2312" w:cs="仿宋_GB2312"/>
          <w:color w:val="333333"/>
          <w:spacing w:val="8"/>
          <w:sz w:val="32"/>
          <w:szCs w:val="32"/>
          <w:shd w:val="clear" w:fill="FFFFFF"/>
          <w:lang w:eastAsia="zh-CN" w:bidi="ar-SA"/>
        </w:rPr>
        <w:t>。</w:t>
      </w:r>
    </w:p>
    <w:p>
      <w:pPr>
        <w:pageBreakBefore w:val="0"/>
        <w:kinsoku/>
        <w:wordWrap/>
        <w:topLinePunct w:val="0"/>
        <w:bidi w:val="0"/>
        <w:snapToGrid/>
        <w:spacing w:line="580" w:lineRule="exact"/>
        <w:ind w:left="0" w:leftChars="0" w:firstLine="640" w:firstLineChars="200"/>
        <w:jc w:val="both"/>
        <w:outlineLvl w:val="0"/>
        <w:rPr>
          <w:rFonts w:ascii="楷体_GB2312" w:hAnsi="楷体_GB2312" w:eastAsia="楷体_GB2312" w:cs="楷体_GB2312"/>
          <w:b w:val="0"/>
          <w:bCs w:val="0"/>
          <w:sz w:val="32"/>
          <w:szCs w:val="32"/>
        </w:rPr>
      </w:pPr>
      <w:r>
        <w:rPr>
          <w:rStyle w:val="30"/>
          <w:rFonts w:hint="eastAsia" w:ascii="Times New Roman" w:hAnsi="Times New Roman" w:eastAsia="黑体" w:cs="Times New Roman"/>
          <w:b w:val="0"/>
          <w:bCs w:val="0"/>
          <w:color w:val="auto"/>
          <w:kern w:val="44"/>
          <w:sz w:val="32"/>
          <w:szCs w:val="44"/>
          <w:lang w:val="en-US" w:eastAsia="zh-CN"/>
        </w:rPr>
        <w:t>六</w:t>
      </w:r>
      <w:r>
        <w:rPr>
          <w:rStyle w:val="30"/>
          <w:rFonts w:hint="eastAsia" w:ascii="Times New Roman" w:hAnsi="Times New Roman" w:eastAsia="黑体" w:cs="Times New Roman"/>
          <w:b w:val="0"/>
          <w:bCs w:val="0"/>
          <w:color w:val="auto"/>
          <w:kern w:val="44"/>
          <w:sz w:val="32"/>
          <w:szCs w:val="44"/>
          <w:lang w:eastAsia="zh-CN"/>
        </w:rPr>
        <w:t>、</w:t>
      </w:r>
      <w:r>
        <w:rPr>
          <w:rFonts w:hint="eastAsia" w:ascii="黑体" w:hAnsi="宋体" w:eastAsia="黑体" w:cs="黑体"/>
          <w:b w:val="0"/>
          <w:bCs w:val="0"/>
          <w:color w:val="000000"/>
          <w:sz w:val="32"/>
          <w:szCs w:val="32"/>
          <w:lang w:bidi="ar"/>
        </w:rPr>
        <w:t>存在的问题和</w:t>
      </w:r>
      <w:r>
        <w:rPr>
          <w:rFonts w:ascii="黑体" w:hAnsi="宋体" w:eastAsia="黑体" w:cs="黑体"/>
          <w:b w:val="0"/>
          <w:bCs w:val="0"/>
          <w:color w:val="000000"/>
          <w:sz w:val="32"/>
          <w:szCs w:val="32"/>
          <w:lang w:bidi="ar"/>
        </w:rPr>
        <w:t>建议</w:t>
      </w:r>
      <w:bookmarkEnd w:id="179"/>
    </w:p>
    <w:p>
      <w:pPr>
        <w:keepNext/>
        <w:keepLines/>
        <w:pageBreakBefore w:val="0"/>
        <w:kinsoku/>
        <w:wordWrap/>
        <w:topLinePunct w:val="0"/>
        <w:bidi w:val="0"/>
        <w:snapToGrid/>
        <w:spacing w:line="580" w:lineRule="exact"/>
        <w:ind w:firstLine="640" w:firstLineChars="200"/>
        <w:rPr>
          <w:rFonts w:ascii="楷体_GB2312" w:hAnsi="楷体_GB2312" w:eastAsia="楷体_GB2312" w:cs="楷体_GB2312"/>
          <w:sz w:val="32"/>
          <w:szCs w:val="32"/>
        </w:rPr>
      </w:pPr>
      <w:bookmarkStart w:id="180" w:name="_Toc16125"/>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进一步提升绩效管理工作的科学性</w:t>
      </w:r>
    </w:p>
    <w:p>
      <w:pPr>
        <w:pStyle w:val="2"/>
        <w:pageBreakBefore w:val="0"/>
        <w:kinsoku/>
        <w:wordWrap/>
        <w:topLinePunct w:val="0"/>
        <w:bidi w:val="0"/>
        <w:snapToGrid/>
        <w:spacing w:line="58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评价发现，项目</w:t>
      </w:r>
      <w:r>
        <w:rPr>
          <w:rFonts w:hint="eastAsia" w:ascii="仿宋_GB2312" w:hAnsi="仿宋_GB2312" w:eastAsia="仿宋_GB2312" w:cs="仿宋_GB2312"/>
          <w:kern w:val="0"/>
          <w:sz w:val="32"/>
          <w:szCs w:val="32"/>
        </w:rPr>
        <w:t>绩效目标不够完整、科学。评价发现，主管部门设置的绩效目标存在</w:t>
      </w:r>
      <w:r>
        <w:rPr>
          <w:rFonts w:hint="eastAsia" w:ascii="仿宋_GB2312" w:hAnsi="仿宋_GB2312" w:eastAsia="仿宋_GB2312" w:cs="仿宋_GB2312"/>
          <w:kern w:val="0"/>
          <w:sz w:val="32"/>
          <w:szCs w:val="32"/>
          <w:lang w:val="en-US" w:eastAsia="zh-CN"/>
        </w:rPr>
        <w:t>成本指标缺失</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社会效益、经济效益及可持续影响等指标指标值</w:t>
      </w:r>
      <w:r>
        <w:rPr>
          <w:rFonts w:hint="eastAsia" w:ascii="仿宋_GB2312" w:hAnsi="仿宋_GB2312" w:eastAsia="仿宋_GB2312" w:cs="仿宋_GB2312"/>
          <w:kern w:val="0"/>
          <w:sz w:val="32"/>
          <w:szCs w:val="32"/>
        </w:rPr>
        <w:t>未量化</w:t>
      </w:r>
      <w:r>
        <w:rPr>
          <w:rFonts w:hint="eastAsia" w:ascii="仿宋_GB2312" w:hAnsi="仿宋_GB2312" w:eastAsia="仿宋_GB2312" w:cs="仿宋_GB2312"/>
          <w:kern w:val="0"/>
          <w:sz w:val="32"/>
          <w:szCs w:val="32"/>
          <w:lang w:val="en-US" w:eastAsia="zh-CN"/>
        </w:rPr>
        <w:t>的</w:t>
      </w:r>
      <w:r>
        <w:rPr>
          <w:rFonts w:hint="eastAsia" w:ascii="仿宋_GB2312" w:hAnsi="仿宋_GB2312" w:eastAsia="仿宋_GB2312" w:cs="仿宋_GB2312"/>
          <w:kern w:val="0"/>
          <w:sz w:val="32"/>
          <w:szCs w:val="32"/>
        </w:rPr>
        <w:t>问题</w:t>
      </w:r>
      <w:r>
        <w:rPr>
          <w:rFonts w:hint="eastAsia" w:ascii="仿宋_GB2312" w:hAnsi="仿宋_GB2312" w:eastAsia="仿宋_GB2312" w:cs="仿宋_GB2312"/>
          <w:kern w:val="0"/>
          <w:sz w:val="32"/>
          <w:szCs w:val="32"/>
          <w:highlight w:val="none"/>
        </w:rPr>
        <w:t>，如</w:t>
      </w:r>
      <w:r>
        <w:rPr>
          <w:rFonts w:hint="eastAsia" w:ascii="仿宋_GB2312" w:hAnsi="仿宋_GB2312" w:eastAsia="仿宋_GB2312" w:cs="仿宋_GB2312"/>
          <w:kern w:val="0"/>
          <w:sz w:val="32"/>
          <w:szCs w:val="32"/>
          <w:highlight w:val="none"/>
          <w:lang w:val="en-US" w:eastAsia="zh-CN"/>
        </w:rPr>
        <w:t>经济</w:t>
      </w:r>
      <w:r>
        <w:rPr>
          <w:rFonts w:hint="eastAsia" w:ascii="仿宋_GB2312" w:hAnsi="仿宋_GB2312" w:eastAsia="仿宋_GB2312" w:cs="仿宋_GB2312"/>
          <w:kern w:val="0"/>
          <w:sz w:val="32"/>
          <w:szCs w:val="32"/>
          <w:highlight w:val="none"/>
        </w:rPr>
        <w:t>指标</w:t>
      </w:r>
      <w:r>
        <w:rPr>
          <w:rFonts w:hint="eastAsia" w:ascii="仿宋_GB2312" w:hAnsi="仿宋_GB2312" w:eastAsia="仿宋_GB2312" w:cs="仿宋_GB2312"/>
          <w:kern w:val="0"/>
          <w:sz w:val="32"/>
          <w:szCs w:val="32"/>
          <w:highlight w:val="none"/>
          <w:lang w:val="en-US" w:eastAsia="zh-CN"/>
        </w:rPr>
        <w:t>指标值</w:t>
      </w:r>
      <w:r>
        <w:rPr>
          <w:rFonts w:hint="eastAsia" w:ascii="仿宋_GB2312" w:hAnsi="仿宋_GB2312" w:eastAsia="仿宋_GB2312" w:cs="仿宋_GB2312"/>
          <w:kern w:val="0"/>
          <w:sz w:val="32"/>
          <w:szCs w:val="32"/>
          <w:highlight w:val="none"/>
        </w:rPr>
        <w:t>设置内容为“降低群众出行成本和时间成本”，</w:t>
      </w:r>
      <w:r>
        <w:rPr>
          <w:rFonts w:hint="eastAsia" w:ascii="仿宋_GB2312" w:hAnsi="仿宋_GB2312" w:eastAsia="仿宋_GB2312" w:cs="仿宋_GB2312"/>
          <w:kern w:val="0"/>
          <w:sz w:val="32"/>
          <w:szCs w:val="32"/>
          <w:highlight w:val="none"/>
          <w:lang w:val="en-US" w:eastAsia="zh-CN"/>
        </w:rPr>
        <w:t>未用百分率来量化降低程度，</w:t>
      </w:r>
      <w:r>
        <w:rPr>
          <w:rFonts w:hint="eastAsia" w:ascii="仿宋_GB2312" w:hAnsi="仿宋_GB2312" w:eastAsia="仿宋_GB2312" w:cs="仿宋_GB2312"/>
          <w:kern w:val="0"/>
          <w:sz w:val="32"/>
          <w:szCs w:val="32"/>
          <w:highlight w:val="none"/>
        </w:rPr>
        <w:t>无</w:t>
      </w:r>
      <w:r>
        <w:rPr>
          <w:rFonts w:hint="eastAsia" w:ascii="仿宋_GB2312" w:hAnsi="仿宋_GB2312" w:eastAsia="仿宋_GB2312" w:cs="仿宋_GB2312"/>
          <w:kern w:val="0"/>
          <w:sz w:val="32"/>
          <w:szCs w:val="32"/>
        </w:rPr>
        <w:t>法满足评价要求。</w:t>
      </w:r>
    </w:p>
    <w:p>
      <w:pPr>
        <w:pStyle w:val="2"/>
        <w:pageBreakBefore w:val="0"/>
        <w:kinsoku/>
        <w:wordWrap/>
        <w:topLinePunct w:val="0"/>
        <w:bidi w:val="0"/>
        <w:snapToGrid/>
        <w:spacing w:line="580" w:lineRule="exact"/>
        <w:ind w:firstLine="640"/>
        <w:rPr>
          <w:rFonts w:hint="eastAsia" w:ascii="仿宋_GB2312" w:hAnsi="仿宋_GB2312" w:eastAsia="仿宋_GB2312" w:cs="仿宋_GB2312"/>
          <w:kern w:val="0"/>
          <w:sz w:val="32"/>
          <w:szCs w:val="32"/>
          <w:lang w:eastAsia="zh-CN"/>
        </w:rPr>
      </w:pPr>
      <w:r>
        <w:rPr>
          <w:rFonts w:hint="eastAsia" w:ascii="仿宋_GB2312" w:eastAsia="仿宋_GB2312" w:cs="仿宋_GB2312"/>
          <w:sz w:val="32"/>
          <w:szCs w:val="32"/>
        </w:rPr>
        <w:t>建议强化绩效目标管理，主管部门在项目立项时从</w:t>
      </w:r>
      <w:r>
        <w:rPr>
          <w:rFonts w:hint="eastAsia" w:ascii="仿宋_GB2312" w:eastAsia="仿宋_GB2312" w:cs="仿宋_GB2312"/>
          <w:sz w:val="32"/>
          <w:szCs w:val="32"/>
          <w:lang w:val="en-US" w:eastAsia="zh-CN"/>
        </w:rPr>
        <w:t>项目实施</w:t>
      </w:r>
      <w:r>
        <w:rPr>
          <w:rFonts w:hint="eastAsia" w:ascii="仿宋_GB2312" w:eastAsia="仿宋_GB2312" w:cs="仿宋_GB2312"/>
          <w:sz w:val="32"/>
          <w:szCs w:val="32"/>
        </w:rPr>
        <w:t>数量、</w:t>
      </w:r>
      <w:r>
        <w:rPr>
          <w:rFonts w:hint="eastAsia" w:ascii="仿宋_GB2312" w:eastAsia="仿宋_GB2312" w:cs="仿宋_GB2312"/>
          <w:sz w:val="32"/>
          <w:szCs w:val="32"/>
          <w:lang w:val="en-US" w:eastAsia="zh-CN"/>
        </w:rPr>
        <w:t>工程完工合格率</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资金支出的合规性</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项目完成</w:t>
      </w:r>
      <w:r>
        <w:rPr>
          <w:rFonts w:hint="eastAsia" w:ascii="仿宋_GB2312" w:eastAsia="仿宋_GB2312" w:cs="仿宋_GB2312"/>
          <w:sz w:val="32"/>
          <w:szCs w:val="32"/>
        </w:rPr>
        <w:t>的及时性、项目执行取得的经济效益、社会效益</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可持续影响</w:t>
      </w:r>
      <w:r>
        <w:rPr>
          <w:rFonts w:hint="eastAsia" w:ascii="仿宋_GB2312" w:eastAsia="仿宋_GB2312" w:cs="仿宋_GB2312"/>
          <w:sz w:val="32"/>
          <w:szCs w:val="32"/>
        </w:rPr>
        <w:t>以及</w:t>
      </w:r>
      <w:r>
        <w:rPr>
          <w:rFonts w:hint="eastAsia" w:ascii="仿宋_GB2312" w:eastAsia="仿宋_GB2312" w:cs="仿宋_GB2312"/>
          <w:sz w:val="32"/>
          <w:szCs w:val="32"/>
          <w:lang w:val="en-US" w:eastAsia="zh-CN"/>
        </w:rPr>
        <w:t>受益群众</w:t>
      </w:r>
      <w:r>
        <w:rPr>
          <w:rFonts w:hint="eastAsia" w:ascii="仿宋_GB2312" w:eastAsia="仿宋_GB2312" w:cs="仿宋_GB2312"/>
          <w:sz w:val="32"/>
          <w:szCs w:val="32"/>
        </w:rPr>
        <w:t>满意度等方面设置明确、细化、量化的指标，为项目执行、项目管理以及后期绩效评价提供依据</w:t>
      </w:r>
      <w:r>
        <w:rPr>
          <w:rFonts w:hint="eastAsia" w:ascii="仿宋_GB2312" w:eastAsia="仿宋_GB2312" w:cs="仿宋_GB2312"/>
          <w:sz w:val="32"/>
          <w:szCs w:val="32"/>
          <w:lang w:eastAsia="zh-CN"/>
        </w:rPr>
        <w:t>。</w:t>
      </w:r>
    </w:p>
    <w:p>
      <w:pPr>
        <w:pStyle w:val="29"/>
        <w:pageBreakBefore w:val="0"/>
        <w:widowControl w:val="0"/>
        <w:numPr>
          <w:ilvl w:val="0"/>
          <w:numId w:val="0"/>
        </w:numPr>
        <w:kinsoku/>
        <w:wordWrap/>
        <w:topLinePunct w:val="0"/>
        <w:bidi w:val="0"/>
        <w:adjustRightInd w:val="0"/>
        <w:snapToGrid w:val="0"/>
        <w:spacing w:line="58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仿宋_GB2312"/>
          <w:sz w:val="32"/>
          <w:szCs w:val="32"/>
          <w:lang w:val="en-US" w:eastAsia="zh-CN"/>
        </w:rPr>
        <w:t>（二）进一步</w:t>
      </w:r>
      <w:r>
        <w:rPr>
          <w:rFonts w:hint="eastAsia" w:ascii="楷体_GB2312" w:hAnsi="楷体_GB2312" w:eastAsia="楷体_GB2312" w:cs="楷体_GB2312"/>
          <w:sz w:val="32"/>
          <w:szCs w:val="32"/>
        </w:rPr>
        <w:t>提高预算编制精准度</w:t>
      </w:r>
    </w:p>
    <w:p>
      <w:pPr>
        <w:pStyle w:val="7"/>
        <w:spacing w:before="0" w:line="58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评价发现，</w:t>
      </w:r>
      <w:r>
        <w:rPr>
          <w:rFonts w:hint="eastAsia"/>
          <w:b w:val="0"/>
          <w:bCs w:val="0"/>
          <w:highlight w:val="none"/>
          <w:lang w:val="en-US" w:eastAsia="zh-CN"/>
        </w:rPr>
        <w:t>区交通局编制的预算说明内容为三年攻坚任务，未细化至各年度具体实施内容；另外该项目预算编制依据不充分，一是测算标准不清晰；二是预算编制未经过科学论证</w:t>
      </w:r>
      <w:r>
        <w:rPr>
          <w:rFonts w:hint="eastAsia"/>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eastAsia="仿宋_GB2312" w:cs="仿宋_GB2312"/>
          <w:sz w:val="32"/>
          <w:szCs w:val="32"/>
        </w:rPr>
      </w:pPr>
      <w:r>
        <w:rPr>
          <w:rFonts w:hint="eastAsia" w:ascii="仿宋_GB2312" w:hAnsi="仿宋_GB2312" w:eastAsia="仿宋_GB2312" w:cs="仿宋_GB2312"/>
          <w:sz w:val="32"/>
          <w:szCs w:val="32"/>
          <w:highlight w:val="none"/>
          <w:lang w:val="en-US" w:eastAsia="zh-CN"/>
        </w:rPr>
        <w:t>建议主管部门</w:t>
      </w:r>
      <w:r>
        <w:rPr>
          <w:rFonts w:hint="eastAsia" w:ascii="仿宋_GB2312" w:eastAsia="仿宋_GB2312" w:cs="仿宋_GB2312"/>
          <w:sz w:val="32"/>
          <w:szCs w:val="32"/>
        </w:rPr>
        <w:t>根据项目</w:t>
      </w:r>
      <w:r>
        <w:rPr>
          <w:rFonts w:hint="eastAsia" w:ascii="仿宋_GB2312" w:eastAsia="仿宋_GB2312" w:cs="仿宋_GB2312"/>
          <w:sz w:val="32"/>
          <w:szCs w:val="32"/>
          <w:lang w:val="en-US" w:eastAsia="zh-CN"/>
        </w:rPr>
        <w:t>具体</w:t>
      </w:r>
      <w:r>
        <w:rPr>
          <w:rFonts w:hint="eastAsia" w:ascii="仿宋_GB2312" w:eastAsia="仿宋_GB2312" w:cs="仿宋_GB2312"/>
          <w:sz w:val="32"/>
          <w:szCs w:val="32"/>
        </w:rPr>
        <w:t>实施方案</w:t>
      </w:r>
      <w:r>
        <w:rPr>
          <w:rFonts w:hint="eastAsia" w:ascii="仿宋_GB2312" w:eastAsia="仿宋_GB2312" w:cs="仿宋_GB2312"/>
          <w:sz w:val="32"/>
          <w:szCs w:val="32"/>
          <w:lang w:val="en-US" w:eastAsia="zh-CN"/>
        </w:rPr>
        <w:t>编制预算</w:t>
      </w:r>
      <w:r>
        <w:rPr>
          <w:rFonts w:hint="eastAsia" w:ascii="仿宋_GB2312" w:eastAsia="仿宋_GB2312" w:cs="仿宋_GB2312"/>
          <w:sz w:val="32"/>
          <w:szCs w:val="32"/>
        </w:rPr>
        <w:t>，在编制过程中列明具体测算依据和标准，充分考虑测算依据和标准的合理性</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并</w:t>
      </w:r>
      <w:r>
        <w:rPr>
          <w:rFonts w:hint="eastAsia" w:ascii="仿宋_GB2312" w:hAnsi="仿宋_GB2312" w:eastAsia="仿宋_GB2312" w:cs="仿宋_GB2312"/>
          <w:sz w:val="32"/>
          <w:szCs w:val="32"/>
          <w:highlight w:val="none"/>
          <w:lang w:val="en-US" w:eastAsia="zh-CN"/>
        </w:rPr>
        <w:t>严格按照相关要求，对项目预算进行论证</w:t>
      </w:r>
      <w:r>
        <w:rPr>
          <w:rFonts w:hint="eastAsia" w:ascii="仿宋_GB2312" w:eastAsia="仿宋_GB2312" w:cs="仿宋_GB2312"/>
          <w:sz w:val="32"/>
          <w:szCs w:val="32"/>
        </w:rPr>
        <w:t>。如果出现财政批复预算与申报预算不一致的情况，应根据批复预算金额调整项目实施内容和预算金额，保障项目预算的科学性，充分发挥预算的指导和约束作用。</w:t>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default" w:ascii="楷体_GB2312" w:hAnsi="楷体_GB2312" w:eastAsia="楷体_GB2312" w:cs="仿宋_GB2312"/>
          <w:kern w:val="0"/>
          <w:sz w:val="32"/>
          <w:szCs w:val="32"/>
          <w:lang w:val="en-US" w:eastAsia="zh-CN" w:bidi="ar-SA"/>
        </w:rPr>
      </w:pPr>
      <w:r>
        <w:rPr>
          <w:rFonts w:hint="eastAsia" w:ascii="楷体_GB2312" w:hAnsi="楷体_GB2312" w:eastAsia="楷体_GB2312" w:cs="仿宋_GB2312"/>
          <w:kern w:val="0"/>
          <w:sz w:val="32"/>
          <w:szCs w:val="32"/>
          <w:lang w:val="en-US" w:eastAsia="zh-CN" w:bidi="ar-SA"/>
        </w:rPr>
        <w:t>（三）进一步规范资金拨付流程</w:t>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default" w:ascii="仿宋_GB2312" w:eastAsia="仿宋_GB2312" w:cs="仿宋_GB2312" w:hAnsiTheme="minorHAnsi"/>
          <w:kern w:val="2"/>
          <w:sz w:val="32"/>
          <w:szCs w:val="32"/>
          <w:lang w:val="en-US" w:eastAsia="zh-CN" w:bidi="ar-SA"/>
        </w:rPr>
      </w:pPr>
      <w:r>
        <w:rPr>
          <w:rFonts w:hint="default" w:ascii="仿宋_GB2312" w:eastAsia="仿宋_GB2312" w:cs="仿宋_GB2312" w:hAnsiTheme="minorHAnsi"/>
          <w:kern w:val="2"/>
          <w:sz w:val="32"/>
          <w:szCs w:val="32"/>
          <w:lang w:val="en-US" w:eastAsia="zh-CN" w:bidi="ar-SA"/>
        </w:rPr>
        <w:t>评价发现，</w:t>
      </w:r>
      <w:r>
        <w:rPr>
          <w:rFonts w:hint="eastAsia" w:ascii="仿宋_GB2312" w:eastAsia="仿宋_GB2312" w:cs="仿宋_GB2312"/>
          <w:kern w:val="2"/>
          <w:sz w:val="32"/>
          <w:szCs w:val="32"/>
          <w:lang w:val="en-US" w:eastAsia="zh-CN" w:bidi="ar-SA"/>
        </w:rPr>
        <w:t>资金的拨付未按照合同约定进行，</w:t>
      </w:r>
      <w:r>
        <w:rPr>
          <w:rFonts w:hint="default" w:ascii="仿宋_GB2312" w:eastAsia="仿宋_GB2312" w:cs="仿宋_GB2312" w:hAnsiTheme="minorHAnsi"/>
          <w:kern w:val="2"/>
          <w:sz w:val="32"/>
          <w:szCs w:val="32"/>
          <w:lang w:val="en-US" w:eastAsia="zh-CN" w:bidi="ar-SA"/>
        </w:rPr>
        <w:t>合同约定付款方式为</w:t>
      </w:r>
      <w:r>
        <w:rPr>
          <w:rFonts w:hint="eastAsia" w:ascii="仿宋_GB2312" w:eastAsia="仿宋_GB2312" w:cs="仿宋_GB2312"/>
          <w:kern w:val="2"/>
          <w:sz w:val="32"/>
          <w:szCs w:val="32"/>
          <w:lang w:val="en-US" w:eastAsia="zh-CN" w:bidi="ar-SA"/>
        </w:rPr>
        <w:t>“</w:t>
      </w:r>
      <w:r>
        <w:rPr>
          <w:rFonts w:hint="default" w:ascii="仿宋_GB2312" w:eastAsia="仿宋_GB2312" w:cs="仿宋_GB2312" w:hAnsiTheme="minorHAnsi"/>
          <w:kern w:val="2"/>
          <w:sz w:val="32"/>
          <w:szCs w:val="32"/>
          <w:lang w:val="en-US" w:eastAsia="zh-CN" w:bidi="ar-SA"/>
        </w:rPr>
        <w:t>工程开工，施工单位正式进场后，付到工程合同总价的30%，乙方完成工程量超过合同总价60%时，可申请一次工程进度款，经监理验收合格并签字认可后，付已完成工程总造价的的90%；所有工程完成，验收合格并完成工程决算审计后，付决算审计金额的90%；质保期满一年，无质量问题付清工程全部资金（不计息）</w:t>
      </w:r>
      <w:r>
        <w:rPr>
          <w:rFonts w:hint="eastAsia" w:ascii="仿宋_GB2312" w:eastAsia="仿宋_GB2312" w:cs="仿宋_GB2312"/>
          <w:kern w:val="2"/>
          <w:sz w:val="32"/>
          <w:szCs w:val="32"/>
          <w:lang w:val="en-US" w:eastAsia="zh-CN" w:bidi="ar-SA"/>
        </w:rPr>
        <w:t>”</w:t>
      </w:r>
      <w:r>
        <w:rPr>
          <w:rFonts w:hint="default" w:ascii="仿宋_GB2312" w:eastAsia="仿宋_GB2312" w:cs="仿宋_GB2312" w:hAnsiTheme="minorHAnsi"/>
          <w:kern w:val="2"/>
          <w:sz w:val="32"/>
          <w:szCs w:val="32"/>
          <w:lang w:val="en-US" w:eastAsia="zh-CN" w:bidi="ar-SA"/>
        </w:rPr>
        <w:t>，项目于2018年10月17日拨付第一笔工程款153</w:t>
      </w:r>
      <w:r>
        <w:rPr>
          <w:rFonts w:hint="eastAsia" w:ascii="仿宋_GB2312" w:eastAsia="仿宋_GB2312" w:cs="仿宋_GB2312"/>
          <w:kern w:val="2"/>
          <w:sz w:val="32"/>
          <w:szCs w:val="32"/>
          <w:lang w:val="en-US" w:eastAsia="zh-CN" w:bidi="ar-SA"/>
        </w:rPr>
        <w:t>万元</w:t>
      </w:r>
      <w:r>
        <w:rPr>
          <w:rFonts w:hint="default" w:ascii="仿宋_GB2312" w:eastAsia="仿宋_GB2312" w:cs="仿宋_GB2312" w:hAnsiTheme="minorHAnsi"/>
          <w:kern w:val="2"/>
          <w:sz w:val="32"/>
          <w:szCs w:val="32"/>
          <w:lang w:val="en-US" w:eastAsia="zh-CN" w:bidi="ar-SA"/>
        </w:rPr>
        <w:t>，按照合同金额2266.33万元测</w:t>
      </w:r>
      <w:bookmarkStart w:id="194" w:name="_GoBack"/>
      <w:bookmarkEnd w:id="194"/>
      <w:r>
        <w:rPr>
          <w:rFonts w:hint="default" w:ascii="仿宋_GB2312" w:eastAsia="仿宋_GB2312" w:cs="仿宋_GB2312" w:hAnsiTheme="minorHAnsi"/>
          <w:kern w:val="2"/>
          <w:sz w:val="32"/>
          <w:szCs w:val="32"/>
          <w:lang w:val="en-US" w:eastAsia="zh-CN" w:bidi="ar-SA"/>
        </w:rPr>
        <w:t>算，第一次拨付工程合同总价的30%，金额应为679.9万元，拨款金额与合同约定不符，资金拨付不规范。</w:t>
      </w:r>
    </w:p>
    <w:p>
      <w:pPr>
        <w:pStyle w:val="3"/>
        <w:pageBreakBefore w:val="0"/>
        <w:numPr>
          <w:ilvl w:val="0"/>
          <w:numId w:val="0"/>
        </w:numPr>
        <w:pBdr>
          <w:bottom w:val="none" w:color="auto" w:sz="0" w:space="0"/>
        </w:pBdr>
        <w:kinsoku/>
        <w:wordWrap/>
        <w:overflowPunct w:val="0"/>
        <w:topLinePunct w:val="0"/>
        <w:autoSpaceDE w:val="0"/>
        <w:autoSpaceDN w:val="0"/>
        <w:bidi w:val="0"/>
        <w:adjustRightInd w:val="0"/>
        <w:snapToGrid/>
        <w:spacing w:after="0" w:line="580" w:lineRule="exact"/>
        <w:ind w:left="0" w:leftChars="0" w:firstLine="640" w:firstLineChars="200"/>
        <w:jc w:val="both"/>
        <w:textAlignment w:val="baseline"/>
        <w:rPr>
          <w:rFonts w:hint="eastAsia" w:ascii="仿宋_GB2312" w:eastAsia="仿宋_GB2312" w:cs="仿宋_GB2312" w:hAnsiTheme="minorHAnsi"/>
          <w:color w:val="auto"/>
          <w:kern w:val="2"/>
          <w:sz w:val="32"/>
          <w:szCs w:val="32"/>
          <w:lang w:val="en-US" w:eastAsia="zh-CN" w:bidi="ar-SA"/>
        </w:rPr>
      </w:pPr>
      <w:r>
        <w:rPr>
          <w:rFonts w:hint="eastAsia" w:ascii="仿宋_GB2312" w:eastAsia="仿宋_GB2312" w:cs="仿宋_GB2312" w:hAnsiTheme="minorHAnsi"/>
          <w:color w:val="auto"/>
          <w:kern w:val="2"/>
          <w:sz w:val="32"/>
          <w:szCs w:val="32"/>
          <w:lang w:val="en-US" w:eastAsia="zh-CN" w:bidi="ar-SA"/>
        </w:rPr>
        <w:t>建议加大对项目单位财务检查的力度。主管部门在资金审计的基础上，加强中期财务管理情况抽查，及时发现问题并改进；加强对项目单位使用财政资金的指导，特别是加强会计核算的基础规范的培训和检查，发挥财务的监督职能，以客观反映项目资金支出情况。</w:t>
      </w:r>
    </w:p>
    <w:p>
      <w:pPr>
        <w:pStyle w:val="3"/>
        <w:pageBreakBefore w:val="0"/>
        <w:numPr>
          <w:ilvl w:val="0"/>
          <w:numId w:val="0"/>
        </w:numPr>
        <w:pBdr>
          <w:bottom w:val="none" w:color="auto" w:sz="0" w:space="0"/>
        </w:pBdr>
        <w:kinsoku/>
        <w:wordWrap/>
        <w:overflowPunct w:val="0"/>
        <w:topLinePunct w:val="0"/>
        <w:autoSpaceDE w:val="0"/>
        <w:autoSpaceDN w:val="0"/>
        <w:bidi w:val="0"/>
        <w:adjustRightInd w:val="0"/>
        <w:snapToGrid/>
        <w:spacing w:after="0" w:line="580" w:lineRule="exact"/>
        <w:ind w:left="0" w:leftChars="0" w:firstLine="640" w:firstLineChars="200"/>
        <w:jc w:val="both"/>
        <w:textAlignment w:val="baseline"/>
        <w:rPr>
          <w:rFonts w:hint="eastAsia" w:ascii="仿宋_GB2312" w:eastAsia="仿宋_GB2312" w:cs="仿宋_GB2312"/>
          <w:b w:val="0"/>
          <w:bCs w:val="0"/>
          <w:sz w:val="32"/>
          <w:szCs w:val="32"/>
        </w:rPr>
      </w:pPr>
      <w:r>
        <w:rPr>
          <w:rStyle w:val="30"/>
          <w:rFonts w:hint="eastAsia" w:ascii="Times New Roman" w:hAnsi="Times New Roman" w:eastAsia="黑体" w:cs="Times New Roman"/>
          <w:b w:val="0"/>
          <w:bCs w:val="0"/>
          <w:color w:val="auto"/>
          <w:kern w:val="44"/>
          <w:sz w:val="32"/>
          <w:szCs w:val="44"/>
          <w:lang w:val="en-US" w:eastAsia="zh-CN"/>
        </w:rPr>
        <w:t>七、本报告的局限性</w:t>
      </w:r>
      <w:bookmarkEnd w:id="180"/>
    </w:p>
    <w:p>
      <w:pPr>
        <w:pageBreakBefore w:val="0"/>
        <w:kinsoku/>
        <w:wordWrap/>
        <w:topLinePunct w:val="0"/>
        <w:bidi w:val="0"/>
        <w:snapToGrid/>
        <w:spacing w:line="580" w:lineRule="exact"/>
        <w:ind w:left="0" w:leftChars="0" w:firstLine="640" w:firstLineChars="200"/>
        <w:jc w:val="both"/>
        <w:rPr>
          <w:rFonts w:hint="eastAsia" w:ascii="仿宋_GB2312" w:eastAsia="仿宋_GB2312" w:cs="仿宋_GB2312"/>
          <w:sz w:val="32"/>
          <w:szCs w:val="32"/>
          <w:lang w:eastAsia="zh-CN"/>
        </w:rPr>
      </w:pPr>
      <w:r>
        <w:rPr>
          <w:rFonts w:hint="eastAsia" w:ascii="仿宋_GB2312" w:eastAsia="仿宋_GB2312" w:cs="仿宋_GB2312"/>
          <w:sz w:val="32"/>
          <w:szCs w:val="32"/>
        </w:rPr>
        <w:t>本报告所基于的数据具有一定的局限性，主要体现在以下两个方面</w:t>
      </w:r>
      <w:r>
        <w:rPr>
          <w:rFonts w:hint="eastAsia" w:ascii="仿宋_GB2312" w:eastAsia="仿宋_GB2312" w:cs="仿宋_GB2312"/>
          <w:sz w:val="32"/>
          <w:szCs w:val="32"/>
          <w:lang w:eastAsia="zh-CN"/>
        </w:rPr>
        <w:t>：</w:t>
      </w:r>
    </w:p>
    <w:p>
      <w:pPr>
        <w:pageBreakBefore w:val="0"/>
        <w:kinsoku/>
        <w:wordWrap/>
        <w:topLinePunct w:val="0"/>
        <w:bidi w:val="0"/>
        <w:snapToGrid/>
        <w:spacing w:line="580" w:lineRule="exact"/>
        <w:ind w:left="0" w:leftChars="0" w:firstLine="640" w:firstLineChars="200"/>
        <w:jc w:val="both"/>
        <w:rPr>
          <w:rFonts w:ascii="仿宋_GB2312" w:eastAsia="仿宋_GB2312" w:cs="仿宋_GB2312"/>
          <w:sz w:val="32"/>
          <w:szCs w:val="32"/>
        </w:rPr>
      </w:pPr>
      <w:r>
        <w:rPr>
          <w:rFonts w:hint="eastAsia" w:ascii="仿宋_GB2312" w:eastAsia="仿宋_GB2312" w:cs="仿宋_GB2312"/>
          <w:sz w:val="32"/>
          <w:szCs w:val="32"/>
        </w:rPr>
        <w:t>一是本次评价所收集数据的真实性是基于各项目单位提供的资料具有真实性和可靠性，数据统计和分析工作是在假设所有信息都是在项目实施过程中实际发生的基础上进行的。</w:t>
      </w:r>
    </w:p>
    <w:p>
      <w:pPr>
        <w:pageBreakBefore w:val="0"/>
        <w:kinsoku/>
        <w:wordWrap/>
        <w:topLinePunct w:val="0"/>
        <w:bidi w:val="0"/>
        <w:snapToGrid/>
        <w:spacing w:line="580" w:lineRule="exact"/>
        <w:ind w:left="0" w:leftChars="0" w:firstLine="640" w:firstLineChars="200"/>
        <w:jc w:val="both"/>
        <w:rPr>
          <w:rStyle w:val="30"/>
          <w:rFonts w:hint="eastAsia" w:ascii="Times New Roman" w:hAnsi="Times New Roman" w:eastAsia="黑体" w:cs="Times New Roman"/>
          <w:b/>
          <w:bCs/>
          <w:color w:val="auto"/>
          <w:kern w:val="44"/>
          <w:sz w:val="32"/>
          <w:szCs w:val="44"/>
          <w:lang w:val="en-US" w:eastAsia="zh-CN"/>
        </w:rPr>
      </w:pPr>
      <w:r>
        <w:rPr>
          <w:rFonts w:hint="eastAsia" w:ascii="仿宋_GB2312" w:eastAsia="仿宋_GB2312" w:cs="仿宋_GB2312"/>
          <w:sz w:val="32"/>
          <w:szCs w:val="32"/>
        </w:rPr>
        <w:t>二是本报告在对评价结果分析时所陈述的没有提供资料是指，项目单位在评价期间未能及时向评价组提供所需资料，不代表项目单位在项目实施过程中没有收集或整理相关信息。</w:t>
      </w:r>
    </w:p>
    <w:p>
      <w:pPr>
        <w:pStyle w:val="3"/>
        <w:pageBreakBefore w:val="0"/>
        <w:numPr>
          <w:ilvl w:val="0"/>
          <w:numId w:val="0"/>
        </w:numPr>
        <w:pBdr>
          <w:bottom w:val="none" w:color="auto" w:sz="0" w:space="0"/>
        </w:pBdr>
        <w:kinsoku/>
        <w:wordWrap/>
        <w:overflowPunct w:val="0"/>
        <w:topLinePunct w:val="0"/>
        <w:autoSpaceDE w:val="0"/>
        <w:autoSpaceDN w:val="0"/>
        <w:bidi w:val="0"/>
        <w:adjustRightInd w:val="0"/>
        <w:snapToGrid/>
        <w:spacing w:after="0" w:line="580" w:lineRule="exact"/>
        <w:ind w:left="0" w:leftChars="0" w:firstLine="640" w:firstLineChars="200"/>
        <w:jc w:val="both"/>
        <w:textAlignment w:val="baseline"/>
        <w:rPr>
          <w:rStyle w:val="30"/>
          <w:rFonts w:ascii="Times New Roman" w:hAnsi="Times New Roman" w:eastAsia="黑体" w:cs="Times New Roman"/>
          <w:b w:val="0"/>
          <w:bCs w:val="0"/>
          <w:color w:val="auto"/>
          <w:kern w:val="44"/>
          <w:sz w:val="32"/>
          <w:szCs w:val="44"/>
          <w:lang w:eastAsia="zh-CN"/>
        </w:rPr>
      </w:pPr>
      <w:bookmarkStart w:id="181" w:name="_Toc20488"/>
      <w:r>
        <w:rPr>
          <w:rStyle w:val="30"/>
          <w:rFonts w:hint="eastAsia" w:ascii="Times New Roman" w:hAnsi="Times New Roman" w:eastAsia="黑体" w:cs="Times New Roman"/>
          <w:b w:val="0"/>
          <w:bCs w:val="0"/>
          <w:color w:val="auto"/>
          <w:kern w:val="44"/>
          <w:sz w:val="32"/>
          <w:szCs w:val="44"/>
          <w:lang w:val="en-US" w:eastAsia="zh-CN"/>
        </w:rPr>
        <w:t>八、</w:t>
      </w:r>
      <w:r>
        <w:rPr>
          <w:rStyle w:val="30"/>
          <w:rFonts w:hint="eastAsia" w:ascii="Times New Roman" w:hAnsi="Times New Roman" w:eastAsia="黑体" w:cs="Times New Roman"/>
          <w:b w:val="0"/>
          <w:bCs w:val="0"/>
          <w:color w:val="auto"/>
          <w:kern w:val="44"/>
          <w:sz w:val="32"/>
          <w:szCs w:val="44"/>
          <w:lang w:eastAsia="zh-CN"/>
        </w:rPr>
        <w:t>附件</w:t>
      </w:r>
      <w:bookmarkEnd w:id="181"/>
    </w:p>
    <w:p>
      <w:pPr>
        <w:pageBreakBefore w:val="0"/>
        <w:kinsoku/>
        <w:wordWrap/>
        <w:topLinePunct w:val="0"/>
        <w:bidi w:val="0"/>
        <w:snapToGrid/>
        <w:spacing w:line="580" w:lineRule="exact"/>
        <w:ind w:firstLine="640" w:firstLineChars="200"/>
        <w:jc w:val="both"/>
        <w:outlineLvl w:val="0"/>
        <w:rPr>
          <w:rFonts w:hint="eastAsia" w:ascii="仿宋_GB2312" w:eastAsia="仿宋_GB2312"/>
          <w:color w:val="000000"/>
          <w:sz w:val="32"/>
          <w:szCs w:val="32"/>
        </w:rPr>
      </w:pPr>
      <w:bookmarkStart w:id="182" w:name="_Toc30045"/>
      <w:bookmarkStart w:id="183" w:name="_Toc27975"/>
      <w:bookmarkStart w:id="184" w:name="_Toc4258"/>
      <w:bookmarkStart w:id="185" w:name="_Toc12318"/>
      <w:r>
        <w:rPr>
          <w:rFonts w:hint="eastAsia" w:ascii="仿宋_GB2312" w:eastAsia="仿宋_GB2312"/>
          <w:color w:val="000000"/>
          <w:sz w:val="32"/>
          <w:szCs w:val="32"/>
        </w:rPr>
        <w:t>1：</w:t>
      </w:r>
      <w:bookmarkEnd w:id="182"/>
      <w:bookmarkEnd w:id="183"/>
      <w:bookmarkEnd w:id="184"/>
      <w:bookmarkEnd w:id="185"/>
      <w:bookmarkStart w:id="186" w:name="_Toc6241"/>
      <w:bookmarkStart w:id="187" w:name="_Toc14681"/>
      <w:bookmarkStart w:id="188" w:name="_Toc32763"/>
      <w:bookmarkStart w:id="189" w:name="_Toc2040"/>
      <w:r>
        <w:rPr>
          <w:rFonts w:hint="eastAsia" w:ascii="仿宋_GB2312" w:eastAsia="仿宋_GB2312"/>
          <w:color w:val="000000"/>
          <w:sz w:val="32"/>
          <w:szCs w:val="32"/>
        </w:rPr>
        <w:t>2018年度山亭区“四好农村路”李东线李庄至西崮城段改建工程项目绩效评价指标体系</w:t>
      </w:r>
    </w:p>
    <w:p>
      <w:pPr>
        <w:pageBreakBefore w:val="0"/>
        <w:kinsoku/>
        <w:wordWrap/>
        <w:topLinePunct w:val="0"/>
        <w:bidi w:val="0"/>
        <w:snapToGrid/>
        <w:spacing w:line="580" w:lineRule="exact"/>
        <w:ind w:left="0" w:leftChars="0" w:firstLine="640" w:firstLineChars="200"/>
        <w:jc w:val="both"/>
        <w:outlineLvl w:val="0"/>
        <w:rPr>
          <w:rFonts w:hint="eastAsia" w:ascii="仿宋_GB2312" w:eastAsia="仿宋_GB2312"/>
          <w:color w:val="000000"/>
          <w:sz w:val="32"/>
          <w:szCs w:val="32"/>
          <w:lang w:val="en-US" w:eastAsia="zh-CN"/>
        </w:rPr>
      </w:pPr>
      <w:r>
        <w:rPr>
          <w:rFonts w:hint="eastAsia" w:ascii="仿宋_GB2312" w:eastAsia="仿宋_GB2312"/>
          <w:color w:val="000000"/>
          <w:sz w:val="32"/>
          <w:szCs w:val="32"/>
        </w:rPr>
        <w:t>2：</w:t>
      </w:r>
      <w:bookmarkEnd w:id="186"/>
      <w:bookmarkEnd w:id="187"/>
      <w:bookmarkEnd w:id="188"/>
      <w:bookmarkEnd w:id="189"/>
      <w:bookmarkStart w:id="190" w:name="_Toc23169"/>
      <w:bookmarkStart w:id="191" w:name="_Toc27366"/>
      <w:bookmarkStart w:id="192" w:name="_Toc5125"/>
      <w:bookmarkStart w:id="193" w:name="_Toc22421"/>
      <w:r>
        <w:rPr>
          <w:rFonts w:hint="eastAsia" w:ascii="仿宋_GB2312" w:eastAsia="仿宋_GB2312"/>
          <w:color w:val="000000"/>
          <w:sz w:val="32"/>
          <w:szCs w:val="32"/>
        </w:rPr>
        <w:t>2018年度山亭区“四好农村路”李东线李庄至西崮城段改建工程项目绩效评</w:t>
      </w:r>
      <w:r>
        <w:rPr>
          <w:rFonts w:hint="eastAsia" w:ascii="仿宋_GB2312" w:eastAsia="仿宋_GB2312"/>
          <w:color w:val="000000"/>
          <w:sz w:val="32"/>
          <w:szCs w:val="32"/>
          <w:lang w:val="en-US" w:eastAsia="zh-CN"/>
        </w:rPr>
        <w:t>价评分意见表</w:t>
      </w:r>
    </w:p>
    <w:p>
      <w:pPr>
        <w:pageBreakBefore w:val="0"/>
        <w:kinsoku/>
        <w:wordWrap/>
        <w:topLinePunct w:val="0"/>
        <w:bidi w:val="0"/>
        <w:snapToGrid/>
        <w:spacing w:line="580" w:lineRule="exact"/>
        <w:ind w:left="0" w:leftChars="0" w:firstLine="640" w:firstLineChars="200"/>
        <w:jc w:val="both"/>
        <w:outlineLvl w:val="0"/>
        <w:rPr>
          <w:rFonts w:hint="eastAsia" w:ascii="仿宋_GB2312" w:eastAsia="仿宋_GB2312"/>
          <w:color w:val="000000"/>
          <w:sz w:val="32"/>
          <w:szCs w:val="32"/>
          <w:lang w:val="en-US" w:eastAsia="zh-CN"/>
        </w:rPr>
      </w:pPr>
      <w:r>
        <w:rPr>
          <w:rFonts w:hint="eastAsia" w:ascii="仿宋_GB2312" w:eastAsia="仿宋_GB2312"/>
          <w:color w:val="000000"/>
          <w:sz w:val="32"/>
          <w:szCs w:val="32"/>
        </w:rPr>
        <w:t>3：</w:t>
      </w:r>
      <w:bookmarkEnd w:id="190"/>
      <w:bookmarkEnd w:id="191"/>
      <w:bookmarkEnd w:id="192"/>
      <w:bookmarkEnd w:id="193"/>
      <w:r>
        <w:rPr>
          <w:rFonts w:hint="eastAsia" w:ascii="仿宋_GB2312" w:eastAsia="仿宋_GB2312"/>
          <w:color w:val="000000"/>
          <w:sz w:val="32"/>
          <w:szCs w:val="32"/>
        </w:rPr>
        <w:t>2018年度山亭区“四好农村路”李东线李庄至西崮城段改建工程项目绩效评价</w:t>
      </w:r>
      <w:r>
        <w:rPr>
          <w:rFonts w:hint="eastAsia" w:ascii="仿宋_GB2312" w:eastAsia="仿宋_GB2312"/>
          <w:color w:val="000000"/>
          <w:sz w:val="32"/>
          <w:szCs w:val="32"/>
          <w:lang w:val="en-US" w:eastAsia="zh-CN"/>
        </w:rPr>
        <w:t>问卷统计分析</w:t>
      </w: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文星简黑体">
    <w:altName w:val="黑体"/>
    <w:panose1 w:val="00000000000000000000"/>
    <w:charset w:val="86"/>
    <w:family w:val="roma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5844CC"/>
    <w:multiLevelType w:val="singleLevel"/>
    <w:tmpl w:val="945844CC"/>
    <w:lvl w:ilvl="0" w:tentative="0">
      <w:start w:val="1"/>
      <w:numFmt w:val="chineseCounting"/>
      <w:suff w:val="nothing"/>
      <w:lvlText w:val="%1、"/>
      <w:lvlJc w:val="left"/>
      <w:rPr>
        <w:rFonts w:hint="eastAsia"/>
      </w:rPr>
    </w:lvl>
  </w:abstractNum>
  <w:abstractNum w:abstractNumId="1">
    <w:nsid w:val="BD17922E"/>
    <w:multiLevelType w:val="singleLevel"/>
    <w:tmpl w:val="BD17922E"/>
    <w:lvl w:ilvl="0" w:tentative="0">
      <w:start w:val="6"/>
      <w:numFmt w:val="chineseCounting"/>
      <w:suff w:val="nothing"/>
      <w:lvlText w:val="（%1）"/>
      <w:lvlJc w:val="left"/>
      <w:rPr>
        <w:rFonts w:hint="eastAsia"/>
      </w:rPr>
    </w:lvl>
  </w:abstractNum>
  <w:abstractNum w:abstractNumId="2">
    <w:nsid w:val="0592DA25"/>
    <w:multiLevelType w:val="singleLevel"/>
    <w:tmpl w:val="0592DA25"/>
    <w:lvl w:ilvl="0" w:tentative="0">
      <w:start w:val="2"/>
      <w:numFmt w:val="chineseCounting"/>
      <w:suff w:val="nothing"/>
      <w:lvlText w:val="（%1）"/>
      <w:lvlJc w:val="left"/>
      <w:rPr>
        <w:rFonts w:hint="eastAsia"/>
      </w:rPr>
    </w:lvl>
  </w:abstractNum>
  <w:abstractNum w:abstractNumId="3">
    <w:nsid w:val="4B6C56D6"/>
    <w:multiLevelType w:val="singleLevel"/>
    <w:tmpl w:val="4B6C56D6"/>
    <w:lvl w:ilvl="0" w:tentative="0">
      <w:start w:val="3"/>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E5"/>
    <w:rsid w:val="00010FA2"/>
    <w:rsid w:val="000236DC"/>
    <w:rsid w:val="00083D74"/>
    <w:rsid w:val="0009470A"/>
    <w:rsid w:val="000B4096"/>
    <w:rsid w:val="000D6622"/>
    <w:rsid w:val="000E57E1"/>
    <w:rsid w:val="000E6873"/>
    <w:rsid w:val="00100A5C"/>
    <w:rsid w:val="00107945"/>
    <w:rsid w:val="00114EB6"/>
    <w:rsid w:val="00117C64"/>
    <w:rsid w:val="00127A84"/>
    <w:rsid w:val="001719CC"/>
    <w:rsid w:val="001722C2"/>
    <w:rsid w:val="001762B4"/>
    <w:rsid w:val="001B5C31"/>
    <w:rsid w:val="001C03D5"/>
    <w:rsid w:val="001F7A0E"/>
    <w:rsid w:val="00201626"/>
    <w:rsid w:val="002437F7"/>
    <w:rsid w:val="002537B6"/>
    <w:rsid w:val="0025753F"/>
    <w:rsid w:val="002676A0"/>
    <w:rsid w:val="002A46EC"/>
    <w:rsid w:val="002B3BE9"/>
    <w:rsid w:val="002C6D70"/>
    <w:rsid w:val="002E4A67"/>
    <w:rsid w:val="002E6651"/>
    <w:rsid w:val="002F5310"/>
    <w:rsid w:val="002F6287"/>
    <w:rsid w:val="00315E6F"/>
    <w:rsid w:val="003261C2"/>
    <w:rsid w:val="0033086D"/>
    <w:rsid w:val="00335EE4"/>
    <w:rsid w:val="0033696F"/>
    <w:rsid w:val="003551A6"/>
    <w:rsid w:val="0035660E"/>
    <w:rsid w:val="0036237D"/>
    <w:rsid w:val="00365D03"/>
    <w:rsid w:val="00366C44"/>
    <w:rsid w:val="003703FA"/>
    <w:rsid w:val="00392B08"/>
    <w:rsid w:val="003B3175"/>
    <w:rsid w:val="003C2723"/>
    <w:rsid w:val="003F5EA1"/>
    <w:rsid w:val="00402E3C"/>
    <w:rsid w:val="0041734F"/>
    <w:rsid w:val="004465DD"/>
    <w:rsid w:val="00465E8F"/>
    <w:rsid w:val="004734C2"/>
    <w:rsid w:val="00522800"/>
    <w:rsid w:val="005722AB"/>
    <w:rsid w:val="00575B08"/>
    <w:rsid w:val="005968CE"/>
    <w:rsid w:val="005C6F07"/>
    <w:rsid w:val="005D67FF"/>
    <w:rsid w:val="005E01AD"/>
    <w:rsid w:val="005E5C46"/>
    <w:rsid w:val="005F3CA8"/>
    <w:rsid w:val="005F3F38"/>
    <w:rsid w:val="006355EE"/>
    <w:rsid w:val="00654C91"/>
    <w:rsid w:val="006657D3"/>
    <w:rsid w:val="006A5DF4"/>
    <w:rsid w:val="006B1164"/>
    <w:rsid w:val="006D50E9"/>
    <w:rsid w:val="006E1E10"/>
    <w:rsid w:val="006E68C3"/>
    <w:rsid w:val="006F51C8"/>
    <w:rsid w:val="00726D32"/>
    <w:rsid w:val="00756458"/>
    <w:rsid w:val="00761379"/>
    <w:rsid w:val="00786E8B"/>
    <w:rsid w:val="007A52E8"/>
    <w:rsid w:val="007B4AAC"/>
    <w:rsid w:val="007F1010"/>
    <w:rsid w:val="008007CD"/>
    <w:rsid w:val="0082271F"/>
    <w:rsid w:val="008444F5"/>
    <w:rsid w:val="008A4F51"/>
    <w:rsid w:val="008A63A5"/>
    <w:rsid w:val="008B3C97"/>
    <w:rsid w:val="008E2CD7"/>
    <w:rsid w:val="008E434C"/>
    <w:rsid w:val="00905267"/>
    <w:rsid w:val="00915119"/>
    <w:rsid w:val="00947406"/>
    <w:rsid w:val="00982907"/>
    <w:rsid w:val="009F62FA"/>
    <w:rsid w:val="009F68F4"/>
    <w:rsid w:val="00A238E9"/>
    <w:rsid w:val="00A764E9"/>
    <w:rsid w:val="00A82A4A"/>
    <w:rsid w:val="00A8471D"/>
    <w:rsid w:val="00A94CE5"/>
    <w:rsid w:val="00A96B37"/>
    <w:rsid w:val="00AB2997"/>
    <w:rsid w:val="00AE176D"/>
    <w:rsid w:val="00B20CE5"/>
    <w:rsid w:val="00B47836"/>
    <w:rsid w:val="00B50852"/>
    <w:rsid w:val="00B50C8A"/>
    <w:rsid w:val="00BB1414"/>
    <w:rsid w:val="00BC3EA7"/>
    <w:rsid w:val="00C24859"/>
    <w:rsid w:val="00C75FD4"/>
    <w:rsid w:val="00C821BA"/>
    <w:rsid w:val="00C86226"/>
    <w:rsid w:val="00CB5BD2"/>
    <w:rsid w:val="00CB5E6C"/>
    <w:rsid w:val="00CE1A01"/>
    <w:rsid w:val="00CE702D"/>
    <w:rsid w:val="00D10EB4"/>
    <w:rsid w:val="00D14CCF"/>
    <w:rsid w:val="00D26B42"/>
    <w:rsid w:val="00D4763C"/>
    <w:rsid w:val="00D708BF"/>
    <w:rsid w:val="00D735E5"/>
    <w:rsid w:val="00D9104F"/>
    <w:rsid w:val="00D94C39"/>
    <w:rsid w:val="00DA3A31"/>
    <w:rsid w:val="00DA50DC"/>
    <w:rsid w:val="00DB2453"/>
    <w:rsid w:val="00DB63B8"/>
    <w:rsid w:val="00DF3922"/>
    <w:rsid w:val="00E008A1"/>
    <w:rsid w:val="00E16339"/>
    <w:rsid w:val="00E412E5"/>
    <w:rsid w:val="00E5167E"/>
    <w:rsid w:val="00E955E7"/>
    <w:rsid w:val="00EB5709"/>
    <w:rsid w:val="00ED5B05"/>
    <w:rsid w:val="00EE3432"/>
    <w:rsid w:val="00EE4DC3"/>
    <w:rsid w:val="00F1261D"/>
    <w:rsid w:val="00F14D7A"/>
    <w:rsid w:val="00FC1F53"/>
    <w:rsid w:val="00FD4B9D"/>
    <w:rsid w:val="00FF56C4"/>
    <w:rsid w:val="011B3199"/>
    <w:rsid w:val="013C693A"/>
    <w:rsid w:val="0155601B"/>
    <w:rsid w:val="01DB0701"/>
    <w:rsid w:val="020E38D8"/>
    <w:rsid w:val="023A52AA"/>
    <w:rsid w:val="02EF6530"/>
    <w:rsid w:val="03FD0F97"/>
    <w:rsid w:val="04E255AF"/>
    <w:rsid w:val="04EB5023"/>
    <w:rsid w:val="050468BE"/>
    <w:rsid w:val="069A5F77"/>
    <w:rsid w:val="06D54F14"/>
    <w:rsid w:val="06DF7F9B"/>
    <w:rsid w:val="0749466B"/>
    <w:rsid w:val="0767446A"/>
    <w:rsid w:val="077A0020"/>
    <w:rsid w:val="07B0652F"/>
    <w:rsid w:val="085E2C19"/>
    <w:rsid w:val="085E4D9F"/>
    <w:rsid w:val="08706453"/>
    <w:rsid w:val="08800ACD"/>
    <w:rsid w:val="08D77B56"/>
    <w:rsid w:val="08EB3A66"/>
    <w:rsid w:val="08F91D75"/>
    <w:rsid w:val="09E75000"/>
    <w:rsid w:val="09EF338B"/>
    <w:rsid w:val="0A031490"/>
    <w:rsid w:val="0A216986"/>
    <w:rsid w:val="0AA40342"/>
    <w:rsid w:val="0AD651C4"/>
    <w:rsid w:val="0B4233F9"/>
    <w:rsid w:val="0BCC674A"/>
    <w:rsid w:val="0BE32583"/>
    <w:rsid w:val="0C823DAC"/>
    <w:rsid w:val="0C9756E0"/>
    <w:rsid w:val="0CF47632"/>
    <w:rsid w:val="0D68485A"/>
    <w:rsid w:val="0DD5528B"/>
    <w:rsid w:val="0E86112F"/>
    <w:rsid w:val="0EC66FCD"/>
    <w:rsid w:val="0F8B5477"/>
    <w:rsid w:val="0F9A1785"/>
    <w:rsid w:val="0FDA6713"/>
    <w:rsid w:val="1012205B"/>
    <w:rsid w:val="101D0FD5"/>
    <w:rsid w:val="10DF5AF1"/>
    <w:rsid w:val="10EB4E95"/>
    <w:rsid w:val="1188107D"/>
    <w:rsid w:val="11CA6A95"/>
    <w:rsid w:val="11FC6255"/>
    <w:rsid w:val="121C5233"/>
    <w:rsid w:val="12BD7506"/>
    <w:rsid w:val="12C374A5"/>
    <w:rsid w:val="12CA0A53"/>
    <w:rsid w:val="13BD1975"/>
    <w:rsid w:val="13F642D8"/>
    <w:rsid w:val="14005393"/>
    <w:rsid w:val="14297F70"/>
    <w:rsid w:val="14CA340D"/>
    <w:rsid w:val="14F301B7"/>
    <w:rsid w:val="153E4C70"/>
    <w:rsid w:val="15E07BD0"/>
    <w:rsid w:val="16AD1FA3"/>
    <w:rsid w:val="17245F54"/>
    <w:rsid w:val="1784280A"/>
    <w:rsid w:val="179A2AC7"/>
    <w:rsid w:val="18F50FED"/>
    <w:rsid w:val="19006380"/>
    <w:rsid w:val="19397D93"/>
    <w:rsid w:val="198E7D32"/>
    <w:rsid w:val="19D148AE"/>
    <w:rsid w:val="1ACB1095"/>
    <w:rsid w:val="1B045C29"/>
    <w:rsid w:val="1B727422"/>
    <w:rsid w:val="1B7C606D"/>
    <w:rsid w:val="1BED2189"/>
    <w:rsid w:val="1BFA2450"/>
    <w:rsid w:val="1C3074A0"/>
    <w:rsid w:val="1C3C4AFE"/>
    <w:rsid w:val="1C40013E"/>
    <w:rsid w:val="1D1B6655"/>
    <w:rsid w:val="1D663FE1"/>
    <w:rsid w:val="1D7620C1"/>
    <w:rsid w:val="1D77333C"/>
    <w:rsid w:val="1DB00D1D"/>
    <w:rsid w:val="1DF109B9"/>
    <w:rsid w:val="1E285195"/>
    <w:rsid w:val="1F206C06"/>
    <w:rsid w:val="1F55215E"/>
    <w:rsid w:val="1F637531"/>
    <w:rsid w:val="1F732306"/>
    <w:rsid w:val="1FFE782F"/>
    <w:rsid w:val="20B66458"/>
    <w:rsid w:val="210A1375"/>
    <w:rsid w:val="213563B4"/>
    <w:rsid w:val="21BF172D"/>
    <w:rsid w:val="224D008F"/>
    <w:rsid w:val="22E201C4"/>
    <w:rsid w:val="23456F2C"/>
    <w:rsid w:val="238D4C45"/>
    <w:rsid w:val="23DB6A8F"/>
    <w:rsid w:val="23E61F28"/>
    <w:rsid w:val="240223E3"/>
    <w:rsid w:val="24D0551C"/>
    <w:rsid w:val="250268BB"/>
    <w:rsid w:val="252B4D22"/>
    <w:rsid w:val="253E4846"/>
    <w:rsid w:val="263D5584"/>
    <w:rsid w:val="26A00CF9"/>
    <w:rsid w:val="26D20904"/>
    <w:rsid w:val="26FD1220"/>
    <w:rsid w:val="277315E8"/>
    <w:rsid w:val="27B610AA"/>
    <w:rsid w:val="27D52537"/>
    <w:rsid w:val="27E61497"/>
    <w:rsid w:val="288D52E6"/>
    <w:rsid w:val="28AF3C07"/>
    <w:rsid w:val="28B742EF"/>
    <w:rsid w:val="28B86F16"/>
    <w:rsid w:val="28C756C2"/>
    <w:rsid w:val="290A7D72"/>
    <w:rsid w:val="29364121"/>
    <w:rsid w:val="29B06AB5"/>
    <w:rsid w:val="29B227BA"/>
    <w:rsid w:val="2AB13BFF"/>
    <w:rsid w:val="2B3856D9"/>
    <w:rsid w:val="2B4F3A85"/>
    <w:rsid w:val="2BFC2DBA"/>
    <w:rsid w:val="2C7A230E"/>
    <w:rsid w:val="2DC053C0"/>
    <w:rsid w:val="2DDA6A4E"/>
    <w:rsid w:val="2E354687"/>
    <w:rsid w:val="2E8715DD"/>
    <w:rsid w:val="2E872B8F"/>
    <w:rsid w:val="2EC9380B"/>
    <w:rsid w:val="2EDA03AB"/>
    <w:rsid w:val="2F616CD9"/>
    <w:rsid w:val="2FB801D9"/>
    <w:rsid w:val="2FED2FB6"/>
    <w:rsid w:val="3017590C"/>
    <w:rsid w:val="313F1647"/>
    <w:rsid w:val="31EA3033"/>
    <w:rsid w:val="32833EAC"/>
    <w:rsid w:val="340B64EC"/>
    <w:rsid w:val="3415408A"/>
    <w:rsid w:val="361C3DE4"/>
    <w:rsid w:val="36545584"/>
    <w:rsid w:val="370F56AB"/>
    <w:rsid w:val="37341C3A"/>
    <w:rsid w:val="37EC2586"/>
    <w:rsid w:val="37EF1D01"/>
    <w:rsid w:val="37F94AA4"/>
    <w:rsid w:val="3813392C"/>
    <w:rsid w:val="38223B1B"/>
    <w:rsid w:val="385A60D9"/>
    <w:rsid w:val="39263397"/>
    <w:rsid w:val="39331B6D"/>
    <w:rsid w:val="395C5607"/>
    <w:rsid w:val="39E92F7C"/>
    <w:rsid w:val="3A6B02BC"/>
    <w:rsid w:val="3A9B14F9"/>
    <w:rsid w:val="3AB32CEF"/>
    <w:rsid w:val="3AF711BF"/>
    <w:rsid w:val="3B336D0F"/>
    <w:rsid w:val="3B3E4320"/>
    <w:rsid w:val="3B6A02F1"/>
    <w:rsid w:val="3B97564B"/>
    <w:rsid w:val="3B9F171D"/>
    <w:rsid w:val="3C4763C3"/>
    <w:rsid w:val="3CE57DA9"/>
    <w:rsid w:val="3D1C539B"/>
    <w:rsid w:val="3D440DCB"/>
    <w:rsid w:val="3DA469A0"/>
    <w:rsid w:val="3DA47E8C"/>
    <w:rsid w:val="3DBD0058"/>
    <w:rsid w:val="3E742D59"/>
    <w:rsid w:val="3EB22D49"/>
    <w:rsid w:val="3EE63336"/>
    <w:rsid w:val="3FFB6233"/>
    <w:rsid w:val="40117C18"/>
    <w:rsid w:val="401C0413"/>
    <w:rsid w:val="402F43D1"/>
    <w:rsid w:val="408A6EA9"/>
    <w:rsid w:val="40C67F1D"/>
    <w:rsid w:val="40E519CC"/>
    <w:rsid w:val="419E5368"/>
    <w:rsid w:val="41E36C87"/>
    <w:rsid w:val="42D80621"/>
    <w:rsid w:val="43212E97"/>
    <w:rsid w:val="436C4064"/>
    <w:rsid w:val="438207BB"/>
    <w:rsid w:val="43A86234"/>
    <w:rsid w:val="453C5221"/>
    <w:rsid w:val="45456BC7"/>
    <w:rsid w:val="45534642"/>
    <w:rsid w:val="456F32CE"/>
    <w:rsid w:val="46031BEB"/>
    <w:rsid w:val="460C6179"/>
    <w:rsid w:val="463538E7"/>
    <w:rsid w:val="47FA3D4E"/>
    <w:rsid w:val="487F32A2"/>
    <w:rsid w:val="491C3E7D"/>
    <w:rsid w:val="493E7F25"/>
    <w:rsid w:val="4A491EBF"/>
    <w:rsid w:val="4BB26A77"/>
    <w:rsid w:val="4BE82188"/>
    <w:rsid w:val="4C807F7D"/>
    <w:rsid w:val="4D3F3A7E"/>
    <w:rsid w:val="4D645C92"/>
    <w:rsid w:val="4E9B1A02"/>
    <w:rsid w:val="4F257714"/>
    <w:rsid w:val="4F6A5B89"/>
    <w:rsid w:val="4F8033AE"/>
    <w:rsid w:val="4FC86DED"/>
    <w:rsid w:val="506F709E"/>
    <w:rsid w:val="51E562B0"/>
    <w:rsid w:val="522317D6"/>
    <w:rsid w:val="52316156"/>
    <w:rsid w:val="525030C4"/>
    <w:rsid w:val="52CA08CE"/>
    <w:rsid w:val="533404A7"/>
    <w:rsid w:val="534A0527"/>
    <w:rsid w:val="534B5BC1"/>
    <w:rsid w:val="540414FE"/>
    <w:rsid w:val="553F26B1"/>
    <w:rsid w:val="5540716D"/>
    <w:rsid w:val="55C06DFF"/>
    <w:rsid w:val="55D83259"/>
    <w:rsid w:val="55DE46B9"/>
    <w:rsid w:val="56264AB0"/>
    <w:rsid w:val="5658696F"/>
    <w:rsid w:val="567023B6"/>
    <w:rsid w:val="58E71206"/>
    <w:rsid w:val="597F7650"/>
    <w:rsid w:val="5A1847E3"/>
    <w:rsid w:val="5AF95E5B"/>
    <w:rsid w:val="5C0625F5"/>
    <w:rsid w:val="5C15449E"/>
    <w:rsid w:val="5CD65E5E"/>
    <w:rsid w:val="5D3275E9"/>
    <w:rsid w:val="5D5E2CE0"/>
    <w:rsid w:val="5D6A6EB3"/>
    <w:rsid w:val="5E2D4D7B"/>
    <w:rsid w:val="5E5750BB"/>
    <w:rsid w:val="5E624618"/>
    <w:rsid w:val="5EA73A1A"/>
    <w:rsid w:val="5F5A62EF"/>
    <w:rsid w:val="5FB20A41"/>
    <w:rsid w:val="60022565"/>
    <w:rsid w:val="60641BA4"/>
    <w:rsid w:val="60DA507A"/>
    <w:rsid w:val="612E0DDC"/>
    <w:rsid w:val="61657F63"/>
    <w:rsid w:val="624D56E4"/>
    <w:rsid w:val="627E7F3F"/>
    <w:rsid w:val="62954456"/>
    <w:rsid w:val="62D807DC"/>
    <w:rsid w:val="63470115"/>
    <w:rsid w:val="63FC7F70"/>
    <w:rsid w:val="64351D51"/>
    <w:rsid w:val="646431ED"/>
    <w:rsid w:val="64E570F5"/>
    <w:rsid w:val="665777BE"/>
    <w:rsid w:val="667B7785"/>
    <w:rsid w:val="66F56E7E"/>
    <w:rsid w:val="6739675A"/>
    <w:rsid w:val="67A25E87"/>
    <w:rsid w:val="67E43360"/>
    <w:rsid w:val="68632DEA"/>
    <w:rsid w:val="689A7822"/>
    <w:rsid w:val="68A222F2"/>
    <w:rsid w:val="68C87700"/>
    <w:rsid w:val="69161099"/>
    <w:rsid w:val="6A05031F"/>
    <w:rsid w:val="6A10240E"/>
    <w:rsid w:val="6AED7AB3"/>
    <w:rsid w:val="6B926D40"/>
    <w:rsid w:val="6BA46299"/>
    <w:rsid w:val="6D884B57"/>
    <w:rsid w:val="6DC70C54"/>
    <w:rsid w:val="6E1E1178"/>
    <w:rsid w:val="6F4748EE"/>
    <w:rsid w:val="6F922EA6"/>
    <w:rsid w:val="707A3E33"/>
    <w:rsid w:val="70A97383"/>
    <w:rsid w:val="718C5C1A"/>
    <w:rsid w:val="71F24848"/>
    <w:rsid w:val="720D0EEE"/>
    <w:rsid w:val="720E70D3"/>
    <w:rsid w:val="727916E8"/>
    <w:rsid w:val="72973C78"/>
    <w:rsid w:val="733F168D"/>
    <w:rsid w:val="746A4A2D"/>
    <w:rsid w:val="74715582"/>
    <w:rsid w:val="7481067D"/>
    <w:rsid w:val="74871FFB"/>
    <w:rsid w:val="7514310C"/>
    <w:rsid w:val="752E0742"/>
    <w:rsid w:val="75352970"/>
    <w:rsid w:val="75382D93"/>
    <w:rsid w:val="75653889"/>
    <w:rsid w:val="75B51712"/>
    <w:rsid w:val="75C278C6"/>
    <w:rsid w:val="76483EC0"/>
    <w:rsid w:val="76490108"/>
    <w:rsid w:val="765B76D5"/>
    <w:rsid w:val="76A8484F"/>
    <w:rsid w:val="76E93714"/>
    <w:rsid w:val="772A71F4"/>
    <w:rsid w:val="78090914"/>
    <w:rsid w:val="78C36A24"/>
    <w:rsid w:val="79BB3D15"/>
    <w:rsid w:val="7ABF28BB"/>
    <w:rsid w:val="7AD57B47"/>
    <w:rsid w:val="7B9B651B"/>
    <w:rsid w:val="7BD55FC4"/>
    <w:rsid w:val="7BFC7C7B"/>
    <w:rsid w:val="7C8964B8"/>
    <w:rsid w:val="7C9A49E9"/>
    <w:rsid w:val="7D5B1B10"/>
    <w:rsid w:val="7D8C0DC8"/>
    <w:rsid w:val="7DEF2983"/>
    <w:rsid w:val="7E2B7C21"/>
    <w:rsid w:val="7F335225"/>
    <w:rsid w:val="7FBF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9"/>
    <w:pPr>
      <w:keepNext/>
      <w:keepLines/>
      <w:pBdr>
        <w:bottom w:val="single" w:color="D9E2F3" w:themeColor="accent1" w:themeTint="33" w:sz="8" w:space="0"/>
      </w:pBdr>
      <w:spacing w:after="200" w:line="300" w:lineRule="auto"/>
      <w:outlineLvl w:val="0"/>
    </w:pPr>
    <w:rPr>
      <w:rFonts w:eastAsia="Microsoft YaHei UI" w:asciiTheme="majorHAnsi" w:hAnsiTheme="majorHAnsi" w:cstheme="majorBidi"/>
      <w:color w:val="4472C4" w:themeColor="accent1"/>
      <w:kern w:val="0"/>
      <w:sz w:val="36"/>
      <w:szCs w:val="36"/>
      <w:lang w:val="en-US" w:eastAsia="ja-JP" w:bidi="ar-SA"/>
      <w14:textFill>
        <w14:solidFill>
          <w14:schemeClr w14:val="accent1"/>
        </w14:solidFill>
      </w14:textFill>
    </w:rPr>
  </w:style>
  <w:style w:type="paragraph" w:styleId="4">
    <w:name w:val="heading 2"/>
    <w:basedOn w:val="1"/>
    <w:next w:val="1"/>
    <w:link w:val="31"/>
    <w:qFormat/>
    <w:uiPriority w:val="9"/>
    <w:pPr>
      <w:autoSpaceDE w:val="0"/>
      <w:autoSpaceDN w:val="0"/>
      <w:ind w:left="2"/>
      <w:jc w:val="center"/>
      <w:outlineLvl w:val="1"/>
    </w:pPr>
    <w:rPr>
      <w:rFonts w:ascii="Microsoft YaHei UI" w:hAnsi="Microsoft YaHei UI" w:eastAsia="Microsoft YaHei UI" w:cs="Microsoft YaHei UI"/>
      <w:kern w:val="0"/>
      <w:sz w:val="44"/>
      <w:szCs w:val="44"/>
      <w:lang w:val="zh-CN" w:bidi="zh-CN"/>
    </w:rPr>
  </w:style>
  <w:style w:type="paragraph" w:styleId="5">
    <w:name w:val="heading 3"/>
    <w:basedOn w:val="1"/>
    <w:next w:val="1"/>
    <w:link w:val="38"/>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pPr>
      <w:spacing w:before="190"/>
      <w:ind w:left="1333"/>
    </w:pPr>
    <w:rPr>
      <w:rFonts w:ascii="仿宋_GB2312" w:hAnsi="仿宋_GB2312" w:eastAsia="仿宋_GB2312" w:cs="仿宋_GB2312"/>
      <w:sz w:val="32"/>
      <w:szCs w:val="32"/>
      <w:lang w:val="zh-CN" w:bidi="zh-CN"/>
    </w:rPr>
  </w:style>
  <w:style w:type="paragraph" w:styleId="8">
    <w:name w:val="Body Text Indent"/>
    <w:basedOn w:val="1"/>
    <w:next w:val="1"/>
    <w:qFormat/>
    <w:uiPriority w:val="0"/>
    <w:pPr>
      <w:spacing w:line="500" w:lineRule="exact"/>
      <w:ind w:left="1588" w:leftChars="832" w:firstLine="433" w:firstLineChars="196"/>
    </w:pPr>
    <w:rPr>
      <w:sz w:val="24"/>
      <w:szCs w:val="24"/>
    </w:rPr>
  </w:style>
  <w:style w:type="paragraph" w:styleId="9">
    <w:name w:val="toc 3"/>
    <w:basedOn w:val="1"/>
    <w:next w:val="1"/>
    <w:semiHidden/>
    <w:unhideWhenUsed/>
    <w:qFormat/>
    <w:uiPriority w:val="39"/>
    <w:pPr>
      <w:ind w:left="840" w:leftChars="400"/>
    </w:pPr>
  </w:style>
  <w:style w:type="paragraph" w:styleId="10">
    <w:name w:val="Date"/>
    <w:basedOn w:val="1"/>
    <w:next w:val="1"/>
    <w:link w:val="32"/>
    <w:semiHidden/>
    <w:unhideWhenUsed/>
    <w:qFormat/>
    <w:uiPriority w:val="99"/>
    <w:pPr>
      <w:ind w:left="100" w:leftChars="2500"/>
    </w:pPr>
  </w:style>
  <w:style w:type="paragraph" w:styleId="11">
    <w:name w:val="Balloon Text"/>
    <w:basedOn w:val="1"/>
    <w:link w:val="36"/>
    <w:semiHidden/>
    <w:unhideWhenUsed/>
    <w:qFormat/>
    <w:uiPriority w:val="99"/>
    <w:rPr>
      <w:sz w:val="18"/>
      <w:szCs w:val="18"/>
    </w:rPr>
  </w:style>
  <w:style w:type="paragraph" w:styleId="12">
    <w:name w:val="footer"/>
    <w:basedOn w:val="1"/>
    <w:link w:val="35"/>
    <w:unhideWhenUsed/>
    <w:qFormat/>
    <w:uiPriority w:val="99"/>
    <w:pPr>
      <w:tabs>
        <w:tab w:val="center" w:pos="4153"/>
        <w:tab w:val="right" w:pos="8306"/>
      </w:tabs>
      <w:snapToGrid w:val="0"/>
      <w:jc w:val="left"/>
    </w:pPr>
    <w:rPr>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8">
    <w:name w:val="Body Text First Indent 2"/>
    <w:basedOn w:val="8"/>
    <w:qFormat/>
    <w:uiPriority w:val="0"/>
    <w:pPr>
      <w:spacing w:after="120" w:line="240" w:lineRule="auto"/>
      <w:ind w:left="420" w:leftChars="200" w:firstLine="420" w:firstLineChars="200"/>
    </w:pPr>
    <w:rPr>
      <w:sz w:val="21"/>
    </w:rPr>
  </w:style>
  <w:style w:type="character" w:styleId="21">
    <w:name w:val="Strong"/>
    <w:basedOn w:val="20"/>
    <w:qFormat/>
    <w:uiPriority w:val="22"/>
    <w:rPr>
      <w:b/>
    </w:rPr>
  </w:style>
  <w:style w:type="character" w:styleId="22">
    <w:name w:val="FollowedHyperlink"/>
    <w:basedOn w:val="20"/>
    <w:semiHidden/>
    <w:unhideWhenUsed/>
    <w:qFormat/>
    <w:uiPriority w:val="99"/>
    <w:rPr>
      <w:color w:val="787878"/>
      <w:u w:val="none"/>
    </w:rPr>
  </w:style>
  <w:style w:type="character" w:styleId="23">
    <w:name w:val="Emphasis"/>
    <w:basedOn w:val="20"/>
    <w:qFormat/>
    <w:uiPriority w:val="20"/>
  </w:style>
  <w:style w:type="character" w:styleId="24">
    <w:name w:val="HTML Definition"/>
    <w:basedOn w:val="20"/>
    <w:semiHidden/>
    <w:unhideWhenUsed/>
    <w:qFormat/>
    <w:uiPriority w:val="99"/>
    <w:rPr>
      <w:i/>
    </w:rPr>
  </w:style>
  <w:style w:type="character" w:styleId="25">
    <w:name w:val="Hyperlink"/>
    <w:basedOn w:val="20"/>
    <w:semiHidden/>
    <w:unhideWhenUsed/>
    <w:qFormat/>
    <w:uiPriority w:val="99"/>
    <w:rPr>
      <w:color w:val="0000FF"/>
      <w:u w:val="single"/>
    </w:rPr>
  </w:style>
  <w:style w:type="character" w:styleId="26">
    <w:name w:val="HTML Code"/>
    <w:basedOn w:val="20"/>
    <w:semiHidden/>
    <w:unhideWhenUsed/>
    <w:qFormat/>
    <w:uiPriority w:val="99"/>
    <w:rPr>
      <w:rFonts w:ascii="Consolas" w:hAnsi="Consolas" w:eastAsia="Consolas" w:cs="Consolas"/>
      <w:color w:val="C7254E"/>
      <w:sz w:val="21"/>
      <w:szCs w:val="21"/>
      <w:shd w:val="clear" w:fill="F9F2F4"/>
    </w:rPr>
  </w:style>
  <w:style w:type="character" w:styleId="27">
    <w:name w:val="HTML Keyboard"/>
    <w:basedOn w:val="20"/>
    <w:semiHidden/>
    <w:unhideWhenUsed/>
    <w:qFormat/>
    <w:uiPriority w:val="99"/>
    <w:rPr>
      <w:rFonts w:hint="default" w:ascii="Consolas" w:hAnsi="Consolas" w:eastAsia="Consolas" w:cs="Consolas"/>
      <w:color w:val="FFFFFF"/>
      <w:sz w:val="21"/>
      <w:szCs w:val="21"/>
      <w:shd w:val="clear" w:fill="333333"/>
    </w:rPr>
  </w:style>
  <w:style w:type="character" w:styleId="28">
    <w:name w:val="HTML Sample"/>
    <w:basedOn w:val="20"/>
    <w:semiHidden/>
    <w:unhideWhenUsed/>
    <w:qFormat/>
    <w:uiPriority w:val="99"/>
    <w:rPr>
      <w:rFonts w:hint="default" w:ascii="Consolas" w:hAnsi="Consolas" w:eastAsia="Consolas" w:cs="Consolas"/>
      <w:sz w:val="21"/>
      <w:szCs w:val="21"/>
    </w:rPr>
  </w:style>
  <w:style w:type="paragraph" w:customStyle="1" w:styleId="29">
    <w:name w:val="p0"/>
    <w:basedOn w:val="1"/>
    <w:link w:val="33"/>
    <w:qFormat/>
    <w:uiPriority w:val="0"/>
    <w:pPr>
      <w:widowControl/>
    </w:pPr>
    <w:rPr>
      <w:rFonts w:ascii="Calibri" w:hAnsi="Calibri" w:eastAsia="宋体" w:cs="Times New Roman"/>
      <w:kern w:val="0"/>
      <w:szCs w:val="21"/>
    </w:rPr>
  </w:style>
  <w:style w:type="character" w:customStyle="1" w:styleId="30">
    <w:name w:val="标题 1 字符"/>
    <w:basedOn w:val="20"/>
    <w:link w:val="3"/>
    <w:qFormat/>
    <w:uiPriority w:val="9"/>
    <w:rPr>
      <w:rFonts w:eastAsia="Microsoft YaHei UI" w:asciiTheme="majorHAnsi" w:hAnsiTheme="majorHAnsi" w:cstheme="majorBidi"/>
      <w:color w:val="4472C4" w:themeColor="accent1"/>
      <w:kern w:val="0"/>
      <w:sz w:val="36"/>
      <w:szCs w:val="36"/>
      <w:lang w:eastAsia="ja-JP"/>
      <w14:textFill>
        <w14:solidFill>
          <w14:schemeClr w14:val="accent1"/>
        </w14:solidFill>
      </w14:textFill>
    </w:rPr>
  </w:style>
  <w:style w:type="character" w:customStyle="1" w:styleId="31">
    <w:name w:val="标题 2 字符"/>
    <w:basedOn w:val="20"/>
    <w:link w:val="4"/>
    <w:qFormat/>
    <w:uiPriority w:val="9"/>
    <w:rPr>
      <w:rFonts w:ascii="Microsoft YaHei UI" w:hAnsi="Microsoft YaHei UI" w:eastAsia="Microsoft YaHei UI" w:cs="Microsoft YaHei UI"/>
      <w:kern w:val="0"/>
      <w:sz w:val="44"/>
      <w:szCs w:val="44"/>
      <w:lang w:val="zh-CN" w:bidi="zh-CN"/>
    </w:rPr>
  </w:style>
  <w:style w:type="character" w:customStyle="1" w:styleId="32">
    <w:name w:val="日期 字符"/>
    <w:basedOn w:val="20"/>
    <w:link w:val="10"/>
    <w:semiHidden/>
    <w:qFormat/>
    <w:uiPriority w:val="99"/>
  </w:style>
  <w:style w:type="character" w:customStyle="1" w:styleId="33">
    <w:name w:val="p0 Char"/>
    <w:basedOn w:val="20"/>
    <w:link w:val="29"/>
    <w:qFormat/>
    <w:uiPriority w:val="0"/>
    <w:rPr>
      <w:rFonts w:ascii="Calibri" w:hAnsi="Calibri" w:eastAsia="宋体" w:cs="Times New Roman"/>
      <w:kern w:val="0"/>
      <w:szCs w:val="21"/>
    </w:rPr>
  </w:style>
  <w:style w:type="character" w:customStyle="1" w:styleId="34">
    <w:name w:val="页眉 字符"/>
    <w:basedOn w:val="20"/>
    <w:link w:val="13"/>
    <w:qFormat/>
    <w:uiPriority w:val="99"/>
    <w:rPr>
      <w:sz w:val="18"/>
      <w:szCs w:val="18"/>
    </w:rPr>
  </w:style>
  <w:style w:type="character" w:customStyle="1" w:styleId="35">
    <w:name w:val="页脚 字符"/>
    <w:basedOn w:val="20"/>
    <w:link w:val="12"/>
    <w:qFormat/>
    <w:uiPriority w:val="99"/>
    <w:rPr>
      <w:sz w:val="18"/>
      <w:szCs w:val="18"/>
    </w:rPr>
  </w:style>
  <w:style w:type="character" w:customStyle="1" w:styleId="36">
    <w:name w:val="批注框文本 字符"/>
    <w:basedOn w:val="20"/>
    <w:link w:val="11"/>
    <w:semiHidden/>
    <w:qFormat/>
    <w:uiPriority w:val="99"/>
    <w:rPr>
      <w:sz w:val="18"/>
      <w:szCs w:val="18"/>
    </w:rPr>
  </w:style>
  <w:style w:type="character" w:customStyle="1" w:styleId="37">
    <w:name w:val="标题 1 Char"/>
    <w:basedOn w:val="20"/>
    <w:link w:val="3"/>
    <w:qFormat/>
    <w:uiPriority w:val="9"/>
    <w:rPr>
      <w:rFonts w:eastAsia="黑体"/>
      <w:b/>
      <w:bCs/>
      <w:kern w:val="44"/>
      <w:sz w:val="32"/>
      <w:szCs w:val="44"/>
    </w:rPr>
  </w:style>
  <w:style w:type="character" w:customStyle="1" w:styleId="38">
    <w:name w:val="标题 3 Char"/>
    <w:link w:val="5"/>
    <w:qFormat/>
    <w:uiPriority w:val="9"/>
    <w:rPr>
      <w:b/>
      <w:sz w:val="32"/>
    </w:rPr>
  </w:style>
  <w:style w:type="paragraph" w:customStyle="1" w:styleId="39">
    <w:name w:val="WPSOffice手动目录 1"/>
    <w:qFormat/>
    <w:uiPriority w:val="0"/>
    <w:pPr>
      <w:ind w:leftChars="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character" w:customStyle="1" w:styleId="42">
    <w:name w:val="last-child1"/>
    <w:basedOn w:val="20"/>
    <w:qFormat/>
    <w:uiPriority w:val="0"/>
  </w:style>
  <w:style w:type="character" w:customStyle="1" w:styleId="43">
    <w:name w:val="hover9"/>
    <w:basedOn w:val="20"/>
    <w:qFormat/>
    <w:uiPriority w:val="0"/>
  </w:style>
  <w:style w:type="character" w:customStyle="1" w:styleId="44">
    <w:name w:val="hover10"/>
    <w:basedOn w:val="20"/>
    <w:qFormat/>
    <w:uiPriority w:val="0"/>
  </w:style>
  <w:style w:type="character" w:customStyle="1" w:styleId="45">
    <w:name w:val="layui-laypage-curr"/>
    <w:basedOn w:val="20"/>
    <w:qFormat/>
    <w:uiPriority w:val="0"/>
  </w:style>
  <w:style w:type="character" w:customStyle="1" w:styleId="46">
    <w:name w:val="layui-this2"/>
    <w:basedOn w:val="20"/>
    <w:qFormat/>
    <w:uiPriority w:val="0"/>
    <w:rPr>
      <w:bdr w:val="single" w:color="EEEEEE" w:sz="6" w:space="0"/>
      <w:shd w:val="clear" w:fill="FFFFFF"/>
    </w:rPr>
  </w:style>
  <w:style w:type="character" w:customStyle="1" w:styleId="47">
    <w:name w:val="first-child"/>
    <w:basedOn w:val="20"/>
    <w:qFormat/>
    <w:uiPriority w:val="0"/>
  </w:style>
  <w:style w:type="character" w:customStyle="1" w:styleId="48">
    <w:name w:val="bsharetext"/>
    <w:basedOn w:val="20"/>
    <w:qFormat/>
    <w:uiPriority w:val="0"/>
  </w:style>
  <w:style w:type="character" w:customStyle="1" w:styleId="49">
    <w:name w:val="one"/>
    <w:basedOn w:val="20"/>
    <w:qFormat/>
    <w:uiPriority w:val="0"/>
    <w:rPr>
      <w:color w:val="003366"/>
    </w:rPr>
  </w:style>
  <w:style w:type="character" w:customStyle="1" w:styleId="50">
    <w:name w:val="icon_video"/>
    <w:basedOn w:val="20"/>
    <w:qFormat/>
    <w:uiPriority w:val="0"/>
  </w:style>
  <w:style w:type="character" w:customStyle="1" w:styleId="51">
    <w:name w:val="font01"/>
    <w:basedOn w:val="2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1108</Words>
  <Characters>6316</Characters>
  <Lines>52</Lines>
  <Paragraphs>14</Paragraphs>
  <TotalTime>2</TotalTime>
  <ScaleCrop>false</ScaleCrop>
  <LinksUpToDate>false</LinksUpToDate>
  <CharactersWithSpaces>7410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2020-06-19T10:08:00Z</dcterms:created>
  <dc:creator>8617661063581</dc:creator>
  <cp:lastModifiedBy>zzw</cp:lastModifiedBy>
  <dcterms:modified xsi:type="dcterms:W3CDTF">2020-10-25T08:56:55Z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