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ind w:firstLine="0" w:firstLineChars="0"/>
        <w:rPr>
          <w:rFonts w:ascii="文星简黑体" w:hAnsi="黑体" w:eastAsia="文星简黑体"/>
          <w:sz w:val="52"/>
          <w:szCs w:val="52"/>
        </w:rPr>
      </w:pPr>
    </w:p>
    <w:p>
      <w:pPr>
        <w:pStyle w:val="22"/>
        <w:ind w:firstLine="1040"/>
        <w:rPr>
          <w:rFonts w:ascii="文星简黑体" w:hAnsi="黑体" w:eastAsia="文星简黑体"/>
          <w:sz w:val="52"/>
          <w:szCs w:val="52"/>
        </w:rPr>
      </w:pPr>
    </w:p>
    <w:p>
      <w:pPr>
        <w:spacing w:line="580" w:lineRule="exact"/>
        <w:jc w:val="center"/>
        <w:rPr>
          <w:rFonts w:ascii="文星简黑体" w:hAnsi="黑体" w:eastAsia="文星简黑体" w:cs="文星简黑体"/>
          <w:sz w:val="44"/>
          <w:szCs w:val="44"/>
        </w:rPr>
      </w:pPr>
      <w:r>
        <w:rPr>
          <w:rFonts w:hint="eastAsia" w:ascii="文星简黑体" w:eastAsia="文星简黑体" w:cs="文星简黑体"/>
          <w:sz w:val="44"/>
          <w:szCs w:val="44"/>
        </w:rPr>
        <w:t>2018年度山亭区贫困村饮用水源地保护提升</w:t>
      </w:r>
      <w:r>
        <w:rPr>
          <w:rFonts w:hint="eastAsia" w:ascii="文星简黑体" w:eastAsia="文星简黑体" w:cs="文星简黑体"/>
          <w:sz w:val="44"/>
          <w:szCs w:val="44"/>
          <w:lang w:val="en-US" w:eastAsia="zh-CN"/>
        </w:rPr>
        <w:t>工程</w:t>
      </w:r>
      <w:r>
        <w:rPr>
          <w:rFonts w:ascii="文星简黑体" w:eastAsia="文星简黑体" w:cs="文星简黑体"/>
          <w:sz w:val="44"/>
          <w:szCs w:val="44"/>
        </w:rPr>
        <w:t>项目</w:t>
      </w:r>
      <w:r>
        <w:rPr>
          <w:rFonts w:ascii="文星简黑体" w:hAnsi="黑体" w:eastAsia="文星简黑体" w:cs="文星简黑体"/>
          <w:sz w:val="44"/>
          <w:szCs w:val="44"/>
        </w:rPr>
        <w:t>绩效评价报告</w:t>
      </w:r>
    </w:p>
    <w:p>
      <w:pPr>
        <w:spacing w:line="580" w:lineRule="exact"/>
        <w:jc w:val="center"/>
        <w:rPr>
          <w:rFonts w:ascii="文星简黑体" w:eastAsia="文星简黑体"/>
          <w:sz w:val="52"/>
          <w:szCs w:val="52"/>
        </w:rPr>
      </w:pPr>
    </w:p>
    <w:p>
      <w:pPr>
        <w:spacing w:line="580" w:lineRule="exact"/>
        <w:rPr>
          <w:rFonts w:ascii="文星简黑体" w:eastAsia="文星简黑体"/>
          <w:sz w:val="52"/>
          <w:szCs w:val="52"/>
        </w:rPr>
      </w:pPr>
    </w:p>
    <w:p>
      <w:pPr>
        <w:pStyle w:val="26"/>
        <w:adjustRightInd w:val="0"/>
        <w:snapToGrid w:val="0"/>
        <w:spacing w:line="580" w:lineRule="exact"/>
        <w:rPr>
          <w:rFonts w:ascii="仿宋_GB2312" w:eastAsia="仿宋_GB2312"/>
          <w:sz w:val="32"/>
          <w:szCs w:val="32"/>
        </w:rPr>
      </w:pPr>
    </w:p>
    <w:p>
      <w:pPr>
        <w:pStyle w:val="26"/>
        <w:adjustRightInd w:val="0"/>
        <w:snapToGrid w:val="0"/>
        <w:spacing w:line="580" w:lineRule="exact"/>
        <w:ind w:firstLine="640" w:firstLineChars="200"/>
        <w:rPr>
          <w:rFonts w:ascii="仿宋_GB2312" w:eastAsia="仿宋_GB2312"/>
          <w:sz w:val="32"/>
          <w:szCs w:val="32"/>
        </w:rPr>
      </w:pPr>
    </w:p>
    <w:p>
      <w:pPr>
        <w:pStyle w:val="26"/>
        <w:adjustRightInd w:val="0"/>
        <w:snapToGrid w:val="0"/>
        <w:spacing w:line="580" w:lineRule="exact"/>
        <w:rPr>
          <w:rFonts w:ascii="仿宋_GB2312" w:eastAsia="仿宋_GB2312"/>
          <w:sz w:val="32"/>
          <w:szCs w:val="32"/>
        </w:rPr>
      </w:pPr>
    </w:p>
    <w:p>
      <w:pPr>
        <w:spacing w:before="120" w:after="120" w:line="580" w:lineRule="exact"/>
        <w:ind w:firstLine="640" w:firstLineChars="200"/>
        <w:rPr>
          <w:rFonts w:ascii="文星简黑体" w:eastAsia="文星简黑体" w:cs="文星简黑体"/>
          <w:sz w:val="32"/>
          <w:szCs w:val="32"/>
        </w:rPr>
      </w:pPr>
      <w:r>
        <w:rPr>
          <w:rFonts w:ascii="文星简黑体" w:eastAsia="文星简黑体" w:cs="文星简黑体"/>
          <w:sz w:val="32"/>
          <w:szCs w:val="32"/>
        </w:rPr>
        <w:t>委托单位：枣庄市</w:t>
      </w:r>
      <w:r>
        <w:rPr>
          <w:rFonts w:hint="eastAsia" w:ascii="文星简黑体" w:eastAsia="文星简黑体" w:cs="文星简黑体"/>
          <w:sz w:val="32"/>
          <w:szCs w:val="32"/>
          <w:lang w:val="en-US" w:eastAsia="zh-CN"/>
        </w:rPr>
        <w:t>山亭区</w:t>
      </w:r>
      <w:r>
        <w:rPr>
          <w:rFonts w:ascii="文星简黑体" w:eastAsia="文星简黑体" w:cs="文星简黑体"/>
          <w:sz w:val="32"/>
          <w:szCs w:val="32"/>
        </w:rPr>
        <w:t>财政局</w:t>
      </w:r>
    </w:p>
    <w:p>
      <w:pPr>
        <w:spacing w:before="120" w:after="120" w:line="580" w:lineRule="exact"/>
        <w:ind w:firstLine="640" w:firstLineChars="200"/>
        <w:rPr>
          <w:rFonts w:hint="eastAsia" w:ascii="文星简黑体" w:eastAsia="文星简黑体" w:cs="文星简黑体"/>
          <w:sz w:val="32"/>
          <w:szCs w:val="32"/>
          <w:lang w:val="en-US" w:eastAsia="zh-CN"/>
        </w:rPr>
      </w:pPr>
      <w:r>
        <w:rPr>
          <w:rFonts w:ascii="文星简黑体" w:eastAsia="文星简黑体" w:cs="文星简黑体"/>
          <w:sz w:val="32"/>
          <w:szCs w:val="32"/>
        </w:rPr>
        <w:t>项目主管部门：枣庄</w:t>
      </w:r>
      <w:r>
        <w:rPr>
          <w:rFonts w:hint="eastAsia" w:ascii="文星简黑体" w:eastAsia="文星简黑体" w:cs="文星简黑体"/>
          <w:sz w:val="32"/>
          <w:szCs w:val="32"/>
          <w:lang w:val="en-US" w:eastAsia="zh-CN"/>
        </w:rPr>
        <w:t>市生态环境局山亭分局</w:t>
      </w:r>
    </w:p>
    <w:p>
      <w:pPr>
        <w:spacing w:before="120" w:after="120" w:line="580" w:lineRule="exact"/>
        <w:ind w:firstLine="640" w:firstLineChars="200"/>
        <w:rPr>
          <w:rFonts w:hint="default" w:ascii="文星简黑体" w:eastAsia="文星简黑体"/>
          <w:sz w:val="28"/>
          <w:szCs w:val="28"/>
          <w:lang w:val="en-US" w:eastAsia="zh-CN"/>
        </w:rPr>
      </w:pPr>
      <w:r>
        <w:rPr>
          <w:rFonts w:ascii="文星简黑体" w:eastAsia="文星简黑体" w:cs="文星简黑体"/>
          <w:sz w:val="32"/>
          <w:szCs w:val="32"/>
        </w:rPr>
        <w:t>评价机构：</w:t>
      </w:r>
      <w:r>
        <w:rPr>
          <w:rFonts w:hint="eastAsia" w:ascii="文星简黑体" w:eastAsia="文星简黑体" w:cs="文星简黑体"/>
          <w:sz w:val="32"/>
          <w:szCs w:val="32"/>
          <w:lang w:val="en-US" w:eastAsia="zh-CN"/>
        </w:rPr>
        <w:t>中景瑞晟（北京）管理咨询有限公司</w:t>
      </w:r>
    </w:p>
    <w:p>
      <w:pPr>
        <w:pStyle w:val="7"/>
        <w:rPr>
          <w:lang w:val="en-US"/>
        </w:rPr>
      </w:pPr>
    </w:p>
    <w:p>
      <w:pPr>
        <w:spacing w:before="120" w:after="120" w:line="580" w:lineRule="exact"/>
        <w:rPr>
          <w:rFonts w:ascii="文星简黑体" w:eastAsia="文星简黑体"/>
          <w:sz w:val="28"/>
          <w:szCs w:val="28"/>
        </w:rPr>
      </w:pPr>
    </w:p>
    <w:p>
      <w:pPr>
        <w:spacing w:before="120" w:after="120" w:line="580" w:lineRule="exact"/>
        <w:jc w:val="center"/>
        <w:rPr>
          <w:rFonts w:ascii="文星简黑体" w:eastAsia="文星简黑体" w:cs="文星简黑体"/>
          <w:sz w:val="32"/>
          <w:szCs w:val="32"/>
        </w:rPr>
      </w:pPr>
    </w:p>
    <w:p>
      <w:pPr>
        <w:spacing w:before="120" w:after="120" w:line="580" w:lineRule="exact"/>
        <w:jc w:val="center"/>
        <w:rPr>
          <w:rFonts w:ascii="文星简黑体" w:eastAsia="文星简黑体"/>
          <w:sz w:val="32"/>
          <w:szCs w:val="32"/>
        </w:rPr>
      </w:pPr>
      <w:r>
        <w:rPr>
          <w:rFonts w:ascii="文星简黑体" w:eastAsia="文星简黑体" w:cs="文星简黑体"/>
          <w:sz w:val="32"/>
          <w:szCs w:val="32"/>
        </w:rPr>
        <w:t>20</w:t>
      </w:r>
      <w:r>
        <w:rPr>
          <w:rFonts w:ascii="文星简黑体" w:hAnsi="黑体" w:eastAsia="文星简黑体" w:cs="文星简黑体"/>
          <w:sz w:val="32"/>
          <w:szCs w:val="32"/>
        </w:rPr>
        <w:t>20</w:t>
      </w:r>
      <w:r>
        <w:rPr>
          <w:rFonts w:ascii="文星简黑体" w:eastAsia="文星简黑体" w:cs="文星简黑体"/>
          <w:sz w:val="32"/>
          <w:szCs w:val="32"/>
        </w:rPr>
        <w:t>年</w:t>
      </w:r>
      <w:r>
        <w:rPr>
          <w:rFonts w:hint="eastAsia" w:ascii="文星简黑体" w:eastAsia="文星简黑体" w:cs="文星简黑体"/>
          <w:sz w:val="32"/>
          <w:szCs w:val="32"/>
          <w:lang w:val="en-US" w:eastAsia="zh-CN"/>
        </w:rPr>
        <w:t>10</w:t>
      </w:r>
      <w:r>
        <w:rPr>
          <w:rFonts w:ascii="文星简黑体" w:eastAsia="文星简黑体" w:cs="文星简黑体"/>
          <w:sz w:val="32"/>
          <w:szCs w:val="32"/>
        </w:rPr>
        <w:t>月</w:t>
      </w:r>
    </w:p>
    <w:p>
      <w:pPr>
        <w:spacing w:line="580" w:lineRule="exact"/>
        <w:rPr>
          <w:rFonts w:eastAsia="仿宋_GB2312"/>
        </w:rPr>
      </w:pPr>
      <w:r>
        <w:rPr>
          <w:rFonts w:eastAsia="仿宋_GB2312"/>
        </w:rPr>
        <w:br w:type="page"/>
      </w:r>
    </w:p>
    <w:sdt>
      <w:sdtPr>
        <w:rPr>
          <w:rFonts w:ascii="宋体" w:hAnsi="宋体" w:eastAsia="宋体" w:cs="Times New Roman"/>
          <w:b/>
          <w:bCs/>
          <w:sz w:val="21"/>
          <w:szCs w:val="21"/>
          <w:lang w:val="en-US" w:eastAsia="zh-CN" w:bidi="ar-SA"/>
        </w:rPr>
        <w:id w:val="147481067"/>
        <w15:color w:val="DBDBDB"/>
        <w:docPartObj>
          <w:docPartGallery w:val="Table of Contents"/>
          <w:docPartUnique/>
        </w:docPartObj>
      </w:sdtPr>
      <w:sdtEndPr>
        <w:rPr>
          <w:rFonts w:ascii="Times New Roman" w:hAnsi="Times New Roman" w:eastAsia="宋体" w:cs="Times New Roman"/>
          <w:b w:val="0"/>
          <w:bCs w:val="0"/>
          <w:sz w:val="21"/>
          <w:szCs w:val="21"/>
          <w:lang w:val="en-US" w:eastAsia="zh-CN" w:bidi="ar-SA"/>
        </w:rPr>
      </w:sdtEndPr>
      <w:sdtContent>
        <w:p>
          <w:pPr>
            <w:spacing w:before="0" w:beforeLines="0" w:after="0" w:afterLines="0" w:line="240" w:lineRule="auto"/>
            <w:ind w:left="0" w:leftChars="0" w:right="0" w:rightChars="0" w:firstLine="0" w:firstLineChars="0"/>
            <w:jc w:val="center"/>
            <w:rPr>
              <w:b/>
              <w:bCs/>
            </w:rPr>
          </w:pPr>
          <w:r>
            <w:rPr>
              <w:rFonts w:hint="eastAsia" w:asciiTheme="minorEastAsia" w:hAnsiTheme="minorEastAsia" w:eastAsiaTheme="minorEastAsia" w:cstheme="minorEastAsia"/>
              <w:b/>
              <w:bCs/>
              <w:sz w:val="44"/>
              <w:szCs w:val="44"/>
            </w:rPr>
            <w:t>目录</w:t>
          </w:r>
        </w:p>
        <w:p>
          <w:pPr>
            <w:pStyle w:val="34"/>
            <w:tabs>
              <w:tab w:val="right" w:leader="dot" w:pos="8958"/>
            </w:tabs>
            <w:rPr>
              <w:rFonts w:hint="eastAsia" w:asciiTheme="minorEastAsia" w:hAnsiTheme="minorEastAsia" w:eastAsiaTheme="minorEastAsia" w:cstheme="minorEastAsia"/>
              <w:b w:val="0"/>
              <w:bCs w:val="0"/>
              <w:sz w:val="30"/>
              <w:szCs w:val="30"/>
            </w:rPr>
          </w:pPr>
          <w:r>
            <w:rPr>
              <w:rFonts w:hint="eastAsia" w:asciiTheme="minorEastAsia" w:hAnsiTheme="minorEastAsia" w:eastAsiaTheme="minorEastAsia" w:cstheme="minorEastAsia"/>
              <w:b w:val="0"/>
              <w:bCs w:val="0"/>
              <w:sz w:val="30"/>
              <w:szCs w:val="30"/>
            </w:rPr>
            <w:fldChar w:fldCharType="begin"/>
          </w:r>
          <w:r>
            <w:rPr>
              <w:rFonts w:hint="eastAsia" w:asciiTheme="minorEastAsia" w:hAnsiTheme="minorEastAsia" w:eastAsiaTheme="minorEastAsia" w:cstheme="minorEastAsia"/>
              <w:b w:val="0"/>
              <w:bCs w:val="0"/>
              <w:sz w:val="30"/>
              <w:szCs w:val="30"/>
            </w:rPr>
            <w:instrText xml:space="preserve">TOC \o "1-2" \h \u </w:instrText>
          </w:r>
          <w:r>
            <w:rPr>
              <w:rFonts w:hint="eastAsia" w:asciiTheme="minorEastAsia" w:hAnsiTheme="minorEastAsia" w:eastAsiaTheme="minorEastAsia" w:cstheme="minorEastAsia"/>
              <w:b w:val="0"/>
              <w:bCs w:val="0"/>
              <w:sz w:val="30"/>
              <w:szCs w:val="30"/>
            </w:rPr>
            <w:fldChar w:fldCharType="separate"/>
          </w:r>
        </w:p>
        <w:p>
          <w:pPr>
            <w:pStyle w:val="34"/>
            <w:keepNext w:val="0"/>
            <w:keepLines w:val="0"/>
            <w:pageBreakBefore w:val="0"/>
            <w:widowControl/>
            <w:tabs>
              <w:tab w:val="right" w:leader="dot" w:pos="8958"/>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HYPERLINK \l _Toc18219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lang w:bidi="ar"/>
            </w:rPr>
            <w:t>一、 项目基本情况</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_Toc18219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1</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sz w:val="28"/>
              <w:szCs w:val="28"/>
            </w:rPr>
            <w:fldChar w:fldCharType="end"/>
          </w:r>
        </w:p>
        <w:p>
          <w:pPr>
            <w:pStyle w:val="35"/>
            <w:keepNext w:val="0"/>
            <w:keepLines w:val="0"/>
            <w:pageBreakBefore w:val="0"/>
            <w:widowControl/>
            <w:tabs>
              <w:tab w:val="right" w:leader="dot" w:pos="8958"/>
            </w:tabs>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HYPERLINK \l _Toc12434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lang w:bidi="ar"/>
            </w:rPr>
            <w:t>（一）项目立项</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_Toc12434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1</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sz w:val="28"/>
              <w:szCs w:val="28"/>
            </w:rPr>
            <w:fldChar w:fldCharType="end"/>
          </w:r>
        </w:p>
        <w:p>
          <w:pPr>
            <w:pStyle w:val="35"/>
            <w:keepNext w:val="0"/>
            <w:keepLines w:val="0"/>
            <w:pageBreakBefore w:val="0"/>
            <w:widowControl/>
            <w:tabs>
              <w:tab w:val="right" w:leader="dot" w:pos="8958"/>
            </w:tabs>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HYPERLINK \l _Toc30945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lang w:bidi="ar"/>
            </w:rPr>
            <w:t>（二）项目预算实施内容</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lang w:val="en-US" w:eastAsia="zh-CN"/>
            </w:rPr>
            <w:t>7</w:t>
          </w:r>
          <w:r>
            <w:rPr>
              <w:rFonts w:hint="eastAsia" w:asciiTheme="minorEastAsia" w:hAnsiTheme="minorEastAsia" w:eastAsiaTheme="minorEastAsia" w:cstheme="minorEastAsia"/>
              <w:b w:val="0"/>
              <w:bCs w:val="0"/>
              <w:sz w:val="28"/>
              <w:szCs w:val="28"/>
            </w:rPr>
            <w:fldChar w:fldCharType="end"/>
          </w:r>
        </w:p>
        <w:p>
          <w:pPr>
            <w:pStyle w:val="35"/>
            <w:keepNext w:val="0"/>
            <w:keepLines w:val="0"/>
            <w:pageBreakBefore w:val="0"/>
            <w:widowControl/>
            <w:tabs>
              <w:tab w:val="right" w:leader="dot" w:pos="8958"/>
            </w:tabs>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HYPERLINK \l _Toc24303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lang w:bidi="ar"/>
            </w:rPr>
            <w:t>（三）项目组织管理</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_Toc24303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2</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sz w:val="28"/>
              <w:szCs w:val="28"/>
            </w:rPr>
            <w:fldChar w:fldCharType="end"/>
          </w:r>
        </w:p>
        <w:p>
          <w:pPr>
            <w:pStyle w:val="34"/>
            <w:keepNext w:val="0"/>
            <w:keepLines w:val="0"/>
            <w:pageBreakBefore w:val="0"/>
            <w:widowControl/>
            <w:tabs>
              <w:tab w:val="right" w:leader="dot" w:pos="8958"/>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HYPERLINK \l _Toc6284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lang w:bidi="ar"/>
            </w:rPr>
            <w:t>二、项目绩效目标</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_Toc6284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2</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sz w:val="28"/>
              <w:szCs w:val="28"/>
            </w:rPr>
            <w:fldChar w:fldCharType="end"/>
          </w:r>
        </w:p>
        <w:p>
          <w:pPr>
            <w:pStyle w:val="35"/>
            <w:keepNext w:val="0"/>
            <w:keepLines w:val="0"/>
            <w:pageBreakBefore w:val="0"/>
            <w:widowControl/>
            <w:tabs>
              <w:tab w:val="right" w:leader="dot" w:pos="8958"/>
            </w:tabs>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HYPERLINK \l _Toc9618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lang w:bidi="ar"/>
            </w:rPr>
            <w:t>（一）总体目标</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_Toc9618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2</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sz w:val="28"/>
              <w:szCs w:val="28"/>
            </w:rPr>
            <w:fldChar w:fldCharType="end"/>
          </w:r>
        </w:p>
        <w:p>
          <w:pPr>
            <w:pStyle w:val="35"/>
            <w:keepNext w:val="0"/>
            <w:keepLines w:val="0"/>
            <w:pageBreakBefore w:val="0"/>
            <w:widowControl/>
            <w:tabs>
              <w:tab w:val="right" w:leader="dot" w:pos="8958"/>
            </w:tabs>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HYPERLINK \l _Toc5578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lang w:bidi="ar"/>
            </w:rPr>
            <w:t>（二）年度目标</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_Toc5578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2</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sz w:val="28"/>
              <w:szCs w:val="28"/>
            </w:rPr>
            <w:fldChar w:fldCharType="end"/>
          </w:r>
        </w:p>
        <w:p>
          <w:pPr>
            <w:pStyle w:val="34"/>
            <w:keepNext w:val="0"/>
            <w:keepLines w:val="0"/>
            <w:pageBreakBefore w:val="0"/>
            <w:widowControl/>
            <w:tabs>
              <w:tab w:val="right" w:leader="dot" w:pos="8958"/>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HYPERLINK \l _Toc8418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lang w:val="en-US" w:eastAsia="zh-CN"/>
            </w:rPr>
            <w:t>三</w:t>
          </w:r>
          <w:r>
            <w:rPr>
              <w:rFonts w:hint="eastAsia" w:asciiTheme="minorEastAsia" w:hAnsiTheme="minorEastAsia" w:eastAsiaTheme="minorEastAsia" w:cstheme="minorEastAsia"/>
              <w:b w:val="0"/>
              <w:bCs w:val="0"/>
              <w:sz w:val="28"/>
              <w:szCs w:val="28"/>
              <w:lang w:val="en-US" w:bidi="ar"/>
            </w:rPr>
            <w:t>、绩效评价情况</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lang w:val="en-US" w:eastAsia="zh-CN"/>
            </w:rPr>
            <w:t>9</w:t>
          </w:r>
          <w:r>
            <w:rPr>
              <w:rFonts w:hint="eastAsia" w:asciiTheme="minorEastAsia" w:hAnsiTheme="minorEastAsia" w:eastAsiaTheme="minorEastAsia" w:cstheme="minorEastAsia"/>
              <w:b w:val="0"/>
              <w:bCs w:val="0"/>
              <w:sz w:val="28"/>
              <w:szCs w:val="28"/>
            </w:rPr>
            <w:fldChar w:fldCharType="end"/>
          </w:r>
        </w:p>
        <w:p>
          <w:pPr>
            <w:pStyle w:val="35"/>
            <w:keepNext w:val="0"/>
            <w:keepLines w:val="0"/>
            <w:pageBreakBefore w:val="0"/>
            <w:widowControl/>
            <w:tabs>
              <w:tab w:val="right" w:leader="dot" w:pos="8958"/>
            </w:tabs>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HYPERLINK \l _Toc9505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lang w:val="en-US" w:bidi="ar"/>
            </w:rPr>
            <w:t>（一）评价目的</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lang w:val="en-US" w:eastAsia="zh-CN"/>
            </w:rPr>
            <w:t>9</w:t>
          </w:r>
          <w:r>
            <w:rPr>
              <w:rFonts w:hint="eastAsia" w:asciiTheme="minorEastAsia" w:hAnsiTheme="minorEastAsia" w:eastAsiaTheme="minorEastAsia" w:cstheme="minorEastAsia"/>
              <w:b w:val="0"/>
              <w:bCs w:val="0"/>
              <w:sz w:val="28"/>
              <w:szCs w:val="28"/>
            </w:rPr>
            <w:fldChar w:fldCharType="end"/>
          </w:r>
        </w:p>
        <w:p>
          <w:pPr>
            <w:pStyle w:val="35"/>
            <w:keepNext w:val="0"/>
            <w:keepLines w:val="0"/>
            <w:pageBreakBefore w:val="0"/>
            <w:widowControl/>
            <w:tabs>
              <w:tab w:val="right" w:leader="dot" w:pos="8958"/>
            </w:tabs>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HYPERLINK \l _Toc4956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lang w:val="en-US" w:bidi="ar"/>
            </w:rPr>
            <w:t>（二）评价依据</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_Toc4956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4</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sz w:val="28"/>
              <w:szCs w:val="28"/>
            </w:rPr>
            <w:fldChar w:fldCharType="end"/>
          </w:r>
        </w:p>
        <w:p>
          <w:pPr>
            <w:pStyle w:val="35"/>
            <w:keepNext w:val="0"/>
            <w:keepLines w:val="0"/>
            <w:pageBreakBefore w:val="0"/>
            <w:widowControl/>
            <w:tabs>
              <w:tab w:val="right" w:leader="dot" w:pos="8958"/>
            </w:tabs>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HYPERLINK \l _Toc5558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lang w:val="en-US" w:bidi="ar"/>
            </w:rPr>
            <w:t>（三）评价对象与范围</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_Toc5558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5</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sz w:val="28"/>
              <w:szCs w:val="28"/>
            </w:rPr>
            <w:fldChar w:fldCharType="end"/>
          </w:r>
        </w:p>
        <w:p>
          <w:pPr>
            <w:pStyle w:val="35"/>
            <w:keepNext w:val="0"/>
            <w:keepLines w:val="0"/>
            <w:pageBreakBefore w:val="0"/>
            <w:widowControl/>
            <w:tabs>
              <w:tab w:val="right" w:leader="dot" w:pos="8958"/>
            </w:tabs>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HYPERLINK \l _Toc11701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lang w:bidi="ar"/>
            </w:rPr>
            <w:t>（四）评价原则与方法</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_Toc11701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5</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sz w:val="28"/>
              <w:szCs w:val="28"/>
            </w:rPr>
            <w:fldChar w:fldCharType="end"/>
          </w:r>
        </w:p>
        <w:p>
          <w:pPr>
            <w:pStyle w:val="35"/>
            <w:keepNext w:val="0"/>
            <w:keepLines w:val="0"/>
            <w:pageBreakBefore w:val="0"/>
            <w:widowControl/>
            <w:tabs>
              <w:tab w:val="right" w:leader="dot" w:pos="8958"/>
            </w:tabs>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HYPERLINK \l _Toc13825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lang w:bidi="ar"/>
            </w:rPr>
            <w:t>（五）绩效评价指标体系</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lang w:val="en-US" w:eastAsia="zh-CN"/>
            </w:rPr>
            <w:t>1</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sz w:val="28"/>
              <w:szCs w:val="28"/>
              <w:lang w:val="en-US" w:eastAsia="zh-CN"/>
            </w:rPr>
            <w:t>2</w:t>
          </w:r>
        </w:p>
        <w:p>
          <w:pPr>
            <w:pStyle w:val="35"/>
            <w:keepNext w:val="0"/>
            <w:keepLines w:val="0"/>
            <w:pageBreakBefore w:val="0"/>
            <w:widowControl/>
            <w:tabs>
              <w:tab w:val="right" w:leader="dot" w:pos="8958"/>
            </w:tabs>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HYPERLINK \l _Toc25582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lang w:bidi="ar"/>
            </w:rPr>
            <w:t>（六）评价人员组成</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_Toc25582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7</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sz w:val="28"/>
              <w:szCs w:val="28"/>
            </w:rPr>
            <w:fldChar w:fldCharType="end"/>
          </w:r>
        </w:p>
        <w:p>
          <w:pPr>
            <w:pStyle w:val="35"/>
            <w:keepNext w:val="0"/>
            <w:keepLines w:val="0"/>
            <w:pageBreakBefore w:val="0"/>
            <w:widowControl/>
            <w:tabs>
              <w:tab w:val="right" w:leader="dot" w:pos="8958"/>
            </w:tabs>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HYPERLINK \l _Toc7843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lang w:bidi="ar"/>
            </w:rPr>
            <w:t>（七）绩效评价工作过程</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_Toc7843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8</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sz w:val="28"/>
              <w:szCs w:val="28"/>
            </w:rPr>
            <w:fldChar w:fldCharType="end"/>
          </w:r>
        </w:p>
        <w:p>
          <w:pPr>
            <w:pStyle w:val="34"/>
            <w:keepNext w:val="0"/>
            <w:keepLines w:val="0"/>
            <w:pageBreakBefore w:val="0"/>
            <w:widowControl/>
            <w:tabs>
              <w:tab w:val="right" w:leader="dot" w:pos="8958"/>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HYPERLINK \l _Toc2666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lang w:val="en-US" w:bidi="ar"/>
            </w:rPr>
            <w:t>四、评价结论及分析</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_Toc2666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9</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sz w:val="28"/>
              <w:szCs w:val="28"/>
            </w:rPr>
            <w:fldChar w:fldCharType="end"/>
          </w:r>
        </w:p>
        <w:p>
          <w:pPr>
            <w:pStyle w:val="35"/>
            <w:keepNext w:val="0"/>
            <w:keepLines w:val="0"/>
            <w:pageBreakBefore w:val="0"/>
            <w:widowControl/>
            <w:tabs>
              <w:tab w:val="right" w:leader="dot" w:pos="8958"/>
            </w:tabs>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HYPERLINK \l _Toc5667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lang w:bidi="ar"/>
            </w:rPr>
            <w:t>（一）综合评价结论</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_Toc5667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9</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sz w:val="28"/>
              <w:szCs w:val="28"/>
            </w:rPr>
            <w:fldChar w:fldCharType="end"/>
          </w:r>
        </w:p>
        <w:p>
          <w:pPr>
            <w:pStyle w:val="35"/>
            <w:keepNext w:val="0"/>
            <w:keepLines w:val="0"/>
            <w:pageBreakBefore w:val="0"/>
            <w:widowControl/>
            <w:tabs>
              <w:tab w:val="right" w:leader="dot" w:pos="8958"/>
            </w:tabs>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HYPERLINK \l _Toc8018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lang w:bidi="ar"/>
            </w:rPr>
            <w:t>（二）各指标得分情况</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_Toc8018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10</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sz w:val="28"/>
              <w:szCs w:val="28"/>
            </w:rPr>
            <w:fldChar w:fldCharType="end"/>
          </w:r>
        </w:p>
        <w:p>
          <w:pPr>
            <w:pStyle w:val="34"/>
            <w:keepNext w:val="0"/>
            <w:keepLines w:val="0"/>
            <w:pageBreakBefore w:val="0"/>
            <w:widowControl/>
            <w:tabs>
              <w:tab w:val="right" w:leader="dot" w:pos="8958"/>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HYPERLINK \l _Toc14407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lang w:bidi="ar"/>
            </w:rPr>
            <w:t>五、项目主要绩效</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_Toc14407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17</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sz w:val="28"/>
              <w:szCs w:val="28"/>
            </w:rPr>
            <w:fldChar w:fldCharType="end"/>
          </w:r>
        </w:p>
        <w:p>
          <w:pPr>
            <w:pStyle w:val="34"/>
            <w:keepNext w:val="0"/>
            <w:keepLines w:val="0"/>
            <w:pageBreakBefore w:val="0"/>
            <w:widowControl/>
            <w:tabs>
              <w:tab w:val="right" w:leader="dot" w:pos="8958"/>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HYPERLINK \l _Toc15886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lang w:val="en-US" w:eastAsia="zh-CN" w:bidi="ar"/>
            </w:rPr>
            <w:t>六</w:t>
          </w:r>
          <w:r>
            <w:rPr>
              <w:rFonts w:hint="eastAsia" w:asciiTheme="minorEastAsia" w:hAnsiTheme="minorEastAsia" w:eastAsiaTheme="minorEastAsia" w:cstheme="minorEastAsia"/>
              <w:b w:val="0"/>
              <w:bCs w:val="0"/>
              <w:sz w:val="28"/>
              <w:szCs w:val="28"/>
              <w:lang w:bidi="ar"/>
            </w:rPr>
            <w:t>、 存在的问题和建议</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_Toc15886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18</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sz w:val="28"/>
              <w:szCs w:val="28"/>
            </w:rPr>
            <w:fldChar w:fldCharType="end"/>
          </w:r>
        </w:p>
        <w:p>
          <w:pPr>
            <w:pStyle w:val="34"/>
            <w:keepNext w:val="0"/>
            <w:keepLines w:val="0"/>
            <w:pageBreakBefore w:val="0"/>
            <w:widowControl/>
            <w:tabs>
              <w:tab w:val="right" w:leader="dot" w:pos="8958"/>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HYPERLINK \l _Toc10306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lang w:val="en-US" w:eastAsia="zh-CN" w:bidi="ar"/>
            </w:rPr>
            <w:t>七</w:t>
          </w:r>
          <w:r>
            <w:rPr>
              <w:rFonts w:hint="eastAsia" w:asciiTheme="minorEastAsia" w:hAnsiTheme="minorEastAsia" w:eastAsiaTheme="minorEastAsia" w:cstheme="minorEastAsia"/>
              <w:b w:val="0"/>
              <w:bCs w:val="0"/>
              <w:sz w:val="28"/>
              <w:szCs w:val="28"/>
              <w:lang w:bidi="ar"/>
            </w:rPr>
            <w:t>、本报告的局限性</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_Toc10306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19</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sz w:val="28"/>
              <w:szCs w:val="28"/>
            </w:rPr>
            <w:fldChar w:fldCharType="end"/>
          </w:r>
        </w:p>
        <w:p>
          <w:pPr>
            <w:pStyle w:val="34"/>
            <w:keepNext w:val="0"/>
            <w:keepLines w:val="0"/>
            <w:pageBreakBefore w:val="0"/>
            <w:widowControl/>
            <w:tabs>
              <w:tab w:val="right" w:leader="dot" w:pos="8958"/>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Theme="minorEastAsia" w:hAnsiTheme="minorEastAsia" w:eastAsiaTheme="minorEastAsia" w:cstheme="minorEastAsia"/>
              <w:b w:val="0"/>
              <w:bCs w:val="0"/>
              <w:sz w:val="30"/>
              <w:szCs w:val="30"/>
            </w:rPr>
          </w:pP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HYPERLINK \l _Toc16635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lang w:val="en-US" w:eastAsia="zh-CN" w:bidi="ar"/>
            </w:rPr>
            <w:t>八</w:t>
          </w:r>
          <w:r>
            <w:rPr>
              <w:rFonts w:hint="eastAsia" w:asciiTheme="minorEastAsia" w:hAnsiTheme="minorEastAsia" w:eastAsiaTheme="minorEastAsia" w:cstheme="minorEastAsia"/>
              <w:b w:val="0"/>
              <w:bCs w:val="0"/>
              <w:sz w:val="28"/>
              <w:szCs w:val="28"/>
              <w:lang w:bidi="ar"/>
            </w:rPr>
            <w:t>、附件</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_Toc16635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19</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sz w:val="28"/>
              <w:szCs w:val="28"/>
            </w:rPr>
            <w:fldChar w:fldCharType="end"/>
          </w:r>
        </w:p>
        <w:p>
          <w:pPr>
            <w:pStyle w:val="2"/>
            <w:rPr>
              <w:b w:val="0"/>
              <w:bCs w:val="0"/>
            </w:rPr>
          </w:pPr>
          <w:r>
            <w:rPr>
              <w:rFonts w:hint="eastAsia" w:asciiTheme="minorEastAsia" w:hAnsiTheme="minorEastAsia" w:eastAsiaTheme="minorEastAsia" w:cstheme="minorEastAsia"/>
              <w:b w:val="0"/>
              <w:bCs w:val="0"/>
              <w:sz w:val="30"/>
              <w:szCs w:val="30"/>
            </w:rPr>
            <w:fldChar w:fldCharType="end"/>
          </w:r>
        </w:p>
      </w:sdtContent>
    </w:sdt>
    <w:sdt>
      <w:sdtPr>
        <w:rPr>
          <w:rFonts w:hint="eastAsia" w:asciiTheme="minorEastAsia" w:hAnsiTheme="minorEastAsia" w:eastAsiaTheme="minorEastAsia" w:cstheme="minorEastAsia"/>
          <w:sz w:val="32"/>
          <w:szCs w:val="32"/>
        </w:rPr>
        <w:id w:val="691703585"/>
        <w:showingPlcHdr/>
      </w:sdtPr>
      <w:sdtEndPr>
        <w:rPr>
          <w:rFonts w:hint="eastAsia" w:asciiTheme="minorEastAsia" w:hAnsiTheme="minorEastAsia" w:eastAsiaTheme="minorEastAsia" w:cstheme="minorEastAsia"/>
          <w:sz w:val="32"/>
          <w:szCs w:val="32"/>
        </w:rPr>
      </w:sdtEndPr>
      <w:sdtContent>
        <w:sdt>
          <w:sdtPr>
            <w:rPr>
              <w:rFonts w:hint="eastAsia" w:asciiTheme="minorEastAsia" w:hAnsiTheme="minorEastAsia" w:eastAsiaTheme="minorEastAsia" w:cstheme="minorEastAsia"/>
              <w:sz w:val="32"/>
              <w:szCs w:val="32"/>
            </w:rPr>
            <w:id w:val="673921779"/>
          </w:sdtPr>
          <w:sdtEndPr>
            <w:rPr>
              <w:rFonts w:hint="eastAsia" w:asciiTheme="minorEastAsia" w:hAnsiTheme="minorEastAsia" w:eastAsiaTheme="minorEastAsia" w:cstheme="minorEastAsia"/>
              <w:sz w:val="32"/>
              <w:szCs w:val="32"/>
            </w:rPr>
          </w:sdtEndPr>
          <w:sdtContent>
            <w:p>
              <w:pPr>
                <w:pStyle w:val="35"/>
                <w:tabs>
                  <w:tab w:val="right" w:leader="dot" w:pos="8958"/>
                </w:tabs>
                <w:ind w:left="420"/>
                <w:rPr>
                  <w:rFonts w:ascii="方正小标宋简体" w:hAnsi="方正小标宋简体" w:eastAsia="方正小标宋简体" w:cs="方正小标宋简体"/>
                  <w:sz w:val="44"/>
                  <w:szCs w:val="44"/>
                  <w:lang w:val="zh-CN" w:bidi="zh-CN"/>
                </w:rPr>
                <w:sectPr>
                  <w:footerReference r:id="rId3" w:type="first"/>
                  <w:pgSz w:w="11907" w:h="16840"/>
                  <w:pgMar w:top="2098" w:right="1418" w:bottom="1871" w:left="1531" w:header="851" w:footer="680" w:gutter="0"/>
                  <w:pgNumType w:start="1"/>
                  <w:cols w:space="720" w:num="1"/>
                  <w:titlePg/>
                  <w:docGrid w:linePitch="286" w:charSpace="0"/>
                </w:sectPr>
              </w:pPr>
            </w:p>
          </w:sdtContent>
        </w:sdt>
      </w:sdtContent>
    </w:sdt>
    <w:p>
      <w:pPr>
        <w:pStyle w:val="26"/>
        <w:snapToGrid w:val="0"/>
        <w:ind w:firstLine="640"/>
        <w:outlineLvl w:val="9"/>
        <w:rPr>
          <w:rFonts w:ascii="黑体" w:hAnsi="黑体" w:eastAsia="黑体" w:cs="黑体"/>
          <w:sz w:val="32"/>
          <w:szCs w:val="32"/>
          <w:lang w:bidi="ar"/>
        </w:rPr>
      </w:pPr>
      <w:bookmarkStart w:id="0" w:name="_Toc2076659232"/>
      <w:bookmarkStart w:id="1" w:name="_Toc58429410_WPSOffice_Level1"/>
      <w:bookmarkStart w:id="2" w:name="_Toc149918825_WPSOffice_Level1"/>
    </w:p>
    <w:p>
      <w:pPr>
        <w:pStyle w:val="26"/>
        <w:keepNext w:val="0"/>
        <w:keepLines w:val="0"/>
        <w:pageBreakBefore w:val="0"/>
        <w:numPr>
          <w:numId w:val="0"/>
        </w:numPr>
        <w:kinsoku/>
        <w:wordWrap/>
        <w:topLinePunct w:val="0"/>
        <w:bidi w:val="0"/>
        <w:snapToGrid w:val="0"/>
        <w:spacing w:line="580" w:lineRule="exact"/>
        <w:ind w:firstLine="640" w:firstLineChars="200"/>
        <w:outlineLvl w:val="0"/>
        <w:rPr>
          <w:rFonts w:ascii="黑体" w:hAnsi="黑体" w:cs="黑体"/>
          <w:b w:val="0"/>
          <w:bCs w:val="0"/>
          <w:szCs w:val="32"/>
          <w:lang w:bidi="ar"/>
        </w:rPr>
      </w:pPr>
      <w:bookmarkStart w:id="3" w:name="_Toc18219"/>
      <w:r>
        <w:rPr>
          <w:rFonts w:hint="eastAsia" w:ascii="黑体" w:hAnsi="黑体" w:eastAsia="黑体" w:cs="黑体"/>
          <w:sz w:val="32"/>
          <w:szCs w:val="32"/>
          <w:lang w:val="en-US" w:eastAsia="zh-CN" w:bidi="ar"/>
        </w:rPr>
        <w:t>一、</w:t>
      </w:r>
      <w:r>
        <w:rPr>
          <w:rFonts w:hint="eastAsia" w:ascii="黑体" w:hAnsi="黑体" w:eastAsia="黑体" w:cs="黑体"/>
          <w:sz w:val="32"/>
          <w:szCs w:val="32"/>
          <w:lang w:bidi="ar"/>
        </w:rPr>
        <w:t>项目基本情况</w:t>
      </w:r>
      <w:bookmarkEnd w:id="0"/>
      <w:bookmarkEnd w:id="1"/>
      <w:bookmarkEnd w:id="2"/>
      <w:bookmarkEnd w:id="3"/>
    </w:p>
    <w:p>
      <w:pPr>
        <w:pStyle w:val="26"/>
        <w:keepNext w:val="0"/>
        <w:keepLines w:val="0"/>
        <w:pageBreakBefore w:val="0"/>
        <w:kinsoku/>
        <w:wordWrap/>
        <w:topLinePunct w:val="0"/>
        <w:bidi w:val="0"/>
        <w:snapToGrid w:val="0"/>
        <w:spacing w:line="580" w:lineRule="exact"/>
        <w:ind w:firstLine="640" w:firstLineChars="200"/>
        <w:outlineLvl w:val="1"/>
        <w:rPr>
          <w:rFonts w:hint="eastAsia" w:ascii="楷体_GB2312" w:hAnsi="楷体_GB2312" w:eastAsia="楷体_GB2312" w:cs="楷体_GB2312"/>
          <w:b w:val="0"/>
          <w:bCs w:val="0"/>
          <w:lang w:bidi="ar"/>
        </w:rPr>
      </w:pPr>
      <w:bookmarkStart w:id="4" w:name="_Toc1507481180"/>
      <w:bookmarkStart w:id="5" w:name="_Toc496774064_WPSOffice_Level2"/>
      <w:bookmarkStart w:id="6" w:name="_Toc750165375_WPSOffice_Level2"/>
      <w:bookmarkStart w:id="7" w:name="_Toc12434"/>
      <w:r>
        <w:rPr>
          <w:rFonts w:hint="eastAsia" w:ascii="楷体_GB2312" w:hAnsi="楷体_GB2312" w:eastAsia="楷体_GB2312" w:cs="楷体_GB2312"/>
          <w:b w:val="0"/>
          <w:bCs w:val="0"/>
          <w:sz w:val="32"/>
          <w:szCs w:val="32"/>
          <w:lang w:bidi="ar"/>
        </w:rPr>
        <w:t>（一）项目立项</w:t>
      </w:r>
      <w:bookmarkEnd w:id="4"/>
      <w:bookmarkEnd w:id="5"/>
      <w:bookmarkEnd w:id="6"/>
      <w:bookmarkEnd w:id="7"/>
    </w:p>
    <w:p>
      <w:pPr>
        <w:keepNext w:val="0"/>
        <w:keepLines w:val="0"/>
        <w:pageBreakBefore w:val="0"/>
        <w:kinsoku/>
        <w:wordWrap/>
        <w:topLinePunct w:val="0"/>
        <w:bidi w:val="0"/>
        <w:spacing w:line="580" w:lineRule="exact"/>
        <w:ind w:firstLine="640" w:firstLineChars="200"/>
        <w:rPr>
          <w:rFonts w:hint="eastAsia" w:ascii="仿宋_GB2312" w:eastAsia="仿宋_GB2312" w:cs="仿宋_GB2312"/>
          <w:sz w:val="32"/>
          <w:szCs w:val="32"/>
          <w:lang w:val="en-US" w:eastAsia="zh-CN"/>
        </w:rPr>
      </w:pPr>
      <w:bookmarkStart w:id="8" w:name="_Toc2012757759_WPSOffice_Level2"/>
      <w:bookmarkStart w:id="9" w:name="_Toc152966088_WPSOffice_Level2"/>
      <w:bookmarkStart w:id="10" w:name="_Toc224124954"/>
      <w:r>
        <w:rPr>
          <w:rFonts w:hint="eastAsia" w:ascii="仿宋_GB2312" w:eastAsia="仿宋_GB2312" w:cs="仿宋_GB2312"/>
          <w:sz w:val="32"/>
          <w:szCs w:val="32"/>
        </w:rPr>
        <w:t>新中国成立后至2015年底，我国农村供水工程先后历经了自然发展、饮水起步、饮水解困、饮水安全四个阶段，自2016年起进入农村饮水巩固提升的新阶段。山东省委、省政府</w:t>
      </w:r>
      <w:r>
        <w:rPr>
          <w:rFonts w:hint="eastAsia" w:ascii="仿宋_GB2312" w:eastAsia="仿宋_GB2312" w:cs="仿宋_GB2312"/>
          <w:sz w:val="32"/>
          <w:szCs w:val="32"/>
          <w:lang w:val="en-US" w:eastAsia="zh-CN"/>
        </w:rPr>
        <w:t>及枣庄市委、市政府</w:t>
      </w:r>
      <w:r>
        <w:rPr>
          <w:rFonts w:hint="eastAsia" w:ascii="仿宋_GB2312" w:eastAsia="仿宋_GB2312" w:cs="仿宋_GB2312"/>
          <w:sz w:val="32"/>
          <w:szCs w:val="32"/>
        </w:rPr>
        <w:t>一直高度重视环境保护和生态建设，坚持环保优先的发展理念，先后出台了一系列加快生态建设的政策措施</w:t>
      </w:r>
      <w:r>
        <w:rPr>
          <w:rFonts w:hint="eastAsia" w:ascii="仿宋_GB2312" w:eastAsia="仿宋_GB2312" w:cs="仿宋_GB2312"/>
          <w:sz w:val="32"/>
          <w:szCs w:val="32"/>
          <w:lang w:eastAsia="zh-CN"/>
        </w:rPr>
        <w:t>，</w:t>
      </w:r>
      <w:r>
        <w:rPr>
          <w:rFonts w:hint="eastAsia" w:ascii="仿宋_GB2312" w:eastAsia="仿宋_GB2312" w:cs="仿宋_GB2312"/>
          <w:sz w:val="32"/>
          <w:szCs w:val="32"/>
        </w:rPr>
        <w:t>《山东省环境保护厅山东省财政厅关于印发&lt;山东省农村环境综合整治示范项目管理暂行办法&gt;的通知》鲁环函[2011]464号；《关于进一步完善好农村环境综合整治示范实施方案的通知》鲁环函[2011]683号；《山东省2015年农村环境综合整治实施方案审查暂行办法》</w:t>
      </w:r>
      <w:r>
        <w:rPr>
          <w:rFonts w:hint="eastAsia" w:ascii="仿宋_GB2312" w:eastAsia="仿宋_GB2312" w:cs="仿宋_GB2312"/>
          <w:sz w:val="32"/>
          <w:szCs w:val="32"/>
          <w:lang w:eastAsia="zh-CN"/>
        </w:rPr>
        <w:t>；</w:t>
      </w:r>
      <w:r>
        <w:rPr>
          <w:rFonts w:hint="eastAsia" w:ascii="仿宋_GB2312" w:eastAsia="仿宋_GB2312" w:cs="仿宋_GB2312"/>
          <w:sz w:val="32"/>
          <w:szCs w:val="32"/>
        </w:rPr>
        <w:t>枣庄市环境保护局关于转发《关于分解落实“十三五”期间农村环境综合整治任务的通知》的通知枣环函字[2016]52号；枣庄市总体规划（2010年~2020年）；</w:t>
      </w:r>
      <w:r>
        <w:rPr>
          <w:rFonts w:hint="eastAsia" w:ascii="仿宋_GB2312" w:eastAsia="仿宋_GB2312" w:cs="仿宋_GB2312"/>
          <w:sz w:val="32"/>
          <w:szCs w:val="32"/>
          <w:lang w:val="en-US" w:eastAsia="zh-CN"/>
        </w:rPr>
        <w:t>枣</w:t>
      </w:r>
      <w:r>
        <w:rPr>
          <w:rFonts w:hint="eastAsia" w:ascii="仿宋_GB2312" w:eastAsia="仿宋_GB2312" w:cs="仿宋_GB2312"/>
          <w:sz w:val="32"/>
          <w:szCs w:val="32"/>
        </w:rPr>
        <w:t>庄市财政局、市环境保护局《关于下达2018年</w:t>
      </w:r>
      <w:r>
        <w:rPr>
          <w:rFonts w:hint="eastAsia" w:ascii="仿宋_GB2312" w:eastAsia="仿宋_GB2312" w:cs="仿宋_GB2312"/>
          <w:sz w:val="32"/>
          <w:szCs w:val="32"/>
          <w:lang w:eastAsia="zh-CN"/>
        </w:rPr>
        <w:t>省级环境污染防治专项</w:t>
      </w:r>
      <w:r>
        <w:rPr>
          <w:rFonts w:hint="eastAsia" w:ascii="仿宋_GB2312" w:eastAsia="仿宋_GB2312" w:cs="仿宋_GB2312"/>
          <w:sz w:val="32"/>
          <w:szCs w:val="32"/>
        </w:rPr>
        <w:t>资金预算指标的通知》（枣财建批[2018]</w:t>
      </w:r>
      <w:r>
        <w:rPr>
          <w:rFonts w:hint="eastAsia" w:ascii="仿宋_GB2312" w:eastAsia="仿宋_GB2312" w:cs="仿宋_GB2312"/>
          <w:sz w:val="32"/>
          <w:szCs w:val="32"/>
          <w:lang w:val="en-US" w:eastAsia="zh-CN"/>
        </w:rPr>
        <w:t>42</w:t>
      </w:r>
      <w:r>
        <w:rPr>
          <w:rFonts w:hint="eastAsia" w:ascii="仿宋_GB2312" w:eastAsia="仿宋_GB2312" w:cs="仿宋_GB2312"/>
          <w:sz w:val="32"/>
          <w:szCs w:val="32"/>
        </w:rPr>
        <w:t>号文）</w:t>
      </w:r>
      <w:r>
        <w:rPr>
          <w:rFonts w:hint="eastAsia" w:ascii="仿宋_GB2312" w:eastAsia="仿宋_GB2312" w:cs="仿宋_GB2312"/>
          <w:sz w:val="32"/>
          <w:szCs w:val="32"/>
          <w:lang w:val="en-US" w:eastAsia="zh-CN"/>
        </w:rPr>
        <w:t>等相关文件。</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仿宋_GB2312" w:eastAsia="仿宋_GB2312" w:cs="仿宋_GB2312"/>
          <w:sz w:val="32"/>
          <w:szCs w:val="32"/>
          <w:lang w:val="en-US" w:eastAsia="zh-CN"/>
        </w:rPr>
      </w:pPr>
      <w:r>
        <w:rPr>
          <w:rFonts w:hint="eastAsia" w:ascii="仿宋_GB2312" w:hAnsi="仿宋_GB2312" w:eastAsia="仿宋_GB2312" w:cs="仿宋_GB2312"/>
          <w:color w:val="000000"/>
          <w:sz w:val="32"/>
          <w:szCs w:val="32"/>
          <w:lang w:val="en-US" w:eastAsia="zh-CN" w:bidi="ar"/>
        </w:rPr>
        <w:t>枣庄市财政局、市环境保护局以栆财建批</w:t>
      </w:r>
      <w:r>
        <w:rPr>
          <w:rFonts w:hint="eastAsia" w:ascii="仿宋_GB2312" w:eastAsia="仿宋_GB2312" w:cs="仿宋_GB2312"/>
          <w:sz w:val="32"/>
          <w:szCs w:val="32"/>
        </w:rPr>
        <w:t>[2018]</w:t>
      </w:r>
      <w:r>
        <w:rPr>
          <w:rFonts w:hint="eastAsia" w:ascii="仿宋_GB2312" w:eastAsia="仿宋_GB2312" w:cs="仿宋_GB2312"/>
          <w:sz w:val="32"/>
          <w:szCs w:val="32"/>
          <w:lang w:val="en-US" w:eastAsia="zh-CN"/>
        </w:rPr>
        <w:t>42</w:t>
      </w:r>
      <w:r>
        <w:rPr>
          <w:rFonts w:hint="eastAsia" w:ascii="仿宋_GB2312" w:eastAsia="仿宋_GB2312" w:cs="仿宋_GB2312"/>
          <w:sz w:val="32"/>
          <w:szCs w:val="32"/>
        </w:rPr>
        <w:t>号文</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关于下达2018年省级环境污染防治专项资金预算指标的通知</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下达了工程计划。计划下达后枣庄市生态环境局山亭分局组织专业技术人员，按照上级文件要求和山亭区的实际情况，通过现场勘查编制了《枣庄市山亭区2018年贫困村饮用水水源地保护项目实施方案》，并于2018年8月20日将《关于实施山亭区2018年度贫困村饮用水源地保护提升工程方案的请示》（山财建[2018]14号）上报市生态环境局。</w:t>
      </w:r>
    </w:p>
    <w:p>
      <w:pPr>
        <w:pStyle w:val="26"/>
        <w:keepNext w:val="0"/>
        <w:keepLines w:val="0"/>
        <w:pageBreakBefore w:val="0"/>
        <w:kinsoku/>
        <w:wordWrap/>
        <w:topLinePunct w:val="0"/>
        <w:bidi w:val="0"/>
        <w:spacing w:line="580" w:lineRule="exact"/>
        <w:ind w:firstLine="640" w:firstLineChars="200"/>
        <w:outlineLvl w:val="1"/>
        <w:rPr>
          <w:rFonts w:hint="eastAsia" w:ascii="楷体_GB2312" w:hAnsi="楷体_GB2312" w:eastAsia="楷体_GB2312" w:cs="楷体_GB2312"/>
          <w:b w:val="0"/>
          <w:bCs w:val="0"/>
          <w:color w:val="000000"/>
          <w:sz w:val="32"/>
          <w:szCs w:val="32"/>
          <w:lang w:bidi="ar"/>
        </w:rPr>
      </w:pPr>
      <w:bookmarkStart w:id="11" w:name="_Toc30945"/>
      <w:r>
        <w:rPr>
          <w:rFonts w:hint="eastAsia" w:ascii="楷体_GB2312" w:hAnsi="楷体_GB2312" w:eastAsia="楷体_GB2312" w:cs="楷体_GB2312"/>
          <w:b w:val="0"/>
          <w:bCs w:val="0"/>
          <w:sz w:val="32"/>
          <w:szCs w:val="32"/>
          <w:lang w:bidi="ar"/>
        </w:rPr>
        <w:t>（二）项目预算</w:t>
      </w:r>
      <w:bookmarkEnd w:id="8"/>
      <w:bookmarkEnd w:id="9"/>
      <w:bookmarkEnd w:id="10"/>
      <w:r>
        <w:rPr>
          <w:rFonts w:hint="eastAsia" w:ascii="楷体_GB2312" w:hAnsi="楷体_GB2312" w:eastAsia="楷体_GB2312" w:cs="楷体_GB2312"/>
          <w:b w:val="0"/>
          <w:bCs w:val="0"/>
          <w:sz w:val="32"/>
          <w:szCs w:val="32"/>
          <w:lang w:bidi="ar"/>
        </w:rPr>
        <w:t>实施内容</w:t>
      </w:r>
      <w:bookmarkEnd w:id="11"/>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仿宋_GB2312" w:eastAsia="仿宋_GB2312" w:cs="仿宋_GB2312"/>
          <w:sz w:val="32"/>
          <w:szCs w:val="32"/>
          <w:lang w:val="en-US" w:eastAsia="zh-CN"/>
        </w:rPr>
      </w:pPr>
      <w:bookmarkStart w:id="12" w:name="_Toc947070252_WPSOffice_Level2"/>
      <w:bookmarkStart w:id="13" w:name="_Toc1539421246"/>
      <w:bookmarkStart w:id="14" w:name="_Toc1493137105_WPSOffice_Level2"/>
      <w:bookmarkStart w:id="15" w:name="_Toc955776515_WPSOffice_Level2"/>
      <w:r>
        <w:rPr>
          <w:rFonts w:hint="eastAsia" w:ascii="仿宋_GB2312" w:eastAsia="仿宋_GB2312" w:cs="仿宋_GB2312"/>
          <w:sz w:val="32"/>
          <w:szCs w:val="32"/>
          <w:lang w:val="en-US" w:eastAsia="zh-CN"/>
        </w:rPr>
        <w:t>山亭区2018年贫困村饮用水水源地保护项目涉及桑村镇、山城办、凫城镇、北庄镇、徐庄镇、水泉镇、城头镇、冯卯镇、店子镇等9个镇街的63个村庄，全部为省级贫困村。根据上级文件有关文件要求，结合水源地具体情况，饮用水水源地保护项目从解决现有潜在污染问题以及提高水源地供水可靠性方面入手，实施以下工程建设内容：保护区隔离防护工程、水源地污染扩散防治（导流面、沟）工程、水源地清理整治工程、警示标志工程、水源地保护宣传教育工程。</w:t>
      </w:r>
    </w:p>
    <w:p>
      <w:pPr>
        <w:pStyle w:val="26"/>
        <w:keepNext w:val="0"/>
        <w:keepLines w:val="0"/>
        <w:pageBreakBefore w:val="0"/>
        <w:kinsoku/>
        <w:wordWrap/>
        <w:topLinePunct w:val="0"/>
        <w:bidi w:val="0"/>
        <w:spacing w:line="580" w:lineRule="exact"/>
        <w:ind w:firstLine="640" w:firstLineChars="200"/>
        <w:outlineLvl w:val="1"/>
        <w:rPr>
          <w:rFonts w:hint="eastAsia" w:ascii="楷体_GB2312" w:hAnsi="楷体_GB2312" w:eastAsia="楷体_GB2312" w:cs="楷体_GB2312"/>
          <w:b w:val="0"/>
          <w:bCs w:val="0"/>
          <w:sz w:val="32"/>
          <w:szCs w:val="32"/>
          <w:lang w:bidi="ar"/>
        </w:rPr>
      </w:pPr>
      <w:bookmarkStart w:id="16" w:name="_Toc24303"/>
      <w:r>
        <w:rPr>
          <w:rFonts w:hint="eastAsia" w:ascii="楷体_GB2312" w:hAnsi="楷体_GB2312" w:eastAsia="楷体_GB2312" w:cs="楷体_GB2312"/>
          <w:b w:val="0"/>
          <w:bCs w:val="0"/>
          <w:sz w:val="32"/>
          <w:szCs w:val="32"/>
          <w:lang w:bidi="ar"/>
        </w:rPr>
        <w:t>（三）项目组织管理</w:t>
      </w:r>
      <w:bookmarkEnd w:id="12"/>
      <w:bookmarkEnd w:id="13"/>
      <w:bookmarkEnd w:id="14"/>
      <w:bookmarkEnd w:id="15"/>
      <w:bookmarkEnd w:id="16"/>
    </w:p>
    <w:p>
      <w:pPr>
        <w:pStyle w:val="26"/>
        <w:keepNext w:val="0"/>
        <w:keepLines w:val="0"/>
        <w:pageBreakBefore w:val="0"/>
        <w:kinsoku/>
        <w:wordWrap/>
        <w:topLinePunct w:val="0"/>
        <w:bidi w:val="0"/>
        <w:spacing w:line="580" w:lineRule="exact"/>
        <w:ind w:firstLine="640" w:firstLineChars="200"/>
        <w:outlineLvl w:val="1"/>
        <w:rPr>
          <w:rFonts w:hint="eastAsia" w:ascii="仿宋_GB2312" w:hAnsi="仿宋_GB2312" w:eastAsia="仿宋_GB2312" w:cs="仿宋_GB2312"/>
          <w:sz w:val="32"/>
          <w:szCs w:val="32"/>
          <w:lang w:bidi="ar"/>
        </w:rPr>
      </w:pPr>
      <w:bookmarkStart w:id="17" w:name="_Toc31257"/>
      <w:r>
        <w:rPr>
          <w:rFonts w:hint="eastAsia" w:ascii="仿宋_GB2312" w:hAnsi="仿宋_GB2312" w:eastAsia="仿宋_GB2312" w:cs="仿宋_GB2312"/>
          <w:color w:val="000000"/>
          <w:sz w:val="32"/>
          <w:szCs w:val="32"/>
          <w:lang w:bidi="ar"/>
        </w:rPr>
        <w:t>枣庄</w:t>
      </w:r>
      <w:r>
        <w:rPr>
          <w:rFonts w:hint="eastAsia" w:ascii="仿宋_GB2312" w:hAnsi="仿宋_GB2312" w:eastAsia="仿宋_GB2312" w:cs="仿宋_GB2312"/>
          <w:color w:val="000000"/>
          <w:sz w:val="32"/>
          <w:szCs w:val="32"/>
          <w:lang w:val="en-US" w:eastAsia="zh-CN" w:bidi="ar"/>
        </w:rPr>
        <w:t>市生态环境局山亭分局</w:t>
      </w:r>
      <w:r>
        <w:rPr>
          <w:rFonts w:hint="eastAsia" w:ascii="仿宋_GB2312" w:hAnsi="仿宋_GB2312" w:eastAsia="仿宋_GB2312" w:cs="仿宋_GB2312"/>
          <w:sz w:val="32"/>
          <w:szCs w:val="32"/>
          <w:lang w:bidi="ar"/>
        </w:rPr>
        <w:t>为该项目的组织管理部门，负责全面推进项目实施。财政部门负责拨付资金，履行财政监督职能，组织项目绩效评价等工作。</w:t>
      </w:r>
      <w:bookmarkEnd w:id="17"/>
      <w:bookmarkStart w:id="18" w:name="_Toc169902466"/>
    </w:p>
    <w:p>
      <w:pPr>
        <w:pStyle w:val="26"/>
        <w:keepNext w:val="0"/>
        <w:keepLines w:val="0"/>
        <w:pageBreakBefore w:val="0"/>
        <w:numPr>
          <w:ilvl w:val="0"/>
          <w:numId w:val="0"/>
        </w:numPr>
        <w:kinsoku/>
        <w:wordWrap/>
        <w:topLinePunct w:val="0"/>
        <w:bidi w:val="0"/>
        <w:spacing w:line="580" w:lineRule="exact"/>
        <w:ind w:firstLine="640" w:firstLineChars="200"/>
        <w:outlineLvl w:val="0"/>
        <w:rPr>
          <w:rFonts w:ascii="仿宋_GB2312" w:hAnsi="仿宋_GB2312" w:eastAsia="仿宋_GB2312" w:cs="仿宋_GB2312"/>
          <w:b/>
          <w:bCs/>
          <w:sz w:val="32"/>
          <w:szCs w:val="32"/>
          <w:lang w:bidi="ar"/>
        </w:rPr>
      </w:pPr>
      <w:bookmarkStart w:id="19" w:name="_Toc6284"/>
      <w:bookmarkStart w:id="20" w:name="_Toc687373844_WPSOffice_Level1"/>
      <w:bookmarkStart w:id="21" w:name="_Toc623067191_WPSOffice_Level1"/>
      <w:r>
        <w:rPr>
          <w:rFonts w:hint="eastAsia" w:ascii="黑体" w:hAnsi="黑体" w:eastAsia="黑体" w:cs="黑体"/>
          <w:sz w:val="32"/>
          <w:szCs w:val="32"/>
          <w:lang w:val="en-US" w:eastAsia="zh-CN" w:bidi="ar"/>
        </w:rPr>
        <w:t>二、</w:t>
      </w:r>
      <w:r>
        <w:rPr>
          <w:rFonts w:hint="eastAsia" w:ascii="黑体" w:hAnsi="黑体" w:eastAsia="黑体" w:cs="黑体"/>
          <w:sz w:val="32"/>
          <w:szCs w:val="32"/>
          <w:lang w:bidi="ar"/>
        </w:rPr>
        <w:t>项目绩效目标</w:t>
      </w:r>
      <w:bookmarkEnd w:id="18"/>
      <w:bookmarkEnd w:id="19"/>
      <w:bookmarkEnd w:id="20"/>
      <w:bookmarkEnd w:id="21"/>
      <w:bookmarkStart w:id="22" w:name="_Toc1808908540_WPSOffice_Level2"/>
      <w:bookmarkStart w:id="23" w:name="_Toc9618"/>
      <w:bookmarkStart w:id="24" w:name="_Toc260933800_WPSOffice_Level2"/>
      <w:bookmarkStart w:id="25" w:name="_Toc1544979199"/>
    </w:p>
    <w:p>
      <w:pPr>
        <w:pStyle w:val="26"/>
        <w:keepNext w:val="0"/>
        <w:keepLines w:val="0"/>
        <w:pageBreakBefore w:val="0"/>
        <w:kinsoku/>
        <w:wordWrap/>
        <w:topLinePunct w:val="0"/>
        <w:bidi w:val="0"/>
        <w:spacing w:line="580" w:lineRule="exact"/>
        <w:ind w:firstLine="640" w:firstLineChars="200"/>
        <w:outlineLvl w:val="1"/>
        <w:rPr>
          <w:rFonts w:hint="eastAsia" w:ascii="楷体_GB2312" w:hAnsi="楷体_GB2312" w:eastAsia="楷体_GB2312" w:cs="楷体_GB2312"/>
          <w:b w:val="0"/>
          <w:bCs w:val="0"/>
          <w:sz w:val="32"/>
          <w:szCs w:val="32"/>
          <w:lang w:bidi="ar"/>
        </w:rPr>
      </w:pPr>
      <w:r>
        <w:rPr>
          <w:rFonts w:hint="eastAsia" w:ascii="楷体_GB2312" w:hAnsi="楷体_GB2312" w:eastAsia="楷体_GB2312" w:cs="楷体_GB2312"/>
          <w:b w:val="0"/>
          <w:bCs w:val="0"/>
          <w:sz w:val="32"/>
          <w:szCs w:val="32"/>
          <w:lang w:bidi="ar"/>
        </w:rPr>
        <w:t>（一）总体目标</w:t>
      </w:r>
      <w:bookmarkEnd w:id="22"/>
      <w:bookmarkEnd w:id="23"/>
      <w:bookmarkEnd w:id="24"/>
      <w:bookmarkEnd w:id="25"/>
    </w:p>
    <w:p>
      <w:pPr>
        <w:pStyle w:val="26"/>
        <w:keepNext w:val="0"/>
        <w:keepLines w:val="0"/>
        <w:pageBreakBefore w:val="0"/>
        <w:kinsoku/>
        <w:wordWrap/>
        <w:topLinePunct w:val="0"/>
        <w:bidi w:val="0"/>
        <w:spacing w:line="580" w:lineRule="exact"/>
        <w:ind w:firstLine="640" w:firstLineChars="200"/>
        <w:outlineLvl w:val="1"/>
        <w:rPr>
          <w:rFonts w:hint="default" w:ascii="仿宋_GB2312" w:hAnsi="仿宋_GB2312" w:eastAsia="仿宋_GB2312" w:cs="仿宋_GB2312"/>
          <w:sz w:val="32"/>
          <w:szCs w:val="32"/>
          <w:lang w:val="en-US" w:eastAsia="zh-CN" w:bidi="ar"/>
        </w:rPr>
      </w:pPr>
      <w:bookmarkStart w:id="26" w:name="_Toc399841201_WPSOffice_Level2"/>
      <w:bookmarkStart w:id="27" w:name="_Toc352769426_WPSOffice_Level2"/>
      <w:bookmarkStart w:id="28" w:name="_Toc5578"/>
      <w:bookmarkStart w:id="29" w:name="_Toc1240621716"/>
      <w:r>
        <w:rPr>
          <w:rFonts w:hint="eastAsia" w:ascii="仿宋_GB2312" w:hAnsi="仿宋_GB2312" w:eastAsia="仿宋_GB2312" w:cs="仿宋_GB2312"/>
          <w:sz w:val="32"/>
          <w:szCs w:val="32"/>
          <w:lang w:val="en-US" w:eastAsia="zh-CN" w:bidi="ar"/>
        </w:rPr>
        <w:t>2018年贫困村饮用水水源地保护项目涉及桑村镇、山城办、凫城镇、北庄镇、徐庄镇、水泉镇、城头镇、冯卯镇、店子镇等9个镇街的63个村庄，全部为省级贫困村。2018年贫困村饮用水水源地保护项目主要是对原有水源保护区工程进行改造提升，主要建设内容为：一是补充完善交通警示牌、界标、宣传牌；二是完善水源保护区内导流排水设施；三是对原有围护设施进行加固维修；四是清理保护区内杂草及其他杂物；五是对部分机房进行维修加固。</w:t>
      </w:r>
    </w:p>
    <w:p>
      <w:pPr>
        <w:pStyle w:val="26"/>
        <w:keepNext w:val="0"/>
        <w:keepLines w:val="0"/>
        <w:pageBreakBefore w:val="0"/>
        <w:kinsoku/>
        <w:wordWrap/>
        <w:topLinePunct w:val="0"/>
        <w:bidi w:val="0"/>
        <w:spacing w:line="580" w:lineRule="exact"/>
        <w:ind w:firstLine="640" w:firstLineChars="200"/>
        <w:outlineLvl w:val="1"/>
        <w:rPr>
          <w:rFonts w:hint="eastAsia" w:ascii="楷体_GB2312" w:hAnsi="楷体_GB2312" w:eastAsia="楷体_GB2312" w:cs="楷体_GB2312"/>
          <w:b w:val="0"/>
          <w:bCs w:val="0"/>
          <w:sz w:val="32"/>
          <w:szCs w:val="32"/>
          <w:lang w:bidi="ar"/>
        </w:rPr>
      </w:pPr>
      <w:r>
        <w:rPr>
          <w:rFonts w:hint="eastAsia" w:ascii="楷体_GB2312" w:hAnsi="楷体_GB2312" w:eastAsia="楷体_GB2312" w:cs="楷体_GB2312"/>
          <w:b w:val="0"/>
          <w:bCs w:val="0"/>
          <w:sz w:val="32"/>
          <w:szCs w:val="32"/>
          <w:lang w:bidi="ar"/>
        </w:rPr>
        <w:t>（二）年度目标</w:t>
      </w:r>
      <w:bookmarkEnd w:id="26"/>
      <w:bookmarkEnd w:id="27"/>
      <w:bookmarkEnd w:id="28"/>
      <w:bookmarkEnd w:id="29"/>
    </w:p>
    <w:p>
      <w:pPr>
        <w:pStyle w:val="26"/>
        <w:keepNext w:val="0"/>
        <w:keepLines w:val="0"/>
        <w:pageBreakBefore w:val="0"/>
        <w:kinsoku/>
        <w:wordWrap/>
        <w:topLinePunct w:val="0"/>
        <w:bidi w:val="0"/>
        <w:spacing w:line="580" w:lineRule="exact"/>
        <w:ind w:firstLine="640" w:firstLineChars="200"/>
        <w:outlineLvl w:val="1"/>
        <w:rPr>
          <w:rFonts w:ascii="仿宋_GB2312" w:hAnsi="仿宋_GB2312" w:eastAsia="仿宋_GB2312" w:cs="仿宋_GB2312"/>
          <w:sz w:val="32"/>
          <w:szCs w:val="32"/>
          <w:lang w:bidi="ar"/>
        </w:rPr>
      </w:pPr>
      <w:bookmarkStart w:id="30" w:name="_Toc8618"/>
      <w:r>
        <w:rPr>
          <w:rFonts w:hint="eastAsia" w:ascii="仿宋_GB2312" w:hAnsi="仿宋_GB2312" w:eastAsia="仿宋_GB2312" w:cs="仿宋_GB2312"/>
          <w:sz w:val="32"/>
          <w:szCs w:val="32"/>
          <w:lang w:bidi="ar"/>
        </w:rPr>
        <w:t>2018年贫困村饮用水水源地保护项目涉及桑村镇、山城办、凫城镇、北庄镇、徐庄镇、水泉镇、城头镇、冯卯镇、店子镇等9个镇街的63个村庄，全部为省级贫困村,工程于2018年10月20日开工建设，2018年11月18日完工，工程完成投资188.82万元。具体年度绩效目标详见下表。</w:t>
      </w:r>
      <w:bookmarkEnd w:id="30"/>
    </w:p>
    <w:p>
      <w:pPr>
        <w:spacing w:line="580" w:lineRule="exact"/>
        <w:jc w:val="center"/>
        <w:rPr>
          <w:rFonts w:hint="eastAsia" w:ascii="宋体" w:hAnsi="宋体" w:cs="宋体" w:eastAsiaTheme="minorEastAsia"/>
          <w:b/>
          <w:bCs/>
          <w:sz w:val="28"/>
          <w:szCs w:val="28"/>
          <w:lang w:val="en-US" w:eastAsia="zh-CN"/>
        </w:rPr>
      </w:pPr>
      <w:bookmarkStart w:id="31" w:name="_Toc654733744_WPSOffice_Level2"/>
      <w:bookmarkStart w:id="32" w:name="_Toc1940877062_WPSOffice_Level2"/>
      <w:bookmarkStart w:id="33" w:name="_Toc1209078408_WPSOffice_Level2"/>
      <w:r>
        <w:rPr>
          <w:rFonts w:hint="eastAsia" w:asciiTheme="minorEastAsia" w:hAnsiTheme="minorEastAsia" w:eastAsiaTheme="minorEastAsia" w:cstheme="minorEastAsia"/>
          <w:b/>
          <w:bCs/>
          <w:sz w:val="28"/>
          <w:szCs w:val="28"/>
        </w:rPr>
        <w:t>表</w:t>
      </w:r>
      <w:r>
        <w:rPr>
          <w:rFonts w:asciiTheme="minorEastAsia" w:hAnsiTheme="minorEastAsia" w:eastAsiaTheme="minorEastAsia" w:cstheme="minorEastAsia"/>
          <w:b/>
          <w:bCs/>
          <w:sz w:val="28"/>
          <w:szCs w:val="28"/>
        </w:rPr>
        <w:t>1</w:t>
      </w:r>
      <w:r>
        <w:rPr>
          <w:rFonts w:hint="eastAsia" w:asciiTheme="minorEastAsia" w:hAnsiTheme="minorEastAsia" w:eastAsiaTheme="minorEastAsia" w:cstheme="minorEastAsia"/>
          <w:b/>
          <w:bCs/>
          <w:sz w:val="28"/>
          <w:szCs w:val="28"/>
        </w:rPr>
        <w:t>：项目绩效目标</w:t>
      </w:r>
      <w:bookmarkEnd w:id="31"/>
      <w:bookmarkEnd w:id="32"/>
      <w:bookmarkEnd w:id="33"/>
      <w:r>
        <w:rPr>
          <w:rFonts w:hint="eastAsia" w:asciiTheme="minorEastAsia" w:hAnsiTheme="minorEastAsia" w:eastAsiaTheme="minorEastAsia" w:cstheme="minorEastAsia"/>
          <w:b/>
          <w:bCs/>
          <w:sz w:val="28"/>
          <w:szCs w:val="28"/>
          <w:lang w:val="en-US" w:eastAsia="zh-CN"/>
        </w:rPr>
        <w:t>情况表</w:t>
      </w:r>
    </w:p>
    <w:tbl>
      <w:tblPr>
        <w:tblStyle w:val="15"/>
        <w:tblW w:w="88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18"/>
        <w:gridCol w:w="1240"/>
        <w:gridCol w:w="3171"/>
        <w:gridCol w:w="3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12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一级指标</w:t>
            </w:r>
          </w:p>
        </w:tc>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二级指标</w:t>
            </w:r>
          </w:p>
        </w:tc>
        <w:tc>
          <w:tcPr>
            <w:tcW w:w="317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指标内容</w:t>
            </w:r>
          </w:p>
        </w:tc>
        <w:tc>
          <w:tcPr>
            <w:tcW w:w="32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1218" w:type="dxa"/>
            <w:vMerge w:val="restart"/>
            <w:tcBorders>
              <w:left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产出指标</w:t>
            </w:r>
          </w:p>
        </w:tc>
        <w:tc>
          <w:tcPr>
            <w:tcW w:w="1240" w:type="dxa"/>
            <w:vMerge w:val="restart"/>
            <w:tcBorders>
              <w:left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rPr>
            </w:pPr>
            <w:r>
              <w:rPr>
                <w:rFonts w:hint="eastAsia" w:asciiTheme="minorEastAsia" w:hAnsiTheme="minorEastAsia" w:eastAsiaTheme="minorEastAsia" w:cstheme="minorEastAsia"/>
              </w:rPr>
              <w:t>数量指标</w:t>
            </w:r>
          </w:p>
        </w:tc>
        <w:tc>
          <w:tcPr>
            <w:tcW w:w="317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rPr>
            </w:pPr>
            <w:r>
              <w:rPr>
                <w:rFonts w:hint="eastAsia" w:asciiTheme="minorEastAsia" w:hAnsiTheme="minorEastAsia" w:eastAsiaTheme="minorEastAsia" w:cstheme="minorEastAsia"/>
              </w:rPr>
              <w:t>补充交通警示牌4个、界标3个、宣传牌2个</w:t>
            </w:r>
          </w:p>
        </w:tc>
        <w:tc>
          <w:tcPr>
            <w:tcW w:w="32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rPr>
            </w:pPr>
            <w:r>
              <w:rPr>
                <w:rFonts w:hint="eastAsia" w:asciiTheme="minorEastAsia" w:hAnsiTheme="minorEastAsia" w:eastAsiaTheme="minorEastAsia" w:cstheme="minorEastAsia"/>
              </w:rPr>
              <w:t>交通警示牌252个、界标195个、宣传牌126个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8" w:type="dxa"/>
            <w:vMerge w:val="continue"/>
            <w:tcBorders>
              <w:left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rPr>
            </w:pPr>
          </w:p>
        </w:tc>
        <w:tc>
          <w:tcPr>
            <w:tcW w:w="1240" w:type="dxa"/>
            <w:vMerge w:val="continue"/>
            <w:tcBorders>
              <w:left w:val="single" w:color="auto" w:sz="4" w:space="0"/>
              <w:right w:val="single" w:color="auto" w:sz="4" w:space="0"/>
            </w:tcBorders>
            <w:shd w:val="clear" w:color="auto" w:fill="auto"/>
            <w:vAlign w:val="center"/>
          </w:tcPr>
          <w:p>
            <w:pPr>
              <w:spacing w:line="240" w:lineRule="atLeast"/>
              <w:jc w:val="center"/>
              <w:rPr>
                <w:rFonts w:hint="eastAsia" w:asciiTheme="minorEastAsia" w:hAnsiTheme="minorEastAsia" w:eastAsiaTheme="minorEastAsia" w:cstheme="minorEastAsia"/>
              </w:rPr>
            </w:pPr>
          </w:p>
        </w:tc>
        <w:tc>
          <w:tcPr>
            <w:tcW w:w="317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完善保护区内导流系统</w:t>
            </w:r>
          </w:p>
        </w:tc>
        <w:tc>
          <w:tcPr>
            <w:tcW w:w="32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63套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1218" w:type="dxa"/>
            <w:vMerge w:val="continue"/>
            <w:tcBorders>
              <w:left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rPr>
            </w:pPr>
          </w:p>
        </w:tc>
        <w:tc>
          <w:tcPr>
            <w:tcW w:w="1240" w:type="dxa"/>
            <w:vMerge w:val="continue"/>
            <w:tcBorders>
              <w:left w:val="single" w:color="auto" w:sz="4" w:space="0"/>
              <w:right w:val="single" w:color="auto" w:sz="4" w:space="0"/>
            </w:tcBorders>
            <w:shd w:val="clear" w:color="auto" w:fill="auto"/>
            <w:vAlign w:val="center"/>
          </w:tcPr>
          <w:p>
            <w:pPr>
              <w:spacing w:line="240" w:lineRule="atLeast"/>
              <w:jc w:val="center"/>
              <w:rPr>
                <w:rFonts w:hint="eastAsia" w:asciiTheme="minorEastAsia" w:hAnsiTheme="minorEastAsia" w:eastAsiaTheme="minorEastAsia" w:cstheme="minorEastAsia"/>
              </w:rPr>
            </w:pPr>
          </w:p>
        </w:tc>
        <w:tc>
          <w:tcPr>
            <w:tcW w:w="317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清除保护区内杂草及草垛</w:t>
            </w:r>
          </w:p>
        </w:tc>
        <w:tc>
          <w:tcPr>
            <w:tcW w:w="32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63</w:t>
            </w:r>
            <w:r>
              <w:rPr>
                <w:rFonts w:hint="eastAsia" w:asciiTheme="minorEastAsia" w:hAnsiTheme="minorEastAsia" w:eastAsiaTheme="minorEastAsia" w:cstheme="minorEastAsia"/>
                <w:lang w:val="en-US" w:eastAsia="zh-CN"/>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1218" w:type="dxa"/>
            <w:vMerge w:val="continue"/>
            <w:tcBorders>
              <w:left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rPr>
            </w:pPr>
          </w:p>
        </w:tc>
        <w:tc>
          <w:tcPr>
            <w:tcW w:w="1240" w:type="dxa"/>
            <w:vMerge w:val="restart"/>
            <w:tcBorders>
              <w:left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rPr>
            </w:pPr>
            <w:r>
              <w:rPr>
                <w:rFonts w:hint="eastAsia" w:asciiTheme="minorEastAsia" w:hAnsiTheme="minorEastAsia" w:eastAsiaTheme="minorEastAsia" w:cstheme="minorEastAsia"/>
              </w:rPr>
              <w:t>质量指标</w:t>
            </w:r>
          </w:p>
        </w:tc>
        <w:tc>
          <w:tcPr>
            <w:tcW w:w="317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val="en-US" w:eastAsia="zh-CN" w:bidi="ar-SA"/>
              </w:rPr>
            </w:pPr>
            <w:r>
              <w:rPr>
                <w:rFonts w:hint="eastAsia" w:asciiTheme="minorEastAsia" w:hAnsiTheme="minorEastAsia" w:eastAsiaTheme="minorEastAsia" w:cstheme="minorEastAsia"/>
              </w:rPr>
              <w:t>补充交通警示牌4个、界标3个、宣传牌2个</w:t>
            </w:r>
          </w:p>
        </w:tc>
        <w:tc>
          <w:tcPr>
            <w:tcW w:w="32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rPr>
            </w:pPr>
            <w:r>
              <w:rPr>
                <w:rFonts w:hint="eastAsia"/>
              </w:rPr>
              <w:t>工程验收全部合格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1218" w:type="dxa"/>
            <w:vMerge w:val="continue"/>
            <w:tcBorders>
              <w:left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rPr>
            </w:pPr>
          </w:p>
        </w:tc>
        <w:tc>
          <w:tcPr>
            <w:tcW w:w="1240" w:type="dxa"/>
            <w:vMerge w:val="continue"/>
            <w:tcBorders>
              <w:left w:val="single" w:color="auto" w:sz="4" w:space="0"/>
              <w:right w:val="single" w:color="auto" w:sz="4" w:space="0"/>
            </w:tcBorders>
            <w:shd w:val="clear" w:color="auto" w:fill="auto"/>
            <w:vAlign w:val="center"/>
          </w:tcPr>
          <w:p>
            <w:pPr>
              <w:spacing w:line="240" w:lineRule="atLeast"/>
              <w:jc w:val="center"/>
              <w:rPr>
                <w:rFonts w:hint="eastAsia" w:asciiTheme="minorEastAsia" w:hAnsiTheme="minorEastAsia" w:eastAsiaTheme="minorEastAsia" w:cstheme="minorEastAsia"/>
              </w:rPr>
            </w:pPr>
          </w:p>
        </w:tc>
        <w:tc>
          <w:tcPr>
            <w:tcW w:w="317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hint="eastAsia" w:asciiTheme="minorEastAsia" w:hAnsiTheme="minorEastAsia" w:eastAsiaTheme="minorEastAsia" w:cstheme="minorEastAsia"/>
                <w:sz w:val="21"/>
                <w:szCs w:val="21"/>
                <w:lang w:val="en-US" w:eastAsia="zh-CN" w:bidi="ar-SA"/>
              </w:rPr>
            </w:pPr>
            <w:r>
              <w:rPr>
                <w:rFonts w:hint="eastAsia" w:asciiTheme="minorEastAsia" w:hAnsiTheme="minorEastAsia" w:eastAsiaTheme="minorEastAsia" w:cstheme="minorEastAsia"/>
              </w:rPr>
              <w:t>完善保护区内导流系统</w:t>
            </w:r>
          </w:p>
        </w:tc>
        <w:tc>
          <w:tcPr>
            <w:tcW w:w="32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rPr>
            </w:pPr>
            <w:r>
              <w:rPr>
                <w:rFonts w:hint="eastAsia"/>
              </w:rPr>
              <w:t>工程验收全部合格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1218" w:type="dxa"/>
            <w:vMerge w:val="continue"/>
            <w:tcBorders>
              <w:left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rPr>
            </w:pPr>
          </w:p>
        </w:tc>
        <w:tc>
          <w:tcPr>
            <w:tcW w:w="1240" w:type="dxa"/>
            <w:vMerge w:val="continue"/>
            <w:tcBorders>
              <w:left w:val="single" w:color="auto" w:sz="4" w:space="0"/>
              <w:right w:val="single" w:color="auto" w:sz="4" w:space="0"/>
            </w:tcBorders>
            <w:shd w:val="clear" w:color="auto" w:fill="auto"/>
            <w:vAlign w:val="center"/>
          </w:tcPr>
          <w:p>
            <w:pPr>
              <w:spacing w:line="240" w:lineRule="atLeast"/>
              <w:jc w:val="center"/>
              <w:rPr>
                <w:rFonts w:hint="eastAsia" w:asciiTheme="minorEastAsia" w:hAnsiTheme="minorEastAsia" w:eastAsiaTheme="minorEastAsia" w:cstheme="minorEastAsia"/>
              </w:rPr>
            </w:pPr>
          </w:p>
        </w:tc>
        <w:tc>
          <w:tcPr>
            <w:tcW w:w="317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对原有围栏进行加固修复</w:t>
            </w:r>
          </w:p>
        </w:tc>
        <w:tc>
          <w:tcPr>
            <w:tcW w:w="32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rPr>
            </w:pPr>
            <w:r>
              <w:rPr>
                <w:rFonts w:hint="eastAsia"/>
              </w:rPr>
              <w:t>工程验收全部合格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1218" w:type="dxa"/>
            <w:vMerge w:val="continue"/>
            <w:tcBorders>
              <w:left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rPr>
            </w:pPr>
          </w:p>
        </w:tc>
        <w:tc>
          <w:tcPr>
            <w:tcW w:w="1240" w:type="dxa"/>
            <w:vMerge w:val="continue"/>
            <w:tcBorders>
              <w:left w:val="single" w:color="auto" w:sz="4" w:space="0"/>
              <w:right w:val="single" w:color="auto" w:sz="4" w:space="0"/>
            </w:tcBorders>
            <w:shd w:val="clear" w:color="auto" w:fill="auto"/>
            <w:vAlign w:val="center"/>
          </w:tcPr>
          <w:p>
            <w:pPr>
              <w:spacing w:line="240" w:lineRule="atLeast"/>
              <w:jc w:val="center"/>
              <w:rPr>
                <w:rFonts w:hint="eastAsia" w:asciiTheme="minorEastAsia" w:hAnsiTheme="minorEastAsia" w:eastAsiaTheme="minorEastAsia" w:cstheme="minorEastAsia"/>
              </w:rPr>
            </w:pPr>
          </w:p>
        </w:tc>
        <w:tc>
          <w:tcPr>
            <w:tcW w:w="317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清除保护区内杂草及草垛</w:t>
            </w:r>
          </w:p>
        </w:tc>
        <w:tc>
          <w:tcPr>
            <w:tcW w:w="32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rPr>
            </w:pPr>
            <w:r>
              <w:rPr>
                <w:rFonts w:hint="eastAsia" w:asciiTheme="minorEastAsia" w:hAnsiTheme="minorEastAsia" w:eastAsiaTheme="minorEastAsia" w:cstheme="minorEastAsia"/>
              </w:rPr>
              <w:t>保护区非杂草及草垛面积占90%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1218" w:type="dxa"/>
            <w:vMerge w:val="continue"/>
            <w:tcBorders>
              <w:left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rPr>
            </w:pPr>
          </w:p>
        </w:tc>
        <w:tc>
          <w:tcPr>
            <w:tcW w:w="1240" w:type="dxa"/>
            <w:vMerge w:val="restart"/>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时效指标</w:t>
            </w:r>
          </w:p>
        </w:tc>
        <w:tc>
          <w:tcPr>
            <w:tcW w:w="317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项目招标完成时间</w:t>
            </w:r>
          </w:p>
        </w:tc>
        <w:tc>
          <w:tcPr>
            <w:tcW w:w="32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2018.10.09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1218" w:type="dxa"/>
            <w:vMerge w:val="continue"/>
            <w:tcBorders>
              <w:left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rPr>
            </w:pPr>
          </w:p>
        </w:tc>
        <w:tc>
          <w:tcPr>
            <w:tcW w:w="1240" w:type="dxa"/>
            <w:vMerge w:val="continue"/>
            <w:tcBorders>
              <w:left w:val="single" w:color="auto" w:sz="4" w:space="0"/>
              <w:right w:val="single" w:color="auto" w:sz="4" w:space="0"/>
            </w:tcBorders>
            <w:shd w:val="clear" w:color="auto" w:fill="auto"/>
            <w:vAlign w:val="center"/>
          </w:tcPr>
          <w:p>
            <w:pPr>
              <w:spacing w:line="240" w:lineRule="atLeast"/>
              <w:jc w:val="center"/>
              <w:rPr>
                <w:rFonts w:hint="eastAsia" w:asciiTheme="minorEastAsia" w:hAnsiTheme="minorEastAsia" w:eastAsiaTheme="minorEastAsia" w:cstheme="minorEastAsia"/>
                <w:color w:val="000000" w:themeColor="text1"/>
                <w14:textFill>
                  <w14:solidFill>
                    <w14:schemeClr w14:val="tx1"/>
                  </w14:solidFill>
                </w14:textFill>
              </w:rPr>
            </w:pPr>
          </w:p>
        </w:tc>
        <w:tc>
          <w:tcPr>
            <w:tcW w:w="317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项目开工时间</w:t>
            </w:r>
          </w:p>
        </w:tc>
        <w:tc>
          <w:tcPr>
            <w:tcW w:w="32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2018.10.20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1218" w:type="dxa"/>
            <w:vMerge w:val="continue"/>
            <w:tcBorders>
              <w:left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rPr>
            </w:pPr>
          </w:p>
        </w:tc>
        <w:tc>
          <w:tcPr>
            <w:tcW w:w="1240" w:type="dxa"/>
            <w:vMerge w:val="continue"/>
            <w:tcBorders>
              <w:left w:val="single" w:color="auto" w:sz="4" w:space="0"/>
              <w:right w:val="single" w:color="auto" w:sz="4" w:space="0"/>
            </w:tcBorders>
            <w:shd w:val="clear" w:color="auto" w:fill="auto"/>
            <w:vAlign w:val="center"/>
          </w:tcPr>
          <w:p>
            <w:pPr>
              <w:spacing w:line="240" w:lineRule="atLeast"/>
              <w:jc w:val="center"/>
              <w:rPr>
                <w:rFonts w:hint="eastAsia" w:asciiTheme="minorEastAsia" w:hAnsiTheme="minorEastAsia" w:eastAsiaTheme="minorEastAsia" w:cstheme="minorEastAsia"/>
                <w:color w:val="000000" w:themeColor="text1"/>
                <w14:textFill>
                  <w14:solidFill>
                    <w14:schemeClr w14:val="tx1"/>
                  </w14:solidFill>
                </w14:textFill>
              </w:rPr>
            </w:pPr>
          </w:p>
        </w:tc>
        <w:tc>
          <w:tcPr>
            <w:tcW w:w="317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项目完工时间</w:t>
            </w:r>
          </w:p>
        </w:tc>
        <w:tc>
          <w:tcPr>
            <w:tcW w:w="32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2018.11.18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1218" w:type="dxa"/>
            <w:vMerge w:val="continue"/>
            <w:tcBorders>
              <w:left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rPr>
            </w:pPr>
          </w:p>
        </w:tc>
        <w:tc>
          <w:tcPr>
            <w:tcW w:w="1240" w:type="dxa"/>
            <w:vMerge w:val="continue"/>
            <w:tcBorders>
              <w:left w:val="single" w:color="auto" w:sz="4" w:space="0"/>
              <w:right w:val="single" w:color="auto" w:sz="4" w:space="0"/>
            </w:tcBorders>
            <w:shd w:val="clear" w:color="auto" w:fill="auto"/>
            <w:vAlign w:val="center"/>
          </w:tcPr>
          <w:p>
            <w:pPr>
              <w:spacing w:line="240" w:lineRule="atLeast"/>
              <w:jc w:val="center"/>
              <w:rPr>
                <w:rFonts w:hint="eastAsia" w:asciiTheme="minorEastAsia" w:hAnsiTheme="minorEastAsia" w:eastAsiaTheme="minorEastAsia" w:cstheme="minorEastAsia"/>
                <w:color w:val="000000" w:themeColor="text1"/>
                <w14:textFill>
                  <w14:solidFill>
                    <w14:schemeClr w14:val="tx1"/>
                  </w14:solidFill>
                </w14:textFill>
              </w:rPr>
            </w:pPr>
          </w:p>
        </w:tc>
        <w:tc>
          <w:tcPr>
            <w:tcW w:w="317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项目验收结束时间</w:t>
            </w:r>
          </w:p>
        </w:tc>
        <w:tc>
          <w:tcPr>
            <w:tcW w:w="32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2018.11.22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1218" w:type="dxa"/>
            <w:vMerge w:val="continue"/>
            <w:tcBorders>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rPr>
            </w:pPr>
          </w:p>
        </w:tc>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成本指标</w:t>
            </w:r>
          </w:p>
        </w:tc>
        <w:tc>
          <w:tcPr>
            <w:tcW w:w="317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对照绩效目标评价产出成本,项目产出成本是否按绩效目标控制</w:t>
            </w:r>
          </w:p>
        </w:tc>
        <w:tc>
          <w:tcPr>
            <w:tcW w:w="32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工程审计后金额，项目未超过中标金额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1218" w:type="dxa"/>
            <w:vMerge w:val="restart"/>
            <w:tcBorders>
              <w:left w:val="single" w:color="auto" w:sz="4" w:space="0"/>
              <w:right w:val="single" w:color="auto" w:sz="4" w:space="0"/>
            </w:tcBorders>
            <w:shd w:val="clear" w:color="auto" w:fill="auto"/>
            <w:vAlign w:val="center"/>
          </w:tcPr>
          <w:p>
            <w:pPr>
              <w:spacing w:line="240" w:lineRule="atLeas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效益指标</w:t>
            </w:r>
          </w:p>
        </w:tc>
        <w:tc>
          <w:tcPr>
            <w:tcW w:w="1240" w:type="dxa"/>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经济</w:t>
            </w:r>
            <w:r>
              <w:rPr>
                <w:rFonts w:hint="eastAsia" w:asciiTheme="minorEastAsia" w:hAnsiTheme="minorEastAsia" w:eastAsiaTheme="minorEastAsia" w:cstheme="minorEastAsia"/>
                <w:color w:val="000000" w:themeColor="text1"/>
                <w14:textFill>
                  <w14:solidFill>
                    <w14:schemeClr w14:val="tx1"/>
                  </w14:solidFill>
                </w14:textFill>
              </w:rPr>
              <w:t>效益</w:t>
            </w:r>
          </w:p>
        </w:tc>
        <w:tc>
          <w:tcPr>
            <w:tcW w:w="317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rPr>
              <w:t>水源安全是确保供水安全的前提和基础，是国民经济社会发展、人民身体健康的前提与保障，是关系到社会稳定大局，是树立和落实新时代，转变经济增长方式的客观要求，是构建社会主义和谐社会，打造“乡村振兴”的重要内容。</w:t>
            </w:r>
          </w:p>
        </w:tc>
        <w:tc>
          <w:tcPr>
            <w:tcW w:w="32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hint="default"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1218" w:type="dxa"/>
            <w:vMerge w:val="continue"/>
            <w:tcBorders>
              <w:left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rPr>
            </w:pPr>
          </w:p>
        </w:tc>
        <w:tc>
          <w:tcPr>
            <w:tcW w:w="1240" w:type="dxa"/>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rPr>
            </w:pPr>
            <w:r>
              <w:rPr>
                <w:rFonts w:hint="eastAsia" w:asciiTheme="minorEastAsia" w:hAnsiTheme="minorEastAsia" w:eastAsiaTheme="minorEastAsia" w:cstheme="minorEastAsia"/>
                <w:lang w:val="en-US" w:eastAsia="zh-CN"/>
              </w:rPr>
              <w:t>社会</w:t>
            </w:r>
            <w:r>
              <w:rPr>
                <w:rFonts w:hint="eastAsia" w:asciiTheme="minorEastAsia" w:hAnsiTheme="minorEastAsia" w:eastAsiaTheme="minorEastAsia" w:cstheme="minorEastAsia"/>
              </w:rPr>
              <w:t>效益</w:t>
            </w:r>
          </w:p>
        </w:tc>
        <w:tc>
          <w:tcPr>
            <w:tcW w:w="317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rPr>
            </w:pPr>
            <w:r>
              <w:rPr>
                <w:rFonts w:hint="eastAsia" w:asciiTheme="minorEastAsia" w:hAnsiTheme="minorEastAsia" w:eastAsiaTheme="minorEastAsia" w:cstheme="minorEastAsia"/>
              </w:rPr>
              <w:t>保护区饮用水水质达标时效</w:t>
            </w:r>
          </w:p>
        </w:tc>
        <w:tc>
          <w:tcPr>
            <w:tcW w:w="32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rPr>
            </w:pPr>
            <w:r>
              <w:rPr>
                <w:rFonts w:hint="eastAsia" w:asciiTheme="minorEastAsia" w:hAnsiTheme="minorEastAsia" w:eastAsiaTheme="minorEastAsia" w:cstheme="minorEastAsia"/>
              </w:rPr>
              <w:t>长期达标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1218" w:type="dxa"/>
            <w:vMerge w:val="continue"/>
            <w:tcBorders>
              <w:left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rPr>
            </w:pPr>
          </w:p>
        </w:tc>
        <w:tc>
          <w:tcPr>
            <w:tcW w:w="1240" w:type="dxa"/>
            <w:tcBorders>
              <w:left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rPr>
            </w:pPr>
            <w:r>
              <w:rPr>
                <w:rFonts w:hint="eastAsia" w:asciiTheme="minorEastAsia" w:hAnsiTheme="minorEastAsia" w:eastAsiaTheme="minorEastAsia" w:cstheme="minorEastAsia"/>
              </w:rPr>
              <w:t>可持续影响</w:t>
            </w:r>
          </w:p>
        </w:tc>
        <w:tc>
          <w:tcPr>
            <w:tcW w:w="317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rPr>
            </w:pPr>
            <w:r>
              <w:rPr>
                <w:rFonts w:hint="eastAsia" w:asciiTheme="minorEastAsia" w:hAnsiTheme="minorEastAsia" w:eastAsiaTheme="minorEastAsia" w:cstheme="minorEastAsia"/>
              </w:rPr>
              <w:t>建立健全水源地保护移交及各项管理监控制度</w:t>
            </w:r>
          </w:p>
        </w:tc>
        <w:tc>
          <w:tcPr>
            <w:tcW w:w="32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rPr>
            </w:pPr>
            <w:r>
              <w:rPr>
                <w:rFonts w:hint="eastAsia" w:asciiTheme="minorEastAsia" w:hAnsiTheme="minorEastAsia" w:eastAsiaTheme="minorEastAsia" w:cstheme="minorEastAsia"/>
              </w:rPr>
              <w:t>制度设立健全、科学、有效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1218" w:type="dxa"/>
            <w:vMerge w:val="continue"/>
            <w:tcBorders>
              <w:left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rPr>
            </w:pPr>
          </w:p>
        </w:tc>
        <w:tc>
          <w:tcPr>
            <w:tcW w:w="1240" w:type="dxa"/>
            <w:tcBorders>
              <w:left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rPr>
            </w:pPr>
            <w:r>
              <w:rPr>
                <w:rFonts w:hint="eastAsia" w:asciiTheme="minorEastAsia" w:hAnsiTheme="minorEastAsia" w:eastAsiaTheme="minorEastAsia" w:cstheme="minorEastAsia"/>
              </w:rPr>
              <w:t>满意度指示</w:t>
            </w:r>
          </w:p>
        </w:tc>
        <w:tc>
          <w:tcPr>
            <w:tcW w:w="317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rPr>
            </w:pPr>
            <w:r>
              <w:rPr>
                <w:rFonts w:hint="eastAsia" w:asciiTheme="minorEastAsia" w:hAnsiTheme="minorEastAsia" w:eastAsiaTheme="minorEastAsia" w:cstheme="minorEastAsia"/>
              </w:rPr>
              <w:t>群众满意度</w:t>
            </w:r>
          </w:p>
        </w:tc>
        <w:tc>
          <w:tcPr>
            <w:tcW w:w="32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≥90%</w:t>
            </w:r>
          </w:p>
        </w:tc>
      </w:tr>
    </w:tbl>
    <w:p>
      <w:pPr>
        <w:pStyle w:val="7"/>
        <w:pageBreakBefore w:val="0"/>
        <w:widowControl w:val="0"/>
        <w:numPr>
          <w:ilvl w:val="255"/>
          <w:numId w:val="0"/>
        </w:numPr>
        <w:kinsoku/>
        <w:wordWrap/>
        <w:overflowPunct/>
        <w:topLinePunct w:val="0"/>
        <w:bidi w:val="0"/>
        <w:spacing w:before="0" w:line="580" w:lineRule="exact"/>
        <w:ind w:firstLine="640" w:firstLineChars="200"/>
        <w:textAlignment w:val="auto"/>
        <w:outlineLvl w:val="0"/>
        <w:rPr>
          <w:rFonts w:ascii="黑体" w:hAnsi="黑体" w:eastAsia="黑体" w:cs="黑体"/>
          <w:lang w:val="en-US" w:bidi="ar"/>
        </w:rPr>
      </w:pPr>
      <w:bookmarkStart w:id="34" w:name="_Toc8418"/>
      <w:bookmarkStart w:id="35" w:name="_Toc1377658895_WPSOffice_Level1"/>
      <w:bookmarkStart w:id="36" w:name="_Toc760016365_WPSOffice_Level1"/>
      <w:bookmarkStart w:id="37" w:name="_Toc1210452089"/>
      <w:r>
        <w:rPr>
          <w:rFonts w:hint="eastAsia" w:ascii="黑体" w:hAnsi="黑体" w:eastAsia="黑体" w:cs="黑体"/>
          <w:lang w:val="en-US" w:eastAsia="zh-CN" w:bidi="ar"/>
        </w:rPr>
        <w:t>三</w:t>
      </w:r>
      <w:r>
        <w:rPr>
          <w:rFonts w:hint="eastAsia" w:ascii="黑体" w:hAnsi="黑体" w:eastAsia="黑体" w:cs="黑体"/>
          <w:lang w:val="en-US" w:bidi="ar"/>
        </w:rPr>
        <w:t>、绩效评价情</w:t>
      </w:r>
      <w:bookmarkStart w:id="203" w:name="_GoBack"/>
      <w:bookmarkEnd w:id="203"/>
      <w:r>
        <w:rPr>
          <w:rFonts w:hint="eastAsia" w:ascii="黑体" w:hAnsi="黑体" w:eastAsia="黑体" w:cs="黑体"/>
          <w:lang w:val="en-US" w:bidi="ar"/>
        </w:rPr>
        <w:t>况</w:t>
      </w:r>
      <w:bookmarkEnd w:id="34"/>
      <w:bookmarkEnd w:id="35"/>
      <w:bookmarkEnd w:id="36"/>
      <w:bookmarkEnd w:id="37"/>
    </w:p>
    <w:p>
      <w:pPr>
        <w:pStyle w:val="7"/>
        <w:pageBreakBefore w:val="0"/>
        <w:widowControl w:val="0"/>
        <w:kinsoku/>
        <w:wordWrap/>
        <w:overflowPunct/>
        <w:topLinePunct w:val="0"/>
        <w:bidi w:val="0"/>
        <w:spacing w:before="0" w:line="580" w:lineRule="exact"/>
        <w:ind w:left="0" w:firstLine="640" w:firstLineChars="200"/>
        <w:textAlignment w:val="auto"/>
        <w:outlineLvl w:val="1"/>
        <w:rPr>
          <w:rFonts w:hint="eastAsia" w:ascii="楷体_GB2312" w:hAnsi="楷体_GB2312" w:eastAsia="楷体_GB2312" w:cs="楷体_GB2312"/>
          <w:b w:val="0"/>
          <w:bCs w:val="0"/>
          <w:lang w:val="en-US" w:bidi="ar"/>
        </w:rPr>
      </w:pPr>
      <w:bookmarkStart w:id="38" w:name="_Toc955671792"/>
      <w:bookmarkStart w:id="39" w:name="_Toc403828180_WPSOffice_Level2"/>
      <w:bookmarkStart w:id="40" w:name="_Toc9505"/>
      <w:bookmarkStart w:id="41" w:name="_Toc44183104_WPSOffice_Level2"/>
      <w:r>
        <w:rPr>
          <w:rFonts w:hint="eastAsia" w:ascii="楷体_GB2312" w:hAnsi="楷体_GB2312" w:eastAsia="楷体_GB2312" w:cs="楷体_GB2312"/>
          <w:b w:val="0"/>
          <w:bCs w:val="0"/>
          <w:lang w:val="en-US" w:bidi="ar"/>
        </w:rPr>
        <w:t>（一）评价目的</w:t>
      </w:r>
      <w:bookmarkEnd w:id="38"/>
      <w:bookmarkEnd w:id="39"/>
      <w:bookmarkEnd w:id="40"/>
      <w:bookmarkEnd w:id="41"/>
    </w:p>
    <w:p>
      <w:pPr>
        <w:pageBreakBefore w:val="0"/>
        <w:widowControl w:val="0"/>
        <w:kinsoku/>
        <w:wordWrap/>
        <w:overflowPunct/>
        <w:topLinePunct w:val="0"/>
        <w:autoSpaceDE/>
        <w:autoSpaceDN/>
        <w:bidi w:val="0"/>
        <w:adjustRightInd/>
        <w:spacing w:line="580" w:lineRule="exact"/>
        <w:ind w:firstLine="640" w:firstLineChars="200"/>
        <w:textAlignment w:val="auto"/>
        <w:rPr>
          <w:rFonts w:ascii="仿宋_GB2312" w:hAnsi="仿宋_GB2312" w:eastAsia="仿宋_GB2312" w:cs="仿宋_GB2312"/>
          <w:sz w:val="32"/>
          <w:szCs w:val="32"/>
          <w:lang w:bidi="ar"/>
        </w:rPr>
      </w:pPr>
      <w:r>
        <w:rPr>
          <w:rFonts w:hint="eastAsia" w:ascii="仿宋_GB2312" w:hAnsi="仿宋_GB2312" w:eastAsia="仿宋_GB2312" w:cs="仿宋_GB2312"/>
          <w:color w:val="auto"/>
          <w:sz w:val="32"/>
          <w:szCs w:val="32"/>
          <w:lang w:bidi="ar"/>
        </w:rPr>
        <w:t>为确保将财政专项资金落到实处，取得实效</w:t>
      </w:r>
      <w:r>
        <w:rPr>
          <w:rFonts w:hint="eastAsia" w:ascii="仿宋_GB2312" w:hAnsi="仿宋_GB2312" w:eastAsia="仿宋_GB2312" w:cs="仿宋_GB2312"/>
          <w:sz w:val="32"/>
          <w:szCs w:val="32"/>
          <w:lang w:bidi="ar"/>
        </w:rPr>
        <w:t>，枣庄市</w:t>
      </w:r>
      <w:r>
        <w:rPr>
          <w:rFonts w:hint="eastAsia" w:ascii="仿宋_GB2312" w:hAnsi="仿宋_GB2312" w:eastAsia="仿宋_GB2312" w:cs="仿宋_GB2312"/>
          <w:sz w:val="32"/>
          <w:szCs w:val="32"/>
          <w:lang w:val="en-US" w:eastAsia="zh-CN" w:bidi="ar"/>
        </w:rPr>
        <w:t>山亭区</w:t>
      </w:r>
      <w:r>
        <w:rPr>
          <w:rFonts w:hint="eastAsia" w:ascii="仿宋_GB2312" w:hAnsi="仿宋_GB2312" w:eastAsia="仿宋_GB2312" w:cs="仿宋_GB2312"/>
          <w:sz w:val="32"/>
          <w:szCs w:val="32"/>
          <w:lang w:bidi="ar"/>
        </w:rPr>
        <w:t>财政局委托</w:t>
      </w:r>
      <w:r>
        <w:rPr>
          <w:rFonts w:hint="eastAsia" w:ascii="仿宋_GB2312" w:hAnsi="仿宋_GB2312" w:eastAsia="仿宋_GB2312" w:cs="仿宋_GB2312"/>
          <w:sz w:val="32"/>
          <w:szCs w:val="32"/>
          <w:lang w:val="en-US" w:eastAsia="zh-CN" w:bidi="ar"/>
        </w:rPr>
        <w:t>中景瑞晟（北京）咨询管理有限公司</w:t>
      </w:r>
      <w:r>
        <w:rPr>
          <w:rFonts w:hint="eastAsia" w:ascii="仿宋_GB2312" w:hAnsi="仿宋_GB2312" w:eastAsia="仿宋_GB2312" w:cs="仿宋_GB2312"/>
          <w:sz w:val="32"/>
          <w:szCs w:val="32"/>
          <w:lang w:bidi="ar"/>
        </w:rPr>
        <w:t>（以下简称评价机构）对该项目进行绩效评价</w:t>
      </w:r>
      <w:r>
        <w:rPr>
          <w:rFonts w:hint="eastAsia" w:ascii="仿宋_GB2312" w:hAnsi="仿宋_GB2312" w:eastAsia="仿宋_GB2312" w:cs="仿宋_GB2312"/>
          <w:color w:val="000000"/>
          <w:sz w:val="32"/>
          <w:szCs w:val="32"/>
          <w:lang w:bidi="ar"/>
        </w:rPr>
        <w:t>。</w:t>
      </w:r>
      <w:r>
        <w:rPr>
          <w:rFonts w:hint="eastAsia" w:ascii="仿宋_GB2312" w:hAnsi="仿宋_GB2312" w:eastAsia="仿宋_GB2312" w:cs="仿宋_GB2312"/>
          <w:sz w:val="32"/>
          <w:szCs w:val="32"/>
          <w:lang w:bidi="ar"/>
        </w:rPr>
        <w:t>通过对项目的决策、过程、产出和效果四个方面进行客观、公正的评价，总结经验和发现问题,为今后此类项目的实施提供经验和做法，落实可持续机制，以推动项目效益的持续发挥，促进财政专项资金绩效最大化显现。</w:t>
      </w:r>
    </w:p>
    <w:p>
      <w:pPr>
        <w:pStyle w:val="7"/>
        <w:pageBreakBefore w:val="0"/>
        <w:widowControl w:val="0"/>
        <w:kinsoku/>
        <w:wordWrap/>
        <w:overflowPunct/>
        <w:topLinePunct w:val="0"/>
        <w:bidi w:val="0"/>
        <w:spacing w:before="0" w:line="580" w:lineRule="exact"/>
        <w:ind w:left="0" w:firstLine="640" w:firstLineChars="200"/>
        <w:textAlignment w:val="auto"/>
        <w:outlineLvl w:val="1"/>
        <w:rPr>
          <w:rFonts w:hint="eastAsia" w:ascii="楷体_GB2312" w:hAnsi="楷体_GB2312" w:eastAsia="楷体_GB2312" w:cs="楷体_GB2312"/>
          <w:b w:val="0"/>
          <w:bCs w:val="0"/>
          <w:lang w:val="en-US" w:bidi="ar"/>
        </w:rPr>
      </w:pPr>
      <w:bookmarkStart w:id="42" w:name="_Toc1091896740_WPSOffice_Level2"/>
      <w:bookmarkStart w:id="43" w:name="_Toc4956"/>
      <w:bookmarkStart w:id="44" w:name="_Toc1703570713_WPSOffice_Level2"/>
      <w:bookmarkStart w:id="45" w:name="_Toc945612231"/>
      <w:bookmarkStart w:id="46" w:name="_Toc514771147"/>
      <w:r>
        <w:rPr>
          <w:rFonts w:hint="eastAsia" w:ascii="楷体_GB2312" w:hAnsi="楷体_GB2312" w:eastAsia="楷体_GB2312" w:cs="楷体_GB2312"/>
          <w:b w:val="0"/>
          <w:bCs w:val="0"/>
          <w:lang w:val="en-US" w:bidi="ar"/>
        </w:rPr>
        <w:t>（二）评价依据</w:t>
      </w:r>
      <w:bookmarkEnd w:id="42"/>
      <w:bookmarkEnd w:id="43"/>
      <w:bookmarkEnd w:id="44"/>
      <w:bookmarkEnd w:id="45"/>
    </w:p>
    <w:p>
      <w:pPr>
        <w:pageBreakBefore w:val="0"/>
        <w:kinsoku/>
        <w:wordWrap/>
        <w:topLinePunct w:val="0"/>
        <w:bidi w:val="0"/>
        <w:spacing w:line="580" w:lineRule="exact"/>
        <w:ind w:firstLine="640" w:firstLineChars="200"/>
        <w:rPr>
          <w:rFonts w:ascii="仿宋_GB2312" w:hAnsi="仿宋_GB2312" w:eastAsia="仿宋_GB2312" w:cs="仿宋_GB2312"/>
          <w:sz w:val="32"/>
          <w:szCs w:val="32"/>
          <w:lang w:bidi="ar"/>
        </w:rPr>
      </w:pPr>
      <w:r>
        <w:rPr>
          <w:rFonts w:ascii="仿宋_GB2312" w:hAnsi="仿宋_GB2312" w:eastAsia="仿宋_GB2312" w:cs="仿宋_GB2312"/>
          <w:sz w:val="32"/>
          <w:szCs w:val="32"/>
          <w:lang w:bidi="ar"/>
        </w:rPr>
        <w:t>1.</w:t>
      </w:r>
      <w:r>
        <w:rPr>
          <w:rFonts w:hint="eastAsia" w:ascii="仿宋_GB2312" w:hAnsi="仿宋_GB2312" w:eastAsia="仿宋_GB2312" w:cs="仿宋_GB2312"/>
          <w:sz w:val="32"/>
          <w:szCs w:val="32"/>
          <w:lang w:bidi="ar"/>
        </w:rPr>
        <w:t>中共中央、国务院《关于全面实施预算绩效管理的意见》（中发〔</w:t>
      </w:r>
      <w:r>
        <w:rPr>
          <w:rFonts w:ascii="仿宋_GB2312" w:hAnsi="仿宋_GB2312" w:eastAsia="仿宋_GB2312" w:cs="仿宋_GB2312"/>
          <w:sz w:val="32"/>
          <w:szCs w:val="32"/>
          <w:lang w:bidi="ar"/>
        </w:rPr>
        <w:t>2018〕34号）；</w:t>
      </w:r>
    </w:p>
    <w:p>
      <w:pPr>
        <w:pageBreakBefore w:val="0"/>
        <w:kinsoku/>
        <w:wordWrap/>
        <w:topLinePunct w:val="0"/>
        <w:bidi w:val="0"/>
        <w:spacing w:line="580" w:lineRule="exact"/>
        <w:ind w:firstLine="640" w:firstLineChars="200"/>
        <w:rPr>
          <w:rFonts w:ascii="仿宋_GB2312" w:hAnsi="仿宋_GB2312" w:eastAsia="仿宋_GB2312" w:cs="仿宋_GB2312"/>
          <w:sz w:val="32"/>
          <w:szCs w:val="32"/>
          <w:lang w:bidi="ar"/>
        </w:rPr>
      </w:pPr>
      <w:r>
        <w:rPr>
          <w:rFonts w:ascii="仿宋_GB2312" w:hAnsi="仿宋_GB2312" w:eastAsia="仿宋_GB2312" w:cs="仿宋_GB2312"/>
          <w:sz w:val="32"/>
          <w:szCs w:val="32"/>
          <w:lang w:bidi="ar"/>
        </w:rPr>
        <w:t>2.</w:t>
      </w:r>
      <w:r>
        <w:rPr>
          <w:rFonts w:hint="eastAsia" w:ascii="仿宋_GB2312" w:hAnsi="仿宋_GB2312" w:eastAsia="仿宋_GB2312" w:cs="仿宋_GB2312"/>
          <w:sz w:val="32"/>
          <w:szCs w:val="32"/>
          <w:lang w:bidi="ar"/>
        </w:rPr>
        <w:t>财政部关于印发《项目支出绩效评价管理暂行办法》的通知（财预〔</w:t>
      </w:r>
      <w:r>
        <w:rPr>
          <w:rFonts w:ascii="仿宋_GB2312" w:hAnsi="仿宋_GB2312" w:eastAsia="仿宋_GB2312" w:cs="仿宋_GB2312"/>
          <w:sz w:val="32"/>
          <w:szCs w:val="32"/>
          <w:lang w:bidi="ar"/>
        </w:rPr>
        <w:t>2020〕10号）；</w:t>
      </w:r>
    </w:p>
    <w:p>
      <w:pPr>
        <w:pageBreakBefore w:val="0"/>
        <w:kinsoku/>
        <w:wordWrap/>
        <w:topLinePunct w:val="0"/>
        <w:bidi w:val="0"/>
        <w:spacing w:line="580" w:lineRule="exact"/>
        <w:ind w:firstLine="640" w:firstLineChars="200"/>
        <w:rPr>
          <w:rFonts w:ascii="仿宋_GB2312" w:hAnsi="仿宋_GB2312" w:eastAsia="仿宋_GB2312" w:cs="仿宋_GB2312"/>
          <w:sz w:val="32"/>
          <w:szCs w:val="32"/>
          <w:lang w:bidi="ar"/>
        </w:rPr>
      </w:pPr>
      <w:r>
        <w:rPr>
          <w:rFonts w:ascii="仿宋_GB2312" w:hAnsi="仿宋_GB2312" w:eastAsia="仿宋_GB2312" w:cs="仿宋_GB2312"/>
          <w:sz w:val="32"/>
          <w:szCs w:val="32"/>
          <w:lang w:bidi="ar"/>
        </w:rPr>
        <w:t>3.</w:t>
      </w:r>
      <w:r>
        <w:rPr>
          <w:rFonts w:hint="eastAsia" w:ascii="仿宋_GB2312" w:hAnsi="仿宋_GB2312" w:eastAsia="仿宋_GB2312" w:cs="仿宋_GB2312"/>
          <w:sz w:val="32"/>
          <w:szCs w:val="32"/>
          <w:lang w:bidi="ar"/>
        </w:rPr>
        <w:t>《关于全面推进预算绩效管理的实施意见》（鲁发〔</w:t>
      </w:r>
      <w:r>
        <w:rPr>
          <w:rFonts w:ascii="仿宋_GB2312" w:hAnsi="仿宋_GB2312" w:eastAsia="仿宋_GB2312" w:cs="仿宋_GB2312"/>
          <w:sz w:val="32"/>
          <w:szCs w:val="32"/>
          <w:lang w:bidi="ar"/>
        </w:rPr>
        <w:t>2019〕2号）；</w:t>
      </w:r>
    </w:p>
    <w:p>
      <w:pPr>
        <w:pageBreakBefore w:val="0"/>
        <w:kinsoku/>
        <w:wordWrap/>
        <w:topLinePunct w:val="0"/>
        <w:bidi w:val="0"/>
        <w:spacing w:line="580" w:lineRule="exact"/>
        <w:ind w:firstLine="640" w:firstLineChars="200"/>
        <w:rPr>
          <w:rFonts w:ascii="仿宋_GB2312" w:hAnsi="仿宋_GB2312" w:eastAsia="仿宋_GB2312" w:cs="仿宋_GB2312"/>
          <w:sz w:val="32"/>
          <w:szCs w:val="32"/>
          <w:lang w:bidi="ar"/>
        </w:rPr>
      </w:pPr>
      <w:r>
        <w:rPr>
          <w:rFonts w:ascii="仿宋_GB2312" w:hAnsi="仿宋_GB2312" w:eastAsia="仿宋_GB2312" w:cs="仿宋_GB2312"/>
          <w:sz w:val="32"/>
          <w:szCs w:val="32"/>
          <w:lang w:bidi="ar"/>
        </w:rPr>
        <w:t>4.</w:t>
      </w:r>
      <w:r>
        <w:rPr>
          <w:rFonts w:hint="eastAsia" w:ascii="仿宋_GB2312" w:hAnsi="仿宋_GB2312" w:eastAsia="仿宋_GB2312" w:cs="仿宋_GB2312"/>
          <w:sz w:val="32"/>
          <w:szCs w:val="32"/>
          <w:lang w:bidi="ar"/>
        </w:rPr>
        <w:t>《枣庄市直部门预算绩效目标管理办法》（枣财预〔</w:t>
      </w:r>
      <w:r>
        <w:rPr>
          <w:rFonts w:ascii="仿宋_GB2312" w:hAnsi="仿宋_GB2312" w:eastAsia="仿宋_GB2312" w:cs="仿宋_GB2312"/>
          <w:sz w:val="32"/>
          <w:szCs w:val="32"/>
          <w:lang w:bidi="ar"/>
        </w:rPr>
        <w:t>2016〕9号）；</w:t>
      </w:r>
    </w:p>
    <w:p>
      <w:pPr>
        <w:pStyle w:val="22"/>
        <w:pageBreakBefore w:val="0"/>
        <w:kinsoku/>
        <w:wordWrap/>
        <w:topLinePunct w:val="0"/>
        <w:bidi w:val="0"/>
        <w:spacing w:line="580" w:lineRule="exact"/>
        <w:ind w:firstLine="640" w:firstLineChars="200"/>
        <w:rPr>
          <w:rFonts w:ascii="仿宋_GB2312" w:hAnsi="仿宋_GB2312" w:eastAsia="仿宋_GB2312" w:cs="仿宋_GB2312"/>
          <w:sz w:val="32"/>
          <w:szCs w:val="32"/>
          <w:lang w:bidi="ar"/>
        </w:rPr>
      </w:pPr>
      <w:r>
        <w:rPr>
          <w:rFonts w:ascii="仿宋_GB2312" w:hAnsi="仿宋_GB2312" w:eastAsia="仿宋_GB2312" w:cs="仿宋_GB2312"/>
          <w:sz w:val="32"/>
          <w:szCs w:val="32"/>
          <w:lang w:bidi="ar"/>
        </w:rPr>
        <w:t>5.</w:t>
      </w:r>
      <w:r>
        <w:rPr>
          <w:rFonts w:hint="eastAsia" w:ascii="仿宋_GB2312" w:hAnsi="仿宋_GB2312" w:eastAsia="仿宋_GB2312" w:cs="仿宋_GB2312"/>
          <w:sz w:val="32"/>
          <w:szCs w:val="32"/>
          <w:lang w:bidi="ar"/>
        </w:rPr>
        <w:t>《枣庄市市级预算支出项目第三方绩效评价工作规程》（枣财绩〔</w:t>
      </w:r>
      <w:r>
        <w:rPr>
          <w:rFonts w:ascii="仿宋_GB2312" w:hAnsi="仿宋_GB2312" w:eastAsia="仿宋_GB2312" w:cs="仿宋_GB2312"/>
          <w:sz w:val="32"/>
          <w:szCs w:val="32"/>
          <w:lang w:bidi="ar"/>
        </w:rPr>
        <w:t>2017〕3号）；</w:t>
      </w:r>
    </w:p>
    <w:p>
      <w:pPr>
        <w:pageBreakBefore w:val="0"/>
        <w:kinsoku/>
        <w:wordWrap/>
        <w:topLinePunct w:val="0"/>
        <w:bidi w:val="0"/>
        <w:spacing w:line="580" w:lineRule="exact"/>
        <w:ind w:firstLine="640" w:firstLineChars="200"/>
        <w:rPr>
          <w:rFonts w:ascii="仿宋_GB2312" w:hAnsi="仿宋_GB2312" w:eastAsia="仿宋_GB2312" w:cs="仿宋_GB2312"/>
          <w:sz w:val="32"/>
          <w:szCs w:val="32"/>
          <w:lang w:bidi="ar"/>
        </w:rPr>
      </w:pPr>
      <w:r>
        <w:rPr>
          <w:rFonts w:ascii="仿宋_GB2312" w:hAnsi="仿宋_GB2312" w:eastAsia="仿宋_GB2312" w:cs="仿宋_GB2312"/>
          <w:sz w:val="32"/>
          <w:szCs w:val="32"/>
          <w:lang w:bidi="ar"/>
        </w:rPr>
        <w:t>6.</w:t>
      </w:r>
      <w:r>
        <w:rPr>
          <w:rFonts w:hint="eastAsia" w:ascii="仿宋_GB2312" w:hAnsi="仿宋_GB2312" w:eastAsia="仿宋_GB2312" w:cs="仿宋_GB2312"/>
          <w:sz w:val="32"/>
          <w:szCs w:val="32"/>
          <w:lang w:bidi="ar"/>
        </w:rPr>
        <w:t>项目年度绩效目标申报表、项目管理制度、考核监管制度、年度项目进展情况及相关证明资料、绩效报告；</w:t>
      </w:r>
    </w:p>
    <w:p>
      <w:pPr>
        <w:pageBreakBefore w:val="0"/>
        <w:kinsoku/>
        <w:wordWrap/>
        <w:topLinePunct w:val="0"/>
        <w:bidi w:val="0"/>
        <w:spacing w:line="580" w:lineRule="exact"/>
        <w:ind w:firstLine="640" w:firstLineChars="200"/>
        <w:rPr>
          <w:rFonts w:ascii="仿宋_GB2312" w:hAnsi="仿宋_GB2312" w:eastAsia="仿宋_GB2312" w:cs="仿宋_GB2312"/>
          <w:sz w:val="32"/>
          <w:szCs w:val="32"/>
          <w:lang w:bidi="ar"/>
        </w:rPr>
      </w:pPr>
      <w:r>
        <w:rPr>
          <w:rFonts w:ascii="仿宋_GB2312" w:hAnsi="仿宋_GB2312" w:eastAsia="仿宋_GB2312" w:cs="仿宋_GB2312"/>
          <w:sz w:val="32"/>
          <w:szCs w:val="32"/>
          <w:lang w:bidi="ar"/>
        </w:rPr>
        <w:t>7.</w:t>
      </w:r>
      <w:r>
        <w:rPr>
          <w:rFonts w:hint="eastAsia" w:ascii="仿宋_GB2312" w:hAnsi="仿宋_GB2312" w:eastAsia="仿宋_GB2312" w:cs="仿宋_GB2312"/>
          <w:sz w:val="32"/>
          <w:szCs w:val="32"/>
          <w:lang w:bidi="ar"/>
        </w:rPr>
        <w:t>项目资金管理使用情况以及会计账簿、财务报表、会计凭证等；</w:t>
      </w:r>
    </w:p>
    <w:p>
      <w:pPr>
        <w:pageBreakBefore w:val="0"/>
        <w:kinsoku/>
        <w:wordWrap/>
        <w:topLinePunct w:val="0"/>
        <w:bidi w:val="0"/>
        <w:spacing w:line="580" w:lineRule="exact"/>
        <w:ind w:firstLine="640" w:firstLineChars="200"/>
        <w:rPr>
          <w:rFonts w:ascii="仿宋_GB2312" w:hAnsi="仿宋_GB2312" w:eastAsia="仿宋_GB2312" w:cs="仿宋_GB2312"/>
          <w:sz w:val="32"/>
          <w:szCs w:val="32"/>
          <w:lang w:bidi="ar"/>
        </w:rPr>
      </w:pPr>
      <w:r>
        <w:rPr>
          <w:rFonts w:ascii="仿宋_GB2312" w:hAnsi="仿宋_GB2312" w:eastAsia="仿宋_GB2312" w:cs="仿宋_GB2312"/>
          <w:sz w:val="32"/>
          <w:szCs w:val="32"/>
          <w:lang w:bidi="ar"/>
        </w:rPr>
        <w:t>8.</w:t>
      </w:r>
      <w:r>
        <w:rPr>
          <w:rFonts w:hint="eastAsia" w:ascii="仿宋_GB2312" w:hAnsi="仿宋_GB2312" w:eastAsia="仿宋_GB2312" w:cs="仿宋_GB2312"/>
          <w:sz w:val="32"/>
          <w:szCs w:val="32"/>
          <w:lang w:bidi="ar"/>
        </w:rPr>
        <w:t>其他资料。</w:t>
      </w:r>
    </w:p>
    <w:p>
      <w:pPr>
        <w:pStyle w:val="7"/>
        <w:pageBreakBefore w:val="0"/>
        <w:widowControl w:val="0"/>
        <w:kinsoku/>
        <w:wordWrap/>
        <w:overflowPunct/>
        <w:topLinePunct w:val="0"/>
        <w:bidi w:val="0"/>
        <w:spacing w:before="0" w:line="580" w:lineRule="exact"/>
        <w:ind w:left="0" w:firstLine="640" w:firstLineChars="200"/>
        <w:textAlignment w:val="auto"/>
        <w:outlineLvl w:val="1"/>
        <w:rPr>
          <w:rFonts w:hint="eastAsia" w:ascii="楷体_GB2312" w:hAnsi="楷体_GB2312" w:eastAsia="楷体_GB2312" w:cs="楷体_GB2312"/>
          <w:b w:val="0"/>
          <w:bCs w:val="0"/>
          <w:lang w:val="en-US" w:bidi="ar"/>
        </w:rPr>
      </w:pPr>
      <w:bookmarkStart w:id="47" w:name="_Toc1660991587_WPSOffice_Level2"/>
      <w:bookmarkStart w:id="48" w:name="_Toc1525778617"/>
      <w:bookmarkStart w:id="49" w:name="_Toc5558"/>
      <w:bookmarkStart w:id="50" w:name="_Toc1260745565_WPSOffice_Level2"/>
      <w:r>
        <w:rPr>
          <w:rFonts w:hint="eastAsia" w:ascii="楷体_GB2312" w:hAnsi="楷体_GB2312" w:eastAsia="楷体_GB2312" w:cs="楷体_GB2312"/>
          <w:b w:val="0"/>
          <w:bCs w:val="0"/>
          <w:lang w:val="en-US" w:bidi="ar"/>
        </w:rPr>
        <w:t>（三）评价对象与范围</w:t>
      </w:r>
      <w:bookmarkEnd w:id="46"/>
      <w:bookmarkEnd w:id="47"/>
      <w:bookmarkEnd w:id="48"/>
      <w:bookmarkEnd w:id="49"/>
      <w:bookmarkEnd w:id="50"/>
    </w:p>
    <w:p>
      <w:pPr>
        <w:pageBreakBefore w:val="0"/>
        <w:kinsoku/>
        <w:wordWrap/>
        <w:topLinePunct w:val="0"/>
        <w:bidi w:val="0"/>
        <w:snapToGrid w:val="0"/>
        <w:spacing w:line="580" w:lineRule="exact"/>
        <w:ind w:firstLine="640" w:firstLineChars="200"/>
        <w:rPr>
          <w:rFonts w:ascii="仿宋_GB2312" w:hAnsi="仿宋_GB2312" w:eastAsia="仿宋_GB2312" w:cs="仿宋_GB2312"/>
          <w:b w:val="0"/>
          <w:bCs w:val="0"/>
          <w:sz w:val="32"/>
          <w:szCs w:val="32"/>
          <w:lang w:bidi="ar"/>
        </w:rPr>
      </w:pPr>
      <w:r>
        <w:rPr>
          <w:rFonts w:hint="eastAsia" w:ascii="仿宋_GB2312" w:hAnsi="仿宋_GB2312" w:eastAsia="仿宋_GB2312" w:cs="仿宋_GB2312"/>
          <w:b w:val="0"/>
          <w:bCs w:val="0"/>
          <w:sz w:val="32"/>
          <w:szCs w:val="32"/>
          <w:lang w:bidi="ar"/>
        </w:rPr>
        <w:t>1.评价对象：</w:t>
      </w:r>
      <w:r>
        <w:rPr>
          <w:rFonts w:hint="eastAsia" w:ascii="仿宋_GB2312" w:eastAsia="仿宋_GB2312" w:cs="仿宋_GB2312"/>
          <w:b w:val="0"/>
          <w:bCs w:val="0"/>
          <w:sz w:val="32"/>
          <w:szCs w:val="32"/>
          <w:lang w:val="en-US" w:eastAsia="zh-CN"/>
        </w:rPr>
        <w:t>山亭区2018年贫困村饮用水水源地保护项目</w:t>
      </w:r>
      <w:r>
        <w:rPr>
          <w:rFonts w:hint="eastAsia" w:ascii="仿宋_GB2312" w:hAnsi="仿宋_GB2312" w:eastAsia="仿宋_GB2312" w:cs="仿宋_GB2312"/>
          <w:b w:val="0"/>
          <w:bCs w:val="0"/>
          <w:sz w:val="32"/>
          <w:szCs w:val="32"/>
          <w:lang w:bidi="ar"/>
        </w:rPr>
        <w:t>资金</w:t>
      </w:r>
      <w:r>
        <w:rPr>
          <w:rFonts w:hint="eastAsia" w:ascii="仿宋_GB2312" w:hAnsi="仿宋_GB2312" w:eastAsia="仿宋_GB2312" w:cs="仿宋_GB2312"/>
          <w:b w:val="0"/>
          <w:bCs w:val="0"/>
          <w:sz w:val="32"/>
          <w:szCs w:val="32"/>
          <w:lang w:val="en-US" w:eastAsia="zh-CN" w:bidi="ar"/>
        </w:rPr>
        <w:t>195</w:t>
      </w:r>
      <w:r>
        <w:rPr>
          <w:rFonts w:hint="eastAsia" w:ascii="仿宋_GB2312" w:hAnsi="仿宋_GB2312" w:eastAsia="仿宋_GB2312" w:cs="仿宋_GB2312"/>
          <w:b w:val="0"/>
          <w:bCs w:val="0"/>
          <w:sz w:val="32"/>
          <w:szCs w:val="32"/>
          <w:lang w:bidi="ar"/>
        </w:rPr>
        <w:t>万元</w:t>
      </w:r>
      <w:r>
        <w:rPr>
          <w:rFonts w:ascii="仿宋_GB2312" w:hAnsi="仿宋_GB2312" w:eastAsia="仿宋_GB2312" w:cs="仿宋_GB2312"/>
          <w:b w:val="0"/>
          <w:bCs w:val="0"/>
          <w:sz w:val="32"/>
          <w:szCs w:val="32"/>
          <w:lang w:bidi="ar"/>
        </w:rPr>
        <w:t>的使用绩效。</w:t>
      </w:r>
    </w:p>
    <w:p>
      <w:pPr>
        <w:pStyle w:val="22"/>
        <w:pageBreakBefore w:val="0"/>
        <w:kinsoku/>
        <w:wordWrap/>
        <w:topLinePunct w:val="0"/>
        <w:bidi w:val="0"/>
        <w:snapToGrid w:val="0"/>
        <w:spacing w:line="580" w:lineRule="exact"/>
        <w:ind w:firstLine="640" w:firstLineChars="200"/>
        <w:rPr>
          <w:rFonts w:ascii="仿宋_GB2312" w:hAnsi="仿宋_GB2312" w:eastAsia="仿宋_GB2312" w:cs="仿宋_GB2312"/>
          <w:sz w:val="32"/>
          <w:szCs w:val="32"/>
          <w:lang w:bidi="ar"/>
        </w:rPr>
      </w:pPr>
      <w:r>
        <w:rPr>
          <w:rFonts w:ascii="仿宋_GB2312" w:hAnsi="仿宋_GB2312" w:eastAsia="仿宋_GB2312" w:cs="仿宋_GB2312"/>
          <w:b w:val="0"/>
          <w:bCs w:val="0"/>
          <w:sz w:val="32"/>
          <w:szCs w:val="32"/>
          <w:lang w:bidi="ar"/>
        </w:rPr>
        <w:t>2.评价范围：</w:t>
      </w:r>
      <w:r>
        <w:rPr>
          <w:rFonts w:hint="eastAsia" w:ascii="仿宋_GB2312" w:hAnsi="仿宋_GB2312" w:eastAsia="仿宋_GB2312" w:cs="仿宋_GB2312"/>
          <w:b w:val="0"/>
          <w:bCs w:val="0"/>
          <w:sz w:val="32"/>
          <w:szCs w:val="32"/>
          <w:lang w:bidi="ar"/>
        </w:rPr>
        <w:t>2018年贫困村饮用水水源地保护项目涉及桑村镇、山城办、凫城镇、北庄镇</w:t>
      </w:r>
      <w:r>
        <w:rPr>
          <w:rFonts w:hint="eastAsia" w:ascii="仿宋_GB2312" w:hAnsi="仿宋_GB2312" w:eastAsia="仿宋_GB2312" w:cs="仿宋_GB2312"/>
          <w:sz w:val="32"/>
          <w:szCs w:val="32"/>
          <w:lang w:bidi="ar"/>
        </w:rPr>
        <w:t>、徐庄镇、水泉镇、城头镇、冯卯镇、店子镇等9个镇街的63个村庄。</w:t>
      </w:r>
    </w:p>
    <w:p>
      <w:pPr>
        <w:pStyle w:val="7"/>
        <w:pageBreakBefore w:val="0"/>
        <w:widowControl w:val="0"/>
        <w:kinsoku/>
        <w:wordWrap/>
        <w:overflowPunct/>
        <w:topLinePunct w:val="0"/>
        <w:bidi w:val="0"/>
        <w:spacing w:before="0" w:line="580" w:lineRule="exact"/>
        <w:ind w:left="0" w:firstLine="640" w:firstLineChars="200"/>
        <w:textAlignment w:val="auto"/>
        <w:outlineLvl w:val="1"/>
        <w:rPr>
          <w:rFonts w:hint="eastAsia" w:ascii="楷体_GB2312" w:hAnsi="楷体_GB2312" w:eastAsia="楷体_GB2312" w:cs="楷体_GB2312"/>
          <w:b w:val="0"/>
          <w:bCs w:val="0"/>
          <w:lang w:val="en-US" w:bidi="ar"/>
        </w:rPr>
      </w:pPr>
      <w:bookmarkStart w:id="51" w:name="_Toc1145675356_WPSOffice_Level2"/>
      <w:bookmarkStart w:id="52" w:name="_Toc11701"/>
      <w:bookmarkStart w:id="53" w:name="_Toc658987092"/>
      <w:bookmarkStart w:id="54" w:name="_Toc129566006_WPSOffice_Level2"/>
      <w:r>
        <w:rPr>
          <w:rFonts w:hint="eastAsia" w:ascii="楷体_GB2312" w:hAnsi="楷体_GB2312" w:eastAsia="楷体_GB2312" w:cs="楷体_GB2312"/>
          <w:b w:val="0"/>
          <w:bCs w:val="0"/>
          <w:lang w:val="en-US" w:bidi="ar"/>
        </w:rPr>
        <w:t>（四）评价原则与方法</w:t>
      </w:r>
      <w:bookmarkEnd w:id="51"/>
      <w:bookmarkEnd w:id="52"/>
      <w:bookmarkEnd w:id="53"/>
      <w:bookmarkEnd w:id="54"/>
    </w:p>
    <w:p>
      <w:pPr>
        <w:pStyle w:val="26"/>
        <w:pageBreakBefore w:val="0"/>
        <w:widowControl w:val="0"/>
        <w:kinsoku/>
        <w:wordWrap/>
        <w:topLinePunct w:val="0"/>
        <w:bidi w:val="0"/>
        <w:spacing w:line="580" w:lineRule="exact"/>
        <w:ind w:firstLine="640" w:firstLineChars="200"/>
        <w:rPr>
          <w:rFonts w:ascii="仿宋_GB2312" w:hAnsi="仿宋_GB2312" w:eastAsia="仿宋_GB2312" w:cs="仿宋_GB2312"/>
          <w:b w:val="0"/>
          <w:bCs w:val="0"/>
          <w:sz w:val="32"/>
          <w:szCs w:val="32"/>
          <w:lang w:bidi="ar"/>
        </w:rPr>
      </w:pPr>
      <w:bookmarkStart w:id="55" w:name="_Toc2040160404_WPSOffice_Level3"/>
      <w:bookmarkStart w:id="56" w:name="_Toc231736256_WPSOffice_Level3"/>
      <w:bookmarkStart w:id="57" w:name="_Toc1047600897_WPSOffice_Level3"/>
      <w:bookmarkStart w:id="58" w:name="_Toc1378093601_WPSOffice_Level3"/>
      <w:r>
        <w:rPr>
          <w:rFonts w:ascii="仿宋_GB2312" w:hAnsi="仿宋_GB2312" w:eastAsia="仿宋_GB2312" w:cs="仿宋_GB2312"/>
          <w:b w:val="0"/>
          <w:bCs w:val="0"/>
          <w:sz w:val="32"/>
          <w:szCs w:val="32"/>
          <w:lang w:bidi="ar"/>
        </w:rPr>
        <w:t>1.评价原则</w:t>
      </w:r>
      <w:bookmarkEnd w:id="55"/>
      <w:bookmarkEnd w:id="56"/>
      <w:bookmarkEnd w:id="57"/>
      <w:bookmarkEnd w:id="58"/>
    </w:p>
    <w:p>
      <w:pPr>
        <w:pStyle w:val="26"/>
        <w:pageBreakBefore w:val="0"/>
        <w:widowControl w:val="0"/>
        <w:kinsoku/>
        <w:wordWrap/>
        <w:topLinePunct w:val="0"/>
        <w:bidi w:val="0"/>
        <w:spacing w:line="580" w:lineRule="exact"/>
        <w:ind w:firstLine="640" w:firstLineChars="200"/>
        <w:rPr>
          <w:rFonts w:ascii="仿宋_GB2312" w:hAnsi="仿宋_GB2312" w:eastAsia="仿宋_GB2312" w:cs="仿宋_GB2312"/>
          <w:b w:val="0"/>
          <w:bCs w:val="0"/>
          <w:sz w:val="32"/>
          <w:szCs w:val="32"/>
          <w:lang w:bidi="ar"/>
        </w:rPr>
      </w:pPr>
      <w:r>
        <w:rPr>
          <w:rFonts w:hint="eastAsia" w:ascii="仿宋_GB2312" w:hAnsi="仿宋_GB2312" w:eastAsia="仿宋_GB2312" w:cs="仿宋_GB2312"/>
          <w:b w:val="0"/>
          <w:bCs w:val="0"/>
          <w:sz w:val="32"/>
          <w:szCs w:val="32"/>
          <w:lang w:bidi="ar"/>
        </w:rPr>
        <w:t>（</w:t>
      </w:r>
      <w:r>
        <w:rPr>
          <w:rFonts w:ascii="仿宋_GB2312" w:hAnsi="仿宋_GB2312" w:eastAsia="仿宋_GB2312" w:cs="仿宋_GB2312"/>
          <w:b w:val="0"/>
          <w:bCs w:val="0"/>
          <w:sz w:val="32"/>
          <w:szCs w:val="32"/>
          <w:lang w:bidi="ar"/>
        </w:rPr>
        <w:t>1）科学规范原则。严格执行规定的程序，按照科学可行的要求，采用定量与定性分析相结合的方法开展绩效评价工作。</w:t>
      </w:r>
    </w:p>
    <w:p>
      <w:pPr>
        <w:pStyle w:val="26"/>
        <w:pageBreakBefore w:val="0"/>
        <w:widowControl w:val="0"/>
        <w:kinsoku/>
        <w:wordWrap/>
        <w:topLinePunct w:val="0"/>
        <w:bidi w:val="0"/>
        <w:spacing w:line="580" w:lineRule="exact"/>
        <w:ind w:firstLine="640" w:firstLineChars="200"/>
        <w:rPr>
          <w:rFonts w:ascii="仿宋_GB2312" w:hAnsi="仿宋_GB2312" w:eastAsia="仿宋_GB2312" w:cs="仿宋_GB2312"/>
          <w:b w:val="0"/>
          <w:bCs w:val="0"/>
          <w:sz w:val="32"/>
          <w:szCs w:val="32"/>
          <w:lang w:bidi="ar"/>
        </w:rPr>
      </w:pPr>
      <w:r>
        <w:rPr>
          <w:rFonts w:hint="eastAsia" w:ascii="仿宋_GB2312" w:hAnsi="仿宋_GB2312" w:eastAsia="仿宋_GB2312" w:cs="仿宋_GB2312"/>
          <w:b w:val="0"/>
          <w:bCs w:val="0"/>
          <w:sz w:val="32"/>
          <w:szCs w:val="32"/>
          <w:lang w:bidi="ar"/>
        </w:rPr>
        <w:t>（</w:t>
      </w:r>
      <w:r>
        <w:rPr>
          <w:rFonts w:ascii="仿宋_GB2312" w:hAnsi="仿宋_GB2312" w:eastAsia="仿宋_GB2312" w:cs="仿宋_GB2312"/>
          <w:b w:val="0"/>
          <w:bCs w:val="0"/>
          <w:sz w:val="32"/>
          <w:szCs w:val="32"/>
          <w:lang w:bidi="ar"/>
        </w:rPr>
        <w:t>2）绩效相关原则。针对具体支出及其产出绩效进行评价，评价结果清晰反映支出和产出绩效之间的紧密对应关系。</w:t>
      </w:r>
    </w:p>
    <w:p>
      <w:pPr>
        <w:pStyle w:val="26"/>
        <w:pageBreakBefore w:val="0"/>
        <w:widowControl w:val="0"/>
        <w:kinsoku/>
        <w:wordWrap/>
        <w:topLinePunct w:val="0"/>
        <w:bidi w:val="0"/>
        <w:spacing w:line="580" w:lineRule="exact"/>
        <w:ind w:firstLine="640" w:firstLineChars="200"/>
        <w:rPr>
          <w:rFonts w:ascii="仿宋_GB2312" w:hAnsi="仿宋_GB2312" w:eastAsia="仿宋_GB2312" w:cs="仿宋_GB2312"/>
          <w:b w:val="0"/>
          <w:bCs w:val="0"/>
          <w:sz w:val="32"/>
          <w:szCs w:val="32"/>
          <w:lang w:bidi="ar"/>
        </w:rPr>
      </w:pPr>
      <w:r>
        <w:rPr>
          <w:rFonts w:hint="eastAsia" w:ascii="仿宋_GB2312" w:hAnsi="仿宋_GB2312" w:eastAsia="仿宋_GB2312" w:cs="仿宋_GB2312"/>
          <w:b w:val="0"/>
          <w:bCs w:val="0"/>
          <w:sz w:val="32"/>
          <w:szCs w:val="32"/>
          <w:lang w:bidi="ar"/>
        </w:rPr>
        <w:t>（</w:t>
      </w:r>
      <w:r>
        <w:rPr>
          <w:rFonts w:ascii="仿宋_GB2312" w:hAnsi="仿宋_GB2312" w:eastAsia="仿宋_GB2312" w:cs="仿宋_GB2312"/>
          <w:b w:val="0"/>
          <w:bCs w:val="0"/>
          <w:sz w:val="32"/>
          <w:szCs w:val="32"/>
          <w:lang w:bidi="ar"/>
        </w:rPr>
        <w:t>3）政策相符原则。制定评价工作方案、现场评价表格及项目评价实施工作严格执行有关政策和管理规定。</w:t>
      </w:r>
    </w:p>
    <w:p>
      <w:pPr>
        <w:pStyle w:val="26"/>
        <w:pageBreakBefore w:val="0"/>
        <w:widowControl w:val="0"/>
        <w:kinsoku/>
        <w:wordWrap/>
        <w:topLinePunct w:val="0"/>
        <w:bidi w:val="0"/>
        <w:spacing w:line="580" w:lineRule="exact"/>
        <w:ind w:firstLine="640" w:firstLineChars="200"/>
        <w:rPr>
          <w:rFonts w:ascii="仿宋_GB2312" w:hAnsi="仿宋_GB2312" w:eastAsia="仿宋_GB2312" w:cs="仿宋_GB2312"/>
          <w:b w:val="0"/>
          <w:bCs w:val="0"/>
          <w:sz w:val="32"/>
          <w:szCs w:val="32"/>
          <w:lang w:bidi="ar"/>
        </w:rPr>
      </w:pPr>
      <w:r>
        <w:rPr>
          <w:rFonts w:hint="eastAsia" w:ascii="仿宋_GB2312" w:hAnsi="仿宋_GB2312" w:eastAsia="仿宋_GB2312" w:cs="仿宋_GB2312"/>
          <w:b w:val="0"/>
          <w:bCs w:val="0"/>
          <w:sz w:val="32"/>
          <w:szCs w:val="32"/>
          <w:lang w:bidi="ar"/>
        </w:rPr>
        <w:t>（</w:t>
      </w:r>
      <w:r>
        <w:rPr>
          <w:rFonts w:ascii="仿宋_GB2312" w:hAnsi="仿宋_GB2312" w:eastAsia="仿宋_GB2312" w:cs="仿宋_GB2312"/>
          <w:b w:val="0"/>
          <w:bCs w:val="0"/>
          <w:sz w:val="32"/>
          <w:szCs w:val="32"/>
          <w:lang w:bidi="ar"/>
        </w:rPr>
        <w:t>4）依据充分原则。绩效评价所涉及的绩效报告，法律政策文件，项目计划及资金的确定与调整，项目验收与项目成果等都依据充分。评价机构以正式程序得到的资料和信息为评价的依据，非正式程序所提交的资料仅供参考。</w:t>
      </w:r>
    </w:p>
    <w:p>
      <w:pPr>
        <w:pStyle w:val="26"/>
        <w:pageBreakBefore w:val="0"/>
        <w:widowControl w:val="0"/>
        <w:kinsoku/>
        <w:wordWrap/>
        <w:topLinePunct w:val="0"/>
        <w:bidi w:val="0"/>
        <w:spacing w:line="580" w:lineRule="exact"/>
        <w:ind w:firstLine="640" w:firstLineChars="200"/>
        <w:rPr>
          <w:rFonts w:ascii="仿宋_GB2312" w:hAnsi="仿宋_GB2312" w:eastAsia="仿宋_GB2312" w:cs="仿宋_GB2312"/>
          <w:b w:val="0"/>
          <w:bCs w:val="0"/>
          <w:sz w:val="32"/>
          <w:szCs w:val="32"/>
          <w:lang w:bidi="ar"/>
        </w:rPr>
      </w:pPr>
      <w:r>
        <w:rPr>
          <w:rFonts w:hint="eastAsia" w:ascii="仿宋_GB2312" w:hAnsi="仿宋_GB2312" w:eastAsia="仿宋_GB2312" w:cs="仿宋_GB2312"/>
          <w:b w:val="0"/>
          <w:bCs w:val="0"/>
          <w:sz w:val="32"/>
          <w:szCs w:val="32"/>
          <w:lang w:bidi="ar"/>
        </w:rPr>
        <w:t>（</w:t>
      </w:r>
      <w:r>
        <w:rPr>
          <w:rFonts w:ascii="仿宋_GB2312" w:hAnsi="仿宋_GB2312" w:eastAsia="仿宋_GB2312" w:cs="仿宋_GB2312"/>
          <w:b w:val="0"/>
          <w:bCs w:val="0"/>
          <w:sz w:val="32"/>
          <w:szCs w:val="32"/>
          <w:lang w:bidi="ar"/>
        </w:rPr>
        <w:t>5）独立评价原则。以第三方的身份独立开展评价活动，不受任何机构和个人的干预和影响，独立做出评价结论。</w:t>
      </w:r>
    </w:p>
    <w:p>
      <w:pPr>
        <w:pStyle w:val="26"/>
        <w:pageBreakBefore w:val="0"/>
        <w:widowControl w:val="0"/>
        <w:kinsoku/>
        <w:wordWrap/>
        <w:topLinePunct w:val="0"/>
        <w:bidi w:val="0"/>
        <w:spacing w:line="580" w:lineRule="exact"/>
        <w:ind w:firstLine="640" w:firstLineChars="200"/>
        <w:rPr>
          <w:rFonts w:ascii="仿宋_GB2312" w:hAnsi="仿宋_GB2312" w:eastAsia="仿宋_GB2312" w:cs="仿宋_GB2312"/>
          <w:b w:val="0"/>
          <w:bCs w:val="0"/>
          <w:sz w:val="32"/>
          <w:szCs w:val="32"/>
          <w:lang w:bidi="ar"/>
        </w:rPr>
      </w:pPr>
      <w:r>
        <w:rPr>
          <w:rFonts w:hint="eastAsia" w:ascii="仿宋_GB2312" w:hAnsi="仿宋_GB2312" w:eastAsia="仿宋_GB2312" w:cs="仿宋_GB2312"/>
          <w:b w:val="0"/>
          <w:bCs w:val="0"/>
          <w:sz w:val="32"/>
          <w:szCs w:val="32"/>
          <w:lang w:bidi="ar"/>
        </w:rPr>
        <w:t>（</w:t>
      </w:r>
      <w:r>
        <w:rPr>
          <w:rFonts w:ascii="仿宋_GB2312" w:hAnsi="仿宋_GB2312" w:eastAsia="仿宋_GB2312" w:cs="仿宋_GB2312"/>
          <w:b w:val="0"/>
          <w:bCs w:val="0"/>
          <w:sz w:val="32"/>
          <w:szCs w:val="32"/>
          <w:lang w:bidi="ar"/>
        </w:rPr>
        <w:t>6）回避原则。评价工作人员和评价专家与项目承担单位无任何利害关系，以确保评价结论的客观公正。</w:t>
      </w:r>
    </w:p>
    <w:p>
      <w:pPr>
        <w:pStyle w:val="26"/>
        <w:pageBreakBefore w:val="0"/>
        <w:widowControl w:val="0"/>
        <w:kinsoku/>
        <w:wordWrap/>
        <w:topLinePunct w:val="0"/>
        <w:bidi w:val="0"/>
        <w:spacing w:line="580" w:lineRule="exact"/>
        <w:ind w:firstLine="640" w:firstLineChars="200"/>
        <w:rPr>
          <w:rFonts w:ascii="仿宋_GB2312" w:hAnsi="仿宋_GB2312" w:eastAsia="仿宋_GB2312" w:cs="仿宋_GB2312"/>
          <w:b w:val="0"/>
          <w:bCs w:val="0"/>
          <w:sz w:val="32"/>
          <w:szCs w:val="32"/>
          <w:lang w:bidi="ar"/>
        </w:rPr>
      </w:pPr>
      <w:r>
        <w:rPr>
          <w:rFonts w:hint="eastAsia" w:ascii="仿宋_GB2312" w:hAnsi="仿宋_GB2312" w:eastAsia="仿宋_GB2312" w:cs="仿宋_GB2312"/>
          <w:b w:val="0"/>
          <w:bCs w:val="0"/>
          <w:sz w:val="32"/>
          <w:szCs w:val="32"/>
          <w:lang w:bidi="ar"/>
        </w:rPr>
        <w:t>（</w:t>
      </w:r>
      <w:r>
        <w:rPr>
          <w:rFonts w:ascii="仿宋_GB2312" w:hAnsi="仿宋_GB2312" w:eastAsia="仿宋_GB2312" w:cs="仿宋_GB2312"/>
          <w:b w:val="0"/>
          <w:bCs w:val="0"/>
          <w:sz w:val="32"/>
          <w:szCs w:val="32"/>
          <w:lang w:bidi="ar"/>
        </w:rPr>
        <w:t>7）反馈原则。将评价的结果反馈给委托部门，作为有关部门以后年度安排项目预算、加强项目管理等工作的重要依据。</w:t>
      </w:r>
    </w:p>
    <w:p>
      <w:pPr>
        <w:pStyle w:val="26"/>
        <w:pageBreakBefore w:val="0"/>
        <w:widowControl w:val="0"/>
        <w:kinsoku/>
        <w:wordWrap/>
        <w:topLinePunct w:val="0"/>
        <w:bidi w:val="0"/>
        <w:spacing w:line="580" w:lineRule="exact"/>
        <w:ind w:firstLine="640" w:firstLineChars="200"/>
        <w:rPr>
          <w:rFonts w:ascii="仿宋_GB2312" w:hAnsi="仿宋_GB2312" w:eastAsia="仿宋_GB2312" w:cs="仿宋_GB2312"/>
          <w:b w:val="0"/>
          <w:bCs w:val="0"/>
          <w:sz w:val="32"/>
          <w:szCs w:val="32"/>
          <w:lang w:bidi="ar"/>
        </w:rPr>
      </w:pPr>
      <w:r>
        <w:rPr>
          <w:rFonts w:hint="eastAsia" w:ascii="仿宋_GB2312" w:hAnsi="仿宋_GB2312" w:eastAsia="仿宋_GB2312" w:cs="仿宋_GB2312"/>
          <w:b w:val="0"/>
          <w:bCs w:val="0"/>
          <w:sz w:val="32"/>
          <w:szCs w:val="32"/>
          <w:lang w:bidi="ar"/>
        </w:rPr>
        <w:t>（</w:t>
      </w:r>
      <w:r>
        <w:rPr>
          <w:rFonts w:ascii="仿宋_GB2312" w:hAnsi="仿宋_GB2312" w:eastAsia="仿宋_GB2312" w:cs="仿宋_GB2312"/>
          <w:b w:val="0"/>
          <w:bCs w:val="0"/>
          <w:sz w:val="32"/>
          <w:szCs w:val="32"/>
          <w:lang w:bidi="ar"/>
        </w:rPr>
        <w:t>8）保密原则。评价工作人员和评价专家，对与项目评价有关的所有信息资料负有保密义务，未经允许，不得散布。</w:t>
      </w:r>
    </w:p>
    <w:p>
      <w:pPr>
        <w:pStyle w:val="26"/>
        <w:pageBreakBefore w:val="0"/>
        <w:widowControl w:val="0"/>
        <w:kinsoku/>
        <w:wordWrap/>
        <w:topLinePunct w:val="0"/>
        <w:bidi w:val="0"/>
        <w:spacing w:line="580" w:lineRule="exact"/>
        <w:ind w:firstLine="640" w:firstLineChars="200"/>
        <w:rPr>
          <w:rFonts w:ascii="仿宋_GB2312" w:hAnsi="仿宋_GB2312" w:eastAsia="仿宋_GB2312" w:cs="仿宋_GB2312"/>
          <w:b w:val="0"/>
          <w:bCs w:val="0"/>
          <w:sz w:val="32"/>
          <w:szCs w:val="32"/>
          <w:lang w:bidi="ar"/>
        </w:rPr>
      </w:pPr>
      <w:bookmarkStart w:id="59" w:name="_Toc1008019112_WPSOffice_Level3"/>
      <w:bookmarkStart w:id="60" w:name="_Toc104518379_WPSOffice_Level3"/>
      <w:bookmarkStart w:id="61" w:name="_Toc1957337773_WPSOffice_Level3"/>
      <w:bookmarkStart w:id="62" w:name="_Toc1403402581_WPSOffice_Level3"/>
      <w:r>
        <w:rPr>
          <w:rFonts w:ascii="仿宋_GB2312" w:hAnsi="仿宋_GB2312" w:eastAsia="仿宋_GB2312" w:cs="仿宋_GB2312"/>
          <w:b w:val="0"/>
          <w:bCs w:val="0"/>
          <w:sz w:val="32"/>
          <w:szCs w:val="32"/>
          <w:lang w:bidi="ar"/>
        </w:rPr>
        <w:t>2.评价方式和方法</w:t>
      </w:r>
      <w:bookmarkEnd w:id="59"/>
      <w:bookmarkEnd w:id="60"/>
      <w:bookmarkEnd w:id="61"/>
      <w:bookmarkEnd w:id="62"/>
    </w:p>
    <w:p>
      <w:pPr>
        <w:pStyle w:val="26"/>
        <w:pageBreakBefore w:val="0"/>
        <w:widowControl w:val="0"/>
        <w:kinsoku/>
        <w:wordWrap/>
        <w:topLinePunct w:val="0"/>
        <w:bidi w:val="0"/>
        <w:spacing w:line="580" w:lineRule="exact"/>
        <w:ind w:firstLine="640" w:firstLineChars="200"/>
        <w:rPr>
          <w:rFonts w:ascii="仿宋_GB2312" w:hAnsi="仿宋_GB2312" w:eastAsia="仿宋_GB2312" w:cs="仿宋_GB2312"/>
          <w:b w:val="0"/>
          <w:bCs w:val="0"/>
          <w:sz w:val="32"/>
          <w:szCs w:val="32"/>
          <w:lang w:bidi="ar"/>
        </w:rPr>
      </w:pPr>
      <w:r>
        <w:rPr>
          <w:rFonts w:hint="eastAsia" w:ascii="仿宋_GB2312" w:hAnsi="仿宋_GB2312" w:eastAsia="仿宋_GB2312" w:cs="仿宋_GB2312"/>
          <w:b w:val="0"/>
          <w:bCs w:val="0"/>
          <w:sz w:val="32"/>
          <w:szCs w:val="32"/>
          <w:lang w:bidi="ar"/>
        </w:rPr>
        <w:t>（</w:t>
      </w:r>
      <w:r>
        <w:rPr>
          <w:rFonts w:ascii="仿宋_GB2312" w:hAnsi="仿宋_GB2312" w:eastAsia="仿宋_GB2312" w:cs="仿宋_GB2312"/>
          <w:b w:val="0"/>
          <w:bCs w:val="0"/>
          <w:sz w:val="32"/>
          <w:szCs w:val="32"/>
          <w:lang w:bidi="ar"/>
        </w:rPr>
        <w:t>1）评价方式</w:t>
      </w:r>
    </w:p>
    <w:p>
      <w:pPr>
        <w:pStyle w:val="26"/>
        <w:pageBreakBefore w:val="0"/>
        <w:widowControl w:val="0"/>
        <w:kinsoku/>
        <w:wordWrap/>
        <w:topLinePunct w:val="0"/>
        <w:bidi w:val="0"/>
        <w:spacing w:line="580" w:lineRule="exact"/>
        <w:ind w:firstLine="640" w:firstLineChars="200"/>
        <w:rPr>
          <w:rFonts w:ascii="仿宋_GB2312" w:hAnsi="仿宋_GB2312" w:eastAsia="仿宋_GB2312" w:cs="仿宋_GB2312"/>
          <w:b w:val="0"/>
          <w:bCs w:val="0"/>
          <w:sz w:val="32"/>
          <w:szCs w:val="32"/>
          <w:lang w:bidi="ar"/>
        </w:rPr>
      </w:pPr>
      <w:r>
        <w:rPr>
          <w:rFonts w:hint="eastAsia" w:ascii="仿宋_GB2312" w:hAnsi="仿宋_GB2312" w:eastAsia="仿宋_GB2312" w:cs="仿宋_GB2312"/>
          <w:b w:val="0"/>
          <w:bCs w:val="0"/>
          <w:sz w:val="32"/>
          <w:szCs w:val="32"/>
          <w:lang w:bidi="ar"/>
        </w:rPr>
        <w:t>为保证绩效评价数据的真实、完整，本次对该项目进行现场评价，一方面对项目的档案资料进行现场核查和问询，保证原始数据的真实性；另一方面对项目具体开展情况进行勘察，进一步核实项目的完成程度和完成质量，确保评价结果的客观性。</w:t>
      </w:r>
    </w:p>
    <w:p>
      <w:pPr>
        <w:pStyle w:val="26"/>
        <w:pageBreakBefore w:val="0"/>
        <w:widowControl w:val="0"/>
        <w:kinsoku/>
        <w:wordWrap/>
        <w:topLinePunct w:val="0"/>
        <w:bidi w:val="0"/>
        <w:spacing w:line="580" w:lineRule="exact"/>
        <w:ind w:firstLine="640" w:firstLineChars="200"/>
        <w:rPr>
          <w:rFonts w:ascii="仿宋_GB2312" w:hAnsi="仿宋_GB2312" w:eastAsia="仿宋_GB2312" w:cs="仿宋_GB2312"/>
          <w:b w:val="0"/>
          <w:bCs w:val="0"/>
          <w:sz w:val="32"/>
          <w:szCs w:val="32"/>
          <w:lang w:bidi="ar"/>
        </w:rPr>
      </w:pPr>
      <w:r>
        <w:rPr>
          <w:rFonts w:hint="eastAsia" w:ascii="仿宋_GB2312" w:hAnsi="仿宋_GB2312" w:eastAsia="仿宋_GB2312" w:cs="仿宋_GB2312"/>
          <w:b w:val="0"/>
          <w:bCs w:val="0"/>
          <w:sz w:val="32"/>
          <w:szCs w:val="32"/>
          <w:lang w:bidi="ar"/>
        </w:rPr>
        <w:t>（</w:t>
      </w:r>
      <w:r>
        <w:rPr>
          <w:rFonts w:ascii="仿宋_GB2312" w:hAnsi="仿宋_GB2312" w:eastAsia="仿宋_GB2312" w:cs="仿宋_GB2312"/>
          <w:b w:val="0"/>
          <w:bCs w:val="0"/>
          <w:sz w:val="32"/>
          <w:szCs w:val="32"/>
          <w:lang w:bidi="ar"/>
        </w:rPr>
        <w:t>2）评价方法</w:t>
      </w:r>
    </w:p>
    <w:p>
      <w:pPr>
        <w:pStyle w:val="26"/>
        <w:pageBreakBefore w:val="0"/>
        <w:widowControl w:val="0"/>
        <w:kinsoku/>
        <w:wordWrap/>
        <w:topLinePunct w:val="0"/>
        <w:bidi w:val="0"/>
        <w:spacing w:line="580" w:lineRule="exact"/>
        <w:ind w:firstLine="640" w:firstLineChars="200"/>
        <w:rPr>
          <w:rFonts w:ascii="仿宋_GB2312" w:hAnsi="仿宋_GB2312" w:eastAsia="仿宋_GB2312" w:cs="仿宋_GB2312"/>
          <w:b w:val="0"/>
          <w:bCs w:val="0"/>
          <w:sz w:val="32"/>
          <w:szCs w:val="32"/>
          <w:lang w:bidi="ar"/>
        </w:rPr>
      </w:pPr>
      <w:r>
        <w:rPr>
          <w:rFonts w:hint="eastAsia" w:ascii="仿宋_GB2312" w:hAnsi="仿宋_GB2312" w:eastAsia="仿宋_GB2312" w:cs="仿宋_GB2312"/>
          <w:b w:val="0"/>
          <w:bCs w:val="0"/>
          <w:sz w:val="32"/>
          <w:szCs w:val="32"/>
          <w:lang w:bidi="ar"/>
        </w:rPr>
        <w:t>为了保证评价工作的科学性，此次评价的主要方法如下：</w:t>
      </w:r>
    </w:p>
    <w:p>
      <w:pPr>
        <w:pStyle w:val="26"/>
        <w:pageBreakBefore w:val="0"/>
        <w:widowControl w:val="0"/>
        <w:kinsoku/>
        <w:wordWrap/>
        <w:topLinePunct w:val="0"/>
        <w:bidi w:val="0"/>
        <w:spacing w:line="580" w:lineRule="exact"/>
        <w:ind w:firstLine="640" w:firstLineChars="200"/>
        <w:rPr>
          <w:rFonts w:ascii="仿宋_GB2312" w:hAnsi="仿宋_GB2312" w:eastAsia="仿宋_GB2312" w:cs="仿宋_GB2312"/>
          <w:b w:val="0"/>
          <w:bCs w:val="0"/>
          <w:sz w:val="32"/>
          <w:szCs w:val="32"/>
          <w:lang w:bidi="ar"/>
        </w:rPr>
      </w:pPr>
      <w:r>
        <w:rPr>
          <w:rFonts w:hint="eastAsia" w:ascii="仿宋_GB2312" w:hAnsi="仿宋_GB2312" w:eastAsia="仿宋_GB2312" w:cs="仿宋_GB2312"/>
          <w:b w:val="0"/>
          <w:bCs w:val="0"/>
          <w:sz w:val="32"/>
          <w:szCs w:val="32"/>
          <w:lang w:bidi="ar"/>
        </w:rPr>
        <w:t>因素分析法。是指通过分析影响目标、结果及成本的内外因素，综合分析绩效目标完成情况的评价方法。</w:t>
      </w:r>
    </w:p>
    <w:p>
      <w:pPr>
        <w:pStyle w:val="26"/>
        <w:pageBreakBefore w:val="0"/>
        <w:widowControl w:val="0"/>
        <w:kinsoku/>
        <w:wordWrap/>
        <w:topLinePunct w:val="0"/>
        <w:bidi w:val="0"/>
        <w:spacing w:line="580" w:lineRule="exact"/>
        <w:ind w:firstLine="640" w:firstLineChars="200"/>
        <w:rPr>
          <w:rFonts w:ascii="仿宋_GB2312" w:hAnsi="仿宋_GB2312" w:eastAsia="仿宋_GB2312" w:cs="仿宋_GB2312"/>
          <w:b w:val="0"/>
          <w:bCs w:val="0"/>
          <w:sz w:val="32"/>
          <w:szCs w:val="32"/>
          <w:lang w:bidi="ar"/>
        </w:rPr>
      </w:pPr>
      <w:r>
        <w:rPr>
          <w:rFonts w:hint="eastAsia" w:ascii="仿宋_GB2312" w:hAnsi="仿宋_GB2312" w:eastAsia="仿宋_GB2312" w:cs="仿宋_GB2312"/>
          <w:b w:val="0"/>
          <w:bCs w:val="0"/>
          <w:sz w:val="32"/>
          <w:szCs w:val="32"/>
          <w:lang w:bidi="ar"/>
        </w:rPr>
        <w:t>公众评价法。是指对无法直接用指标计量其效果的支出，通过专家评价、公众问卷及抽样调查，对各项绩效评价内容完成情况进行打分，并根据分值评价绩效目标完成情况的评价方法。</w:t>
      </w:r>
    </w:p>
    <w:p>
      <w:pPr>
        <w:pStyle w:val="26"/>
        <w:pageBreakBefore w:val="0"/>
        <w:widowControl w:val="0"/>
        <w:kinsoku/>
        <w:wordWrap/>
        <w:topLinePunct w:val="0"/>
        <w:bidi w:val="0"/>
        <w:spacing w:line="580" w:lineRule="exact"/>
        <w:ind w:firstLine="640" w:firstLineChars="200"/>
        <w:rPr>
          <w:rFonts w:hint="eastAsia" w:ascii="仿宋_GB2312" w:hAnsi="仿宋_GB2312" w:eastAsia="仿宋_GB2312" w:cs="仿宋_GB2312"/>
          <w:b w:val="0"/>
          <w:bCs w:val="0"/>
          <w:sz w:val="32"/>
          <w:szCs w:val="32"/>
          <w:lang w:bidi="ar"/>
        </w:rPr>
      </w:pPr>
      <w:r>
        <w:rPr>
          <w:rFonts w:hint="eastAsia" w:ascii="仿宋_GB2312" w:hAnsi="仿宋_GB2312" w:eastAsia="仿宋_GB2312" w:cs="仿宋_GB2312"/>
          <w:b w:val="0"/>
          <w:bCs w:val="0"/>
          <w:sz w:val="32"/>
          <w:szCs w:val="32"/>
          <w:lang w:bidi="ar"/>
        </w:rPr>
        <w:t>专家经验法。专家经验法是指根据</w:t>
      </w:r>
      <w:r>
        <w:rPr>
          <w:rFonts w:ascii="仿宋_GB2312" w:hAnsi="仿宋_GB2312" w:eastAsia="仿宋_GB2312" w:cs="仿宋_GB2312"/>
          <w:b w:val="0"/>
          <w:bCs w:val="0"/>
          <w:sz w:val="32"/>
          <w:szCs w:val="32"/>
          <w:lang w:bidi="ar"/>
        </w:rPr>
        <w:t>行业</w:t>
      </w:r>
      <w:r>
        <w:rPr>
          <w:rFonts w:hint="eastAsia" w:ascii="仿宋_GB2312" w:hAnsi="仿宋_GB2312" w:eastAsia="仿宋_GB2312" w:cs="仿宋_GB2312"/>
          <w:b w:val="0"/>
          <w:bCs w:val="0"/>
          <w:sz w:val="32"/>
          <w:szCs w:val="32"/>
          <w:lang w:bidi="ar"/>
        </w:rPr>
        <w:t>专家对相关工作规律和特点的经验，判断项目相应内容和预算合理性的方法。</w:t>
      </w:r>
      <w:bookmarkStart w:id="63" w:name="_Toc67444784_WPSOffice_Level2"/>
      <w:bookmarkStart w:id="64" w:name="_Toc1027329290_WPSOffice_Level2"/>
      <w:bookmarkStart w:id="65" w:name="_Toc1022887665"/>
    </w:p>
    <w:p>
      <w:pPr>
        <w:pStyle w:val="7"/>
        <w:pageBreakBefore w:val="0"/>
        <w:widowControl w:val="0"/>
        <w:kinsoku/>
        <w:wordWrap/>
        <w:overflowPunct/>
        <w:topLinePunct w:val="0"/>
        <w:bidi w:val="0"/>
        <w:spacing w:before="0" w:line="580" w:lineRule="exact"/>
        <w:ind w:left="0" w:firstLine="640" w:firstLineChars="200"/>
        <w:textAlignment w:val="auto"/>
        <w:outlineLvl w:val="1"/>
        <w:rPr>
          <w:rFonts w:hint="eastAsia" w:ascii="楷体_GB2312" w:hAnsi="楷体_GB2312" w:eastAsia="楷体_GB2312" w:cs="楷体_GB2312"/>
          <w:b w:val="0"/>
          <w:bCs w:val="0"/>
          <w:lang w:val="en-US" w:bidi="ar"/>
        </w:rPr>
      </w:pPr>
      <w:bookmarkStart w:id="66" w:name="_Toc13825"/>
      <w:r>
        <w:rPr>
          <w:rFonts w:hint="eastAsia" w:ascii="楷体_GB2312" w:hAnsi="楷体_GB2312" w:eastAsia="楷体_GB2312" w:cs="楷体_GB2312"/>
          <w:b w:val="0"/>
          <w:bCs w:val="0"/>
          <w:lang w:val="en-US" w:bidi="ar"/>
        </w:rPr>
        <w:t>（五）绩效评价指标体系</w:t>
      </w:r>
      <w:bookmarkEnd w:id="63"/>
      <w:bookmarkEnd w:id="64"/>
      <w:bookmarkEnd w:id="65"/>
      <w:bookmarkEnd w:id="66"/>
    </w:p>
    <w:p>
      <w:pPr>
        <w:pStyle w:val="26"/>
        <w:pageBreakBefore w:val="0"/>
        <w:widowControl w:val="0"/>
        <w:kinsoku/>
        <w:wordWrap/>
        <w:topLinePunct w:val="0"/>
        <w:bidi w:val="0"/>
        <w:spacing w:line="580" w:lineRule="exact"/>
        <w:ind w:firstLine="640" w:firstLineChars="200"/>
        <w:rPr>
          <w:rFonts w:ascii="仿宋_GB2312" w:hAnsi="仿宋_GB2312" w:eastAsia="仿宋_GB2312" w:cs="仿宋_GB2312"/>
          <w:b w:val="0"/>
          <w:bCs w:val="0"/>
          <w:sz w:val="32"/>
          <w:szCs w:val="32"/>
          <w:lang w:bidi="ar"/>
        </w:rPr>
      </w:pPr>
      <w:r>
        <w:rPr>
          <w:rFonts w:hint="eastAsia" w:ascii="仿宋_GB2312" w:hAnsi="仿宋_GB2312" w:eastAsia="仿宋_GB2312" w:cs="仿宋_GB2312"/>
          <w:b w:val="0"/>
          <w:bCs w:val="0"/>
          <w:sz w:val="32"/>
          <w:szCs w:val="32"/>
          <w:lang w:bidi="ar"/>
        </w:rPr>
        <w:t>本次绩效评价指标体系的设计参照财政部《关于印发</w:t>
      </w:r>
      <w:r>
        <w:rPr>
          <w:rFonts w:ascii="仿宋_GB2312" w:hAnsi="仿宋_GB2312" w:eastAsia="仿宋_GB2312" w:cs="仿宋_GB2312"/>
          <w:b w:val="0"/>
          <w:bCs w:val="0"/>
          <w:sz w:val="32"/>
          <w:szCs w:val="32"/>
          <w:lang w:bidi="ar"/>
        </w:rPr>
        <w:t>&lt;</w:t>
      </w:r>
      <w:r>
        <w:rPr>
          <w:rFonts w:hint="eastAsia" w:ascii="仿宋_GB2312" w:hAnsi="仿宋_GB2312" w:eastAsia="仿宋_GB2312" w:cs="仿宋_GB2312"/>
          <w:b w:val="0"/>
          <w:bCs w:val="0"/>
          <w:sz w:val="32"/>
          <w:szCs w:val="32"/>
          <w:lang w:bidi="ar"/>
        </w:rPr>
        <w:t>项目支出绩效评价管理暂行办法</w:t>
      </w:r>
      <w:r>
        <w:rPr>
          <w:rFonts w:ascii="仿宋_GB2312" w:hAnsi="仿宋_GB2312" w:eastAsia="仿宋_GB2312" w:cs="仿宋_GB2312"/>
          <w:b w:val="0"/>
          <w:bCs w:val="0"/>
          <w:sz w:val="32"/>
          <w:szCs w:val="32"/>
          <w:lang w:bidi="ar"/>
        </w:rPr>
        <w:t>&gt;</w:t>
      </w:r>
      <w:r>
        <w:rPr>
          <w:rFonts w:hint="eastAsia" w:ascii="仿宋_GB2312" w:hAnsi="仿宋_GB2312" w:eastAsia="仿宋_GB2312" w:cs="仿宋_GB2312"/>
          <w:b w:val="0"/>
          <w:bCs w:val="0"/>
          <w:sz w:val="32"/>
          <w:szCs w:val="32"/>
          <w:lang w:bidi="ar"/>
        </w:rPr>
        <w:t>的通知》（财预〔2020〕10号）的相关规定，对各级指标进行细化和调整，并参照专家意见和以往经验确定三级和四级指标的权重。另外，根据相关法律法规、项目绩效目标及相关管理办法及项目特点，确定绩效评价标准。（绩效评价指标体系详见附件</w:t>
      </w:r>
      <w:r>
        <w:rPr>
          <w:rFonts w:ascii="仿宋_GB2312" w:hAnsi="仿宋_GB2312" w:eastAsia="仿宋_GB2312" w:cs="仿宋_GB2312"/>
          <w:b w:val="0"/>
          <w:bCs w:val="0"/>
          <w:sz w:val="32"/>
          <w:szCs w:val="32"/>
          <w:lang w:bidi="ar"/>
        </w:rPr>
        <w:t>1）</w:t>
      </w:r>
    </w:p>
    <w:p>
      <w:pPr>
        <w:keepNext/>
        <w:keepLines/>
        <w:pageBreakBefore w:val="0"/>
        <w:kinsoku/>
        <w:wordWrap/>
        <w:topLinePunct w:val="0"/>
        <w:bidi w:val="0"/>
        <w:snapToGrid w:val="0"/>
        <w:spacing w:line="580" w:lineRule="exact"/>
        <w:ind w:firstLine="640" w:firstLineChars="200"/>
        <w:rPr>
          <w:rFonts w:ascii="仿宋_GB2312" w:hAnsi="仿宋_GB2312" w:eastAsia="仿宋_GB2312" w:cs="仿宋_GB2312"/>
          <w:b w:val="0"/>
          <w:bCs w:val="0"/>
          <w:sz w:val="32"/>
          <w:szCs w:val="32"/>
          <w:lang w:bidi="ar"/>
        </w:rPr>
      </w:pPr>
      <w:r>
        <w:rPr>
          <w:rFonts w:hint="eastAsia" w:ascii="仿宋_GB2312" w:hAnsi="仿宋_GB2312" w:eastAsia="仿宋_GB2312" w:cs="仿宋_GB2312"/>
          <w:b w:val="0"/>
          <w:bCs w:val="0"/>
          <w:sz w:val="32"/>
          <w:szCs w:val="32"/>
          <w:lang w:bidi="ar"/>
        </w:rPr>
        <w:t>本次绩效评价级次分为</w:t>
      </w:r>
      <w:r>
        <w:rPr>
          <w:rFonts w:ascii="仿宋_GB2312" w:hAnsi="仿宋_GB2312" w:eastAsia="仿宋_GB2312" w:cs="仿宋_GB2312"/>
          <w:b w:val="0"/>
          <w:bCs w:val="0"/>
          <w:sz w:val="32"/>
          <w:szCs w:val="32"/>
          <w:lang w:bidi="ar"/>
        </w:rPr>
        <w:t>4个</w:t>
      </w:r>
      <w:r>
        <w:rPr>
          <w:rFonts w:hint="eastAsia" w:ascii="仿宋_GB2312" w:hAnsi="仿宋_GB2312" w:eastAsia="仿宋_GB2312" w:cs="仿宋_GB2312"/>
          <w:b w:val="0"/>
          <w:bCs w:val="0"/>
          <w:sz w:val="32"/>
          <w:szCs w:val="32"/>
          <w:lang w:bidi="ar"/>
        </w:rPr>
        <w:t>等级：</w:t>
      </w:r>
    </w:p>
    <w:p>
      <w:pPr>
        <w:pageBreakBefore w:val="0"/>
        <w:kinsoku/>
        <w:wordWrap/>
        <w:topLinePunct w:val="0"/>
        <w:bidi w:val="0"/>
        <w:spacing w:line="580" w:lineRule="exact"/>
        <w:ind w:firstLine="640" w:firstLineChars="200"/>
        <w:rPr>
          <w:rFonts w:ascii="仿宋_GB2312" w:hAnsi="仿宋_GB2312" w:eastAsia="仿宋_GB2312" w:cs="仿宋_GB2312"/>
          <w:b w:val="0"/>
          <w:bCs w:val="0"/>
          <w:sz w:val="32"/>
          <w:szCs w:val="32"/>
          <w:lang w:bidi="ar"/>
        </w:rPr>
      </w:pPr>
      <w:r>
        <w:rPr>
          <w:rFonts w:hint="eastAsia" w:ascii="仿宋_GB2312" w:hAnsi="仿宋_GB2312" w:eastAsia="仿宋_GB2312" w:cs="仿宋_GB2312"/>
          <w:b w:val="0"/>
          <w:bCs w:val="0"/>
          <w:sz w:val="32"/>
          <w:szCs w:val="32"/>
          <w:lang w:bidi="ar"/>
        </w:rPr>
        <w:t>综合得分在90（含90分）以上为“优”；</w:t>
      </w:r>
    </w:p>
    <w:p>
      <w:pPr>
        <w:pageBreakBefore w:val="0"/>
        <w:kinsoku/>
        <w:wordWrap/>
        <w:topLinePunct w:val="0"/>
        <w:bidi w:val="0"/>
        <w:spacing w:line="580" w:lineRule="exact"/>
        <w:ind w:firstLine="640" w:firstLineChars="200"/>
        <w:rPr>
          <w:rFonts w:ascii="仿宋_GB2312" w:hAnsi="仿宋_GB2312" w:eastAsia="仿宋_GB2312" w:cs="仿宋_GB2312"/>
          <w:b w:val="0"/>
          <w:bCs w:val="0"/>
          <w:sz w:val="32"/>
          <w:szCs w:val="32"/>
          <w:lang w:bidi="ar"/>
        </w:rPr>
      </w:pPr>
      <w:r>
        <w:rPr>
          <w:rFonts w:hint="eastAsia" w:ascii="仿宋_GB2312" w:hAnsi="仿宋_GB2312" w:eastAsia="仿宋_GB2312" w:cs="仿宋_GB2312"/>
          <w:b w:val="0"/>
          <w:bCs w:val="0"/>
          <w:sz w:val="32"/>
          <w:szCs w:val="32"/>
          <w:lang w:bidi="ar"/>
        </w:rPr>
        <w:t>综合得分在80～90分（含80分）为“良”；</w:t>
      </w:r>
    </w:p>
    <w:p>
      <w:pPr>
        <w:pageBreakBefore w:val="0"/>
        <w:kinsoku/>
        <w:wordWrap/>
        <w:topLinePunct w:val="0"/>
        <w:bidi w:val="0"/>
        <w:spacing w:line="580" w:lineRule="exact"/>
        <w:ind w:firstLine="640" w:firstLineChars="200"/>
        <w:rPr>
          <w:rFonts w:ascii="仿宋_GB2312" w:hAnsi="仿宋_GB2312" w:eastAsia="仿宋_GB2312" w:cs="仿宋_GB2312"/>
          <w:b w:val="0"/>
          <w:bCs w:val="0"/>
          <w:sz w:val="32"/>
          <w:szCs w:val="32"/>
          <w:lang w:bidi="ar"/>
        </w:rPr>
      </w:pPr>
      <w:r>
        <w:rPr>
          <w:rFonts w:hint="eastAsia" w:ascii="仿宋_GB2312" w:hAnsi="仿宋_GB2312" w:eastAsia="仿宋_GB2312" w:cs="仿宋_GB2312"/>
          <w:b w:val="0"/>
          <w:bCs w:val="0"/>
          <w:sz w:val="32"/>
          <w:szCs w:val="32"/>
          <w:lang w:bidi="ar"/>
        </w:rPr>
        <w:t>综合得分在60～80分（含60分）为“中”；</w:t>
      </w:r>
    </w:p>
    <w:p>
      <w:pPr>
        <w:pStyle w:val="26"/>
        <w:pageBreakBefore w:val="0"/>
        <w:widowControl w:val="0"/>
        <w:kinsoku/>
        <w:wordWrap/>
        <w:topLinePunct w:val="0"/>
        <w:bidi w:val="0"/>
        <w:spacing w:line="580" w:lineRule="exact"/>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b w:val="0"/>
          <w:bCs w:val="0"/>
          <w:sz w:val="32"/>
          <w:szCs w:val="32"/>
          <w:lang w:bidi="ar"/>
        </w:rPr>
        <w:t>综合得分在60分以下为“差”</w:t>
      </w:r>
      <w:r>
        <w:rPr>
          <w:rFonts w:hint="eastAsia" w:ascii="仿宋_GB2312" w:hAnsi="仿宋_GB2312" w:eastAsia="仿宋_GB2312" w:cs="仿宋_GB2312"/>
          <w:sz w:val="32"/>
          <w:szCs w:val="32"/>
          <w:lang w:bidi="ar"/>
        </w:rPr>
        <w:t>。</w:t>
      </w:r>
    </w:p>
    <w:p>
      <w:pPr>
        <w:pStyle w:val="7"/>
        <w:pageBreakBefore w:val="0"/>
        <w:widowControl w:val="0"/>
        <w:kinsoku/>
        <w:wordWrap/>
        <w:overflowPunct/>
        <w:topLinePunct w:val="0"/>
        <w:bidi w:val="0"/>
        <w:spacing w:before="0" w:line="580" w:lineRule="exact"/>
        <w:ind w:left="0" w:firstLine="640" w:firstLineChars="200"/>
        <w:textAlignment w:val="auto"/>
        <w:outlineLvl w:val="1"/>
        <w:rPr>
          <w:rFonts w:hint="eastAsia" w:ascii="楷体_GB2312" w:hAnsi="楷体_GB2312" w:eastAsia="楷体_GB2312" w:cs="楷体_GB2312"/>
          <w:b w:val="0"/>
          <w:bCs w:val="0"/>
          <w:lang w:val="en-US" w:bidi="ar"/>
        </w:rPr>
      </w:pPr>
      <w:bookmarkStart w:id="67" w:name="_Toc25582"/>
      <w:bookmarkStart w:id="68" w:name="_Toc1820602719_WPSOffice_Level2"/>
      <w:bookmarkStart w:id="69" w:name="_Toc1066391420"/>
      <w:bookmarkStart w:id="70" w:name="_Toc554855150_WPSOffice_Level2"/>
      <w:r>
        <w:rPr>
          <w:rFonts w:hint="eastAsia" w:ascii="楷体_GB2312" w:hAnsi="楷体_GB2312" w:eastAsia="楷体_GB2312" w:cs="楷体_GB2312"/>
          <w:b w:val="0"/>
          <w:bCs w:val="0"/>
          <w:lang w:val="en-US" w:bidi="ar"/>
        </w:rPr>
        <w:t>（六）评价人员组成</w:t>
      </w:r>
      <w:bookmarkEnd w:id="67"/>
      <w:bookmarkEnd w:id="68"/>
      <w:bookmarkEnd w:id="69"/>
      <w:bookmarkEnd w:id="70"/>
    </w:p>
    <w:p>
      <w:pPr>
        <w:pageBreakBefore w:val="0"/>
        <w:kinsoku/>
        <w:wordWrap/>
        <w:topLinePunct w:val="0"/>
        <w:bidi w:val="0"/>
        <w:spacing w:line="580" w:lineRule="exact"/>
        <w:ind w:firstLine="640" w:firstLineChars="200"/>
      </w:pPr>
      <w:r>
        <w:rPr>
          <w:rFonts w:hint="eastAsia" w:ascii="仿宋_GB2312" w:hAnsi="仿宋_GB2312" w:eastAsia="仿宋_GB2312" w:cs="仿宋_GB2312"/>
          <w:sz w:val="32"/>
          <w:szCs w:val="32"/>
          <w:lang w:bidi="ar"/>
        </w:rPr>
        <w:t>此次评价组由</w:t>
      </w:r>
      <w:r>
        <w:rPr>
          <w:rFonts w:ascii="仿宋_GB2312" w:hAnsi="仿宋_GB2312" w:eastAsia="仿宋_GB2312" w:cs="仿宋_GB2312"/>
          <w:sz w:val="32"/>
          <w:szCs w:val="32"/>
          <w:lang w:bidi="ar"/>
        </w:rPr>
        <w:t>5</w:t>
      </w:r>
      <w:r>
        <w:rPr>
          <w:rFonts w:hint="eastAsia" w:ascii="仿宋_GB2312" w:hAnsi="仿宋_GB2312" w:eastAsia="仿宋_GB2312" w:cs="仿宋_GB2312"/>
          <w:sz w:val="32"/>
          <w:szCs w:val="32"/>
          <w:lang w:bidi="ar"/>
        </w:rPr>
        <w:t>名工作人员和1名财务专家组成，评价小组成员与被评价项目及被评价单位不存在任何利益冲突。绩效评价专家及财务专家具有相应资质或职称，在行业领域中具有多年的从业经验，同时多次参与绩效评价工作并熟悉绩效评价的工作流程；工作人员具备绩效评价知识和经验，熟悉评价项目、评价规范和技术规范。评价小组成员及专家分工详见下表：</w:t>
      </w:r>
    </w:p>
    <w:p>
      <w:pPr>
        <w:pStyle w:val="26"/>
        <w:spacing w:line="580" w:lineRule="exact"/>
        <w:jc w:val="center"/>
        <w:rPr>
          <w:rFonts w:ascii="宋体" w:hAnsi="宋体"/>
          <w:b/>
          <w:bCs/>
          <w:sz w:val="28"/>
          <w:szCs w:val="28"/>
        </w:rPr>
      </w:pPr>
      <w:bookmarkStart w:id="71" w:name="_Toc1455095989_WPSOffice_Level2"/>
      <w:bookmarkStart w:id="72" w:name="_Toc1522895777_WPSOffice_Level2"/>
      <w:bookmarkStart w:id="73" w:name="_Toc1076510776_WPSOffice_Level2"/>
      <w:r>
        <w:rPr>
          <w:rFonts w:hint="eastAsia" w:ascii="宋体" w:hAnsi="宋体"/>
          <w:b/>
          <w:bCs/>
          <w:sz w:val="28"/>
          <w:szCs w:val="28"/>
        </w:rPr>
        <w:t>表</w:t>
      </w:r>
      <w:r>
        <w:rPr>
          <w:rFonts w:ascii="宋体" w:hAnsi="宋体"/>
          <w:b/>
          <w:bCs/>
          <w:sz w:val="28"/>
          <w:szCs w:val="28"/>
        </w:rPr>
        <w:t>2</w:t>
      </w:r>
      <w:r>
        <w:rPr>
          <w:rFonts w:hint="eastAsia" w:ascii="宋体" w:hAnsi="宋体"/>
          <w:b/>
          <w:bCs/>
          <w:sz w:val="28"/>
          <w:szCs w:val="28"/>
        </w:rPr>
        <w:t>：工作人员</w:t>
      </w:r>
      <w:r>
        <w:rPr>
          <w:rFonts w:ascii="宋体" w:hAnsi="宋体"/>
          <w:b/>
          <w:bCs/>
          <w:sz w:val="28"/>
          <w:szCs w:val="28"/>
        </w:rPr>
        <w:t>分工情况表</w:t>
      </w:r>
      <w:bookmarkEnd w:id="71"/>
      <w:bookmarkEnd w:id="72"/>
      <w:bookmarkEnd w:id="73"/>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860"/>
        <w:gridCol w:w="1595"/>
        <w:gridCol w:w="2376"/>
        <w:gridCol w:w="3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64" w:type="dxa"/>
            <w:shd w:val="clear" w:color="auto" w:fill="auto"/>
            <w:vAlign w:val="center"/>
          </w:tcPr>
          <w:p>
            <w:pPr>
              <w:pStyle w:val="26"/>
              <w:spacing w:line="300" w:lineRule="exact"/>
              <w:jc w:val="left"/>
              <w:rPr>
                <w:rFonts w:hint="eastAsia" w:ascii="宋体" w:hAnsi="宋体" w:eastAsia="宋体" w:cs="宋体"/>
                <w:b/>
                <w:sz w:val="21"/>
                <w:szCs w:val="21"/>
              </w:rPr>
            </w:pPr>
            <w:r>
              <w:rPr>
                <w:rFonts w:hint="eastAsia" w:ascii="宋体" w:hAnsi="宋体" w:eastAsia="宋体" w:cs="宋体"/>
                <w:b/>
                <w:sz w:val="21"/>
                <w:szCs w:val="21"/>
              </w:rPr>
              <w:t>序号</w:t>
            </w:r>
          </w:p>
        </w:tc>
        <w:tc>
          <w:tcPr>
            <w:tcW w:w="860" w:type="dxa"/>
            <w:shd w:val="clear" w:color="auto" w:fill="auto"/>
            <w:vAlign w:val="center"/>
          </w:tcPr>
          <w:p>
            <w:pPr>
              <w:pStyle w:val="26"/>
              <w:spacing w:line="300" w:lineRule="exact"/>
              <w:jc w:val="center"/>
              <w:rPr>
                <w:rFonts w:hint="eastAsia" w:ascii="宋体" w:hAnsi="宋体" w:eastAsia="宋体" w:cs="宋体"/>
                <w:b/>
                <w:sz w:val="21"/>
                <w:szCs w:val="21"/>
              </w:rPr>
            </w:pPr>
            <w:r>
              <w:rPr>
                <w:rFonts w:hint="eastAsia" w:ascii="宋体" w:hAnsi="宋体" w:eastAsia="宋体" w:cs="宋体"/>
                <w:b/>
                <w:sz w:val="21"/>
                <w:szCs w:val="21"/>
              </w:rPr>
              <w:t>姓名</w:t>
            </w:r>
          </w:p>
        </w:tc>
        <w:tc>
          <w:tcPr>
            <w:tcW w:w="1595" w:type="dxa"/>
            <w:shd w:val="clear" w:color="auto" w:fill="auto"/>
            <w:vAlign w:val="center"/>
          </w:tcPr>
          <w:p>
            <w:pPr>
              <w:pStyle w:val="26"/>
              <w:spacing w:line="300" w:lineRule="exact"/>
              <w:jc w:val="center"/>
              <w:rPr>
                <w:rFonts w:hint="eastAsia" w:ascii="宋体" w:hAnsi="宋体" w:eastAsia="宋体" w:cs="宋体"/>
                <w:b/>
                <w:sz w:val="21"/>
                <w:szCs w:val="21"/>
              </w:rPr>
            </w:pPr>
            <w:r>
              <w:rPr>
                <w:rFonts w:hint="eastAsia" w:ascii="宋体" w:hAnsi="宋体" w:eastAsia="宋体" w:cs="宋体"/>
                <w:b/>
                <w:sz w:val="21"/>
                <w:szCs w:val="21"/>
              </w:rPr>
              <w:t>职务/职称</w:t>
            </w:r>
          </w:p>
        </w:tc>
        <w:tc>
          <w:tcPr>
            <w:tcW w:w="2376" w:type="dxa"/>
            <w:shd w:val="clear" w:color="auto" w:fill="auto"/>
            <w:vAlign w:val="center"/>
          </w:tcPr>
          <w:p>
            <w:pPr>
              <w:pStyle w:val="26"/>
              <w:spacing w:line="300" w:lineRule="exact"/>
              <w:jc w:val="center"/>
              <w:rPr>
                <w:rFonts w:hint="eastAsia" w:ascii="宋体" w:hAnsi="宋体" w:eastAsia="宋体" w:cs="宋体"/>
                <w:b/>
                <w:sz w:val="21"/>
                <w:szCs w:val="21"/>
              </w:rPr>
            </w:pPr>
            <w:r>
              <w:rPr>
                <w:rFonts w:hint="eastAsia" w:ascii="宋体" w:hAnsi="宋体" w:eastAsia="宋体" w:cs="宋体"/>
                <w:b/>
                <w:sz w:val="21"/>
                <w:szCs w:val="21"/>
              </w:rPr>
              <w:t>工作单位</w:t>
            </w:r>
          </w:p>
        </w:tc>
        <w:tc>
          <w:tcPr>
            <w:tcW w:w="3481" w:type="dxa"/>
            <w:shd w:val="clear" w:color="auto" w:fill="auto"/>
            <w:vAlign w:val="center"/>
          </w:tcPr>
          <w:p>
            <w:pPr>
              <w:pStyle w:val="26"/>
              <w:spacing w:line="300" w:lineRule="exact"/>
              <w:jc w:val="center"/>
              <w:rPr>
                <w:rFonts w:hint="eastAsia" w:ascii="宋体" w:hAnsi="宋体" w:eastAsia="宋体" w:cs="宋体"/>
                <w:b/>
                <w:sz w:val="21"/>
                <w:szCs w:val="21"/>
              </w:rPr>
            </w:pPr>
            <w:r>
              <w:rPr>
                <w:rFonts w:hint="eastAsia" w:ascii="宋体" w:hAnsi="宋体" w:eastAsia="宋体" w:cs="宋体"/>
                <w:b/>
                <w:sz w:val="21"/>
                <w:szCs w:val="21"/>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trPr>
        <w:tc>
          <w:tcPr>
            <w:tcW w:w="664" w:type="dxa"/>
            <w:vAlign w:val="center"/>
          </w:tcPr>
          <w:p>
            <w:pPr>
              <w:pStyle w:val="26"/>
              <w:spacing w:line="30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860" w:type="dxa"/>
            <w:vAlign w:val="center"/>
          </w:tcPr>
          <w:p>
            <w:pPr>
              <w:pStyle w:val="26"/>
              <w:spacing w:line="300" w:lineRule="exact"/>
              <w:jc w:val="center"/>
              <w:rPr>
                <w:rFonts w:hint="eastAsia" w:ascii="宋体" w:hAnsi="宋体" w:eastAsia="宋体" w:cs="宋体"/>
                <w:sz w:val="21"/>
                <w:szCs w:val="21"/>
              </w:rPr>
            </w:pPr>
            <w:r>
              <w:rPr>
                <w:rFonts w:hint="eastAsia" w:ascii="宋体" w:hAnsi="宋体" w:eastAsia="宋体" w:cs="宋体"/>
                <w:sz w:val="21"/>
                <w:szCs w:val="21"/>
              </w:rPr>
              <w:t>李舒月</w:t>
            </w:r>
          </w:p>
        </w:tc>
        <w:tc>
          <w:tcPr>
            <w:tcW w:w="1595" w:type="dxa"/>
            <w:vAlign w:val="center"/>
          </w:tcPr>
          <w:p>
            <w:pPr>
              <w:pStyle w:val="26"/>
              <w:spacing w:line="300" w:lineRule="exact"/>
              <w:jc w:val="center"/>
              <w:rPr>
                <w:rFonts w:hint="eastAsia" w:ascii="宋体" w:hAnsi="宋体" w:eastAsia="宋体" w:cs="宋体"/>
                <w:sz w:val="21"/>
                <w:szCs w:val="21"/>
              </w:rPr>
            </w:pPr>
            <w:r>
              <w:rPr>
                <w:rFonts w:hint="eastAsia" w:ascii="宋体" w:hAnsi="宋体" w:eastAsia="宋体" w:cs="宋体"/>
                <w:sz w:val="21"/>
                <w:szCs w:val="21"/>
              </w:rPr>
              <w:t>项目负责人/ PMP®</w:t>
            </w:r>
          </w:p>
        </w:tc>
        <w:tc>
          <w:tcPr>
            <w:tcW w:w="2376" w:type="dxa"/>
            <w:vAlign w:val="center"/>
          </w:tcPr>
          <w:p>
            <w:pPr>
              <w:pStyle w:val="26"/>
              <w:spacing w:line="300" w:lineRule="exact"/>
              <w:jc w:val="center"/>
              <w:rPr>
                <w:rFonts w:hint="eastAsia" w:ascii="宋体" w:hAnsi="宋体" w:eastAsia="宋体" w:cs="宋体"/>
                <w:sz w:val="21"/>
                <w:szCs w:val="21"/>
              </w:rPr>
            </w:pPr>
            <w:r>
              <w:rPr>
                <w:rFonts w:hint="eastAsia" w:ascii="宋体" w:hAnsi="宋体" w:eastAsia="宋体" w:cs="宋体"/>
                <w:sz w:val="21"/>
                <w:szCs w:val="21"/>
              </w:rPr>
              <w:t>中景瑞晟（北京）管理咨询有限公司</w:t>
            </w:r>
          </w:p>
        </w:tc>
        <w:tc>
          <w:tcPr>
            <w:tcW w:w="3481" w:type="dxa"/>
            <w:vAlign w:val="center"/>
          </w:tcPr>
          <w:p>
            <w:pPr>
              <w:pStyle w:val="26"/>
              <w:spacing w:line="300" w:lineRule="exact"/>
              <w:jc w:val="left"/>
              <w:rPr>
                <w:rFonts w:hint="eastAsia" w:ascii="宋体" w:hAnsi="宋体" w:eastAsia="宋体" w:cs="宋体"/>
                <w:sz w:val="21"/>
                <w:szCs w:val="21"/>
              </w:rPr>
            </w:pPr>
            <w:r>
              <w:rPr>
                <w:rFonts w:hint="eastAsia" w:ascii="宋体" w:hAnsi="宋体" w:eastAsia="宋体" w:cs="宋体"/>
                <w:sz w:val="21"/>
                <w:szCs w:val="21"/>
              </w:rPr>
              <w:t>负责整个评价工作的监督与控制，把控阶段性成果及最终成果的质量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exact"/>
        </w:trPr>
        <w:tc>
          <w:tcPr>
            <w:tcW w:w="664" w:type="dxa"/>
            <w:vAlign w:val="center"/>
          </w:tcPr>
          <w:p>
            <w:pPr>
              <w:pStyle w:val="26"/>
              <w:spacing w:line="300" w:lineRule="exact"/>
              <w:jc w:val="center"/>
              <w:rPr>
                <w:rFonts w:hint="eastAsia" w:ascii="宋体" w:hAnsi="宋体" w:eastAsia="宋体" w:cs="宋体"/>
                <w:sz w:val="21"/>
                <w:szCs w:val="21"/>
              </w:rPr>
            </w:pPr>
            <w:r>
              <w:rPr>
                <w:rFonts w:hint="eastAsia" w:ascii="宋体" w:hAnsi="宋体" w:eastAsia="宋体" w:cs="宋体"/>
                <w:sz w:val="21"/>
                <w:szCs w:val="21"/>
              </w:rPr>
              <w:t>2</w:t>
            </w:r>
          </w:p>
        </w:tc>
        <w:tc>
          <w:tcPr>
            <w:tcW w:w="860" w:type="dxa"/>
            <w:vAlign w:val="center"/>
          </w:tcPr>
          <w:p>
            <w:pPr>
              <w:pStyle w:val="26"/>
              <w:spacing w:line="300" w:lineRule="exact"/>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杨鹏冲</w:t>
            </w:r>
          </w:p>
        </w:tc>
        <w:tc>
          <w:tcPr>
            <w:tcW w:w="1595" w:type="dxa"/>
            <w:vAlign w:val="center"/>
          </w:tcPr>
          <w:p>
            <w:pPr>
              <w:pStyle w:val="26"/>
              <w:spacing w:line="300" w:lineRule="exact"/>
              <w:jc w:val="center"/>
              <w:rPr>
                <w:rFonts w:hint="eastAsia" w:ascii="宋体" w:hAnsi="宋体" w:eastAsia="宋体" w:cs="宋体"/>
                <w:sz w:val="21"/>
                <w:szCs w:val="21"/>
              </w:rPr>
            </w:pPr>
            <w:r>
              <w:rPr>
                <w:rFonts w:hint="eastAsia" w:ascii="宋体" w:hAnsi="宋体" w:eastAsia="宋体" w:cs="宋体"/>
                <w:sz w:val="21"/>
                <w:szCs w:val="21"/>
              </w:rPr>
              <w:t>项目经理</w:t>
            </w:r>
          </w:p>
        </w:tc>
        <w:tc>
          <w:tcPr>
            <w:tcW w:w="2376" w:type="dxa"/>
            <w:vAlign w:val="center"/>
          </w:tcPr>
          <w:p>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中景瑞晟（北京）管理咨询有限公司</w:t>
            </w:r>
          </w:p>
        </w:tc>
        <w:tc>
          <w:tcPr>
            <w:tcW w:w="3481" w:type="dxa"/>
            <w:vAlign w:val="center"/>
          </w:tcPr>
          <w:p>
            <w:pPr>
              <w:pStyle w:val="26"/>
              <w:spacing w:line="300" w:lineRule="exact"/>
              <w:jc w:val="left"/>
              <w:rPr>
                <w:rFonts w:hint="eastAsia" w:ascii="宋体" w:hAnsi="宋体" w:eastAsia="宋体" w:cs="宋体"/>
                <w:sz w:val="21"/>
                <w:szCs w:val="21"/>
              </w:rPr>
            </w:pPr>
            <w:r>
              <w:rPr>
                <w:rFonts w:hint="eastAsia" w:ascii="宋体" w:hAnsi="宋体" w:eastAsia="宋体" w:cs="宋体"/>
                <w:sz w:val="21"/>
                <w:szCs w:val="21"/>
              </w:rPr>
              <w:t>负责评价工作前期准备、实施阶段及报告撰写各个阶段统筹安排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trPr>
        <w:tc>
          <w:tcPr>
            <w:tcW w:w="664" w:type="dxa"/>
            <w:vAlign w:val="center"/>
          </w:tcPr>
          <w:p>
            <w:pPr>
              <w:pStyle w:val="26"/>
              <w:spacing w:line="300" w:lineRule="exact"/>
              <w:jc w:val="center"/>
              <w:rPr>
                <w:rFonts w:hint="eastAsia" w:ascii="宋体" w:hAnsi="宋体" w:eastAsia="宋体" w:cs="宋体"/>
                <w:sz w:val="21"/>
                <w:szCs w:val="21"/>
              </w:rPr>
            </w:pPr>
            <w:r>
              <w:rPr>
                <w:rFonts w:hint="eastAsia" w:ascii="宋体" w:hAnsi="宋体" w:eastAsia="宋体" w:cs="宋体"/>
                <w:sz w:val="21"/>
                <w:szCs w:val="21"/>
              </w:rPr>
              <w:t>3</w:t>
            </w:r>
          </w:p>
        </w:tc>
        <w:tc>
          <w:tcPr>
            <w:tcW w:w="860" w:type="dxa"/>
            <w:vAlign w:val="center"/>
          </w:tcPr>
          <w:p>
            <w:pPr>
              <w:pStyle w:val="26"/>
              <w:spacing w:line="300" w:lineRule="exact"/>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翟哲文</w:t>
            </w:r>
          </w:p>
        </w:tc>
        <w:tc>
          <w:tcPr>
            <w:tcW w:w="1595" w:type="dxa"/>
            <w:vAlign w:val="center"/>
          </w:tcPr>
          <w:p>
            <w:pPr>
              <w:pStyle w:val="26"/>
              <w:spacing w:line="300" w:lineRule="exact"/>
              <w:jc w:val="center"/>
              <w:rPr>
                <w:rFonts w:hint="eastAsia" w:ascii="宋体" w:hAnsi="宋体" w:eastAsia="宋体" w:cs="宋体"/>
                <w:sz w:val="21"/>
                <w:szCs w:val="21"/>
              </w:rPr>
            </w:pPr>
            <w:r>
              <w:rPr>
                <w:rFonts w:hint="eastAsia" w:ascii="宋体" w:hAnsi="宋体" w:eastAsia="宋体" w:cs="宋体"/>
                <w:sz w:val="21"/>
                <w:szCs w:val="21"/>
              </w:rPr>
              <w:t>项目经理</w:t>
            </w:r>
          </w:p>
        </w:tc>
        <w:tc>
          <w:tcPr>
            <w:tcW w:w="2376" w:type="dxa"/>
            <w:vAlign w:val="center"/>
          </w:tcPr>
          <w:p>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中景瑞晟（北京）管理咨询有限公司</w:t>
            </w:r>
          </w:p>
        </w:tc>
        <w:tc>
          <w:tcPr>
            <w:tcW w:w="3481" w:type="dxa"/>
            <w:vAlign w:val="center"/>
          </w:tcPr>
          <w:p>
            <w:pPr>
              <w:pStyle w:val="26"/>
              <w:spacing w:line="300" w:lineRule="exact"/>
              <w:jc w:val="left"/>
              <w:rPr>
                <w:rFonts w:hint="eastAsia" w:ascii="宋体" w:hAnsi="宋体" w:eastAsia="宋体" w:cs="宋体"/>
                <w:sz w:val="21"/>
                <w:szCs w:val="21"/>
              </w:rPr>
            </w:pPr>
            <w:r>
              <w:rPr>
                <w:rFonts w:hint="eastAsia" w:ascii="宋体" w:hAnsi="宋体" w:eastAsia="宋体" w:cs="宋体"/>
                <w:sz w:val="21"/>
                <w:szCs w:val="21"/>
              </w:rPr>
              <w:t>负责评价工作前期准备、实施阶段及报告撰写各个阶段统筹安排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trPr>
        <w:tc>
          <w:tcPr>
            <w:tcW w:w="664" w:type="dxa"/>
            <w:vAlign w:val="center"/>
          </w:tcPr>
          <w:p>
            <w:pPr>
              <w:pStyle w:val="26"/>
              <w:spacing w:line="300" w:lineRule="exact"/>
              <w:jc w:val="center"/>
              <w:rPr>
                <w:rFonts w:hint="eastAsia" w:ascii="宋体" w:hAnsi="宋体" w:eastAsia="宋体" w:cs="宋体"/>
                <w:sz w:val="21"/>
                <w:szCs w:val="21"/>
              </w:rPr>
            </w:pPr>
            <w:r>
              <w:rPr>
                <w:rFonts w:hint="eastAsia" w:ascii="宋体" w:hAnsi="宋体" w:eastAsia="宋体" w:cs="宋体"/>
                <w:sz w:val="21"/>
                <w:szCs w:val="21"/>
              </w:rPr>
              <w:t>4</w:t>
            </w:r>
          </w:p>
        </w:tc>
        <w:tc>
          <w:tcPr>
            <w:tcW w:w="860" w:type="dxa"/>
            <w:vAlign w:val="center"/>
          </w:tcPr>
          <w:p>
            <w:pPr>
              <w:pStyle w:val="26"/>
              <w:spacing w:line="300" w:lineRule="exact"/>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张  杨</w:t>
            </w:r>
          </w:p>
        </w:tc>
        <w:tc>
          <w:tcPr>
            <w:tcW w:w="1595" w:type="dxa"/>
            <w:vAlign w:val="center"/>
          </w:tcPr>
          <w:p>
            <w:pPr>
              <w:pStyle w:val="26"/>
              <w:spacing w:line="300" w:lineRule="exact"/>
              <w:jc w:val="center"/>
              <w:rPr>
                <w:rFonts w:hint="eastAsia" w:ascii="宋体" w:hAnsi="宋体" w:eastAsia="宋体" w:cs="宋体"/>
                <w:sz w:val="21"/>
                <w:szCs w:val="21"/>
                <w:lang w:val="en-US" w:eastAsia="zh-CN" w:bidi="ar-SA"/>
              </w:rPr>
            </w:pPr>
            <w:r>
              <w:rPr>
                <w:rFonts w:hint="eastAsia" w:ascii="宋体" w:hAnsi="宋体" w:eastAsia="宋体" w:cs="宋体"/>
                <w:sz w:val="21"/>
                <w:szCs w:val="21"/>
              </w:rPr>
              <w:t>项目助理</w:t>
            </w:r>
          </w:p>
        </w:tc>
        <w:tc>
          <w:tcPr>
            <w:tcW w:w="2376" w:type="dxa"/>
            <w:vAlign w:val="center"/>
          </w:tcPr>
          <w:p>
            <w:pPr>
              <w:spacing w:line="300" w:lineRule="exact"/>
              <w:jc w:val="center"/>
              <w:rPr>
                <w:rFonts w:hint="eastAsia" w:ascii="宋体" w:hAnsi="宋体" w:eastAsia="宋体" w:cs="宋体"/>
                <w:sz w:val="21"/>
                <w:szCs w:val="21"/>
                <w:lang w:val="en-US" w:eastAsia="zh-CN" w:bidi="ar-SA"/>
              </w:rPr>
            </w:pPr>
            <w:r>
              <w:rPr>
                <w:rFonts w:hint="eastAsia" w:ascii="宋体" w:hAnsi="宋体" w:eastAsia="宋体" w:cs="宋体"/>
                <w:sz w:val="21"/>
                <w:szCs w:val="21"/>
              </w:rPr>
              <w:t>中景瑞晟（北京）管理咨询有限公司</w:t>
            </w:r>
          </w:p>
        </w:tc>
        <w:tc>
          <w:tcPr>
            <w:tcW w:w="3481" w:type="dxa"/>
            <w:vAlign w:val="center"/>
          </w:tcPr>
          <w:p>
            <w:pPr>
              <w:pStyle w:val="26"/>
              <w:spacing w:line="300" w:lineRule="exact"/>
              <w:jc w:val="left"/>
              <w:rPr>
                <w:rFonts w:hint="eastAsia" w:ascii="宋体" w:hAnsi="宋体" w:eastAsia="宋体" w:cs="宋体"/>
                <w:sz w:val="21"/>
                <w:szCs w:val="21"/>
                <w:lang w:val="en-US" w:eastAsia="zh-CN" w:bidi="ar-SA"/>
              </w:rPr>
            </w:pPr>
            <w:r>
              <w:rPr>
                <w:rFonts w:hint="eastAsia" w:ascii="宋体" w:hAnsi="宋体" w:eastAsia="宋体" w:cs="宋体"/>
                <w:sz w:val="21"/>
                <w:szCs w:val="21"/>
              </w:rPr>
              <w:t>负责协助完成现场评价相关工作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trPr>
        <w:tc>
          <w:tcPr>
            <w:tcW w:w="664" w:type="dxa"/>
            <w:vAlign w:val="center"/>
          </w:tcPr>
          <w:p>
            <w:pPr>
              <w:pStyle w:val="26"/>
              <w:spacing w:line="300" w:lineRule="exact"/>
              <w:jc w:val="center"/>
              <w:rPr>
                <w:rFonts w:hint="eastAsia" w:ascii="宋体" w:hAnsi="宋体" w:eastAsia="宋体" w:cs="宋体"/>
                <w:sz w:val="21"/>
                <w:szCs w:val="21"/>
              </w:rPr>
            </w:pPr>
            <w:r>
              <w:rPr>
                <w:rFonts w:hint="eastAsia" w:ascii="宋体" w:hAnsi="宋体" w:eastAsia="宋体" w:cs="宋体"/>
                <w:sz w:val="21"/>
                <w:szCs w:val="21"/>
              </w:rPr>
              <w:t>5</w:t>
            </w:r>
          </w:p>
        </w:tc>
        <w:tc>
          <w:tcPr>
            <w:tcW w:w="860" w:type="dxa"/>
            <w:vAlign w:val="center"/>
          </w:tcPr>
          <w:p>
            <w:pPr>
              <w:pStyle w:val="26"/>
              <w:spacing w:line="3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王悦梦</w:t>
            </w:r>
          </w:p>
        </w:tc>
        <w:tc>
          <w:tcPr>
            <w:tcW w:w="1595" w:type="dxa"/>
            <w:vAlign w:val="center"/>
          </w:tcPr>
          <w:p>
            <w:pPr>
              <w:pStyle w:val="26"/>
              <w:spacing w:line="300" w:lineRule="exact"/>
              <w:jc w:val="center"/>
              <w:rPr>
                <w:rFonts w:hint="eastAsia" w:ascii="宋体" w:hAnsi="宋体" w:eastAsia="宋体" w:cs="宋体"/>
                <w:sz w:val="21"/>
                <w:szCs w:val="21"/>
              </w:rPr>
            </w:pPr>
            <w:r>
              <w:rPr>
                <w:rFonts w:hint="eastAsia" w:ascii="宋体" w:hAnsi="宋体" w:eastAsia="宋体" w:cs="宋体"/>
                <w:sz w:val="21"/>
                <w:szCs w:val="21"/>
              </w:rPr>
              <w:t>项目助理</w:t>
            </w:r>
          </w:p>
        </w:tc>
        <w:tc>
          <w:tcPr>
            <w:tcW w:w="2376" w:type="dxa"/>
            <w:vAlign w:val="center"/>
          </w:tcPr>
          <w:p>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中景瑞晟（北京）管理咨询有限公司</w:t>
            </w:r>
          </w:p>
        </w:tc>
        <w:tc>
          <w:tcPr>
            <w:tcW w:w="3481" w:type="dxa"/>
            <w:vAlign w:val="center"/>
          </w:tcPr>
          <w:p>
            <w:pPr>
              <w:pStyle w:val="26"/>
              <w:spacing w:line="300" w:lineRule="exact"/>
              <w:jc w:val="left"/>
              <w:rPr>
                <w:rFonts w:hint="eastAsia" w:ascii="宋体" w:hAnsi="宋体" w:eastAsia="宋体" w:cs="宋体"/>
                <w:sz w:val="21"/>
                <w:szCs w:val="21"/>
              </w:rPr>
            </w:pPr>
            <w:r>
              <w:rPr>
                <w:rFonts w:hint="eastAsia" w:ascii="宋体" w:hAnsi="宋体" w:eastAsia="宋体" w:cs="宋体"/>
                <w:sz w:val="21"/>
                <w:szCs w:val="21"/>
              </w:rPr>
              <w:t>负责协助完成现场评价相关工作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exact"/>
        </w:trPr>
        <w:tc>
          <w:tcPr>
            <w:tcW w:w="664" w:type="dxa"/>
            <w:vAlign w:val="center"/>
          </w:tcPr>
          <w:p>
            <w:pPr>
              <w:pStyle w:val="26"/>
              <w:spacing w:line="300" w:lineRule="exact"/>
              <w:jc w:val="center"/>
              <w:rPr>
                <w:rFonts w:hint="eastAsia" w:ascii="宋体" w:hAnsi="宋体" w:eastAsia="宋体" w:cs="宋体"/>
                <w:sz w:val="21"/>
                <w:szCs w:val="21"/>
              </w:rPr>
            </w:pPr>
            <w:r>
              <w:rPr>
                <w:rFonts w:hint="eastAsia" w:ascii="宋体" w:hAnsi="宋体" w:eastAsia="宋体" w:cs="宋体"/>
                <w:sz w:val="21"/>
                <w:szCs w:val="21"/>
              </w:rPr>
              <w:t>6</w:t>
            </w:r>
          </w:p>
        </w:tc>
        <w:tc>
          <w:tcPr>
            <w:tcW w:w="860" w:type="dxa"/>
            <w:vAlign w:val="center"/>
          </w:tcPr>
          <w:p>
            <w:pPr>
              <w:pStyle w:val="26"/>
              <w:spacing w:line="300" w:lineRule="exact"/>
              <w:jc w:val="center"/>
              <w:rPr>
                <w:rFonts w:hint="eastAsia" w:ascii="宋体" w:hAnsi="宋体" w:eastAsia="宋体" w:cs="宋体"/>
                <w:sz w:val="21"/>
                <w:szCs w:val="21"/>
              </w:rPr>
            </w:pPr>
            <w:r>
              <w:rPr>
                <w:rFonts w:hint="eastAsia" w:ascii="宋体" w:hAnsi="宋体" w:eastAsia="宋体" w:cs="宋体"/>
                <w:sz w:val="21"/>
                <w:szCs w:val="21"/>
              </w:rPr>
              <w:t>孙天</w:t>
            </w:r>
            <w:r>
              <w:rPr>
                <w:rFonts w:hint="eastAsia" w:ascii="宋体" w:hAnsi="宋体" w:eastAsia="宋体" w:cs="宋体"/>
                <w:sz w:val="21"/>
                <w:szCs w:val="21"/>
                <w:lang w:val="en-US" w:eastAsia="zh-CN"/>
              </w:rPr>
              <w:t>波</w:t>
            </w:r>
          </w:p>
        </w:tc>
        <w:tc>
          <w:tcPr>
            <w:tcW w:w="1595" w:type="dxa"/>
            <w:vAlign w:val="center"/>
          </w:tcPr>
          <w:p>
            <w:pPr>
              <w:pStyle w:val="26"/>
              <w:spacing w:line="3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高级会计</w:t>
            </w:r>
            <w:r>
              <w:rPr>
                <w:rFonts w:hint="eastAsia" w:ascii="宋体" w:hAnsi="宋体" w:eastAsia="宋体" w:cs="宋体"/>
                <w:sz w:val="21"/>
                <w:szCs w:val="21"/>
                <w:lang w:val="en-US" w:eastAsia="zh-CN"/>
              </w:rPr>
              <w:t>师</w:t>
            </w:r>
          </w:p>
        </w:tc>
        <w:tc>
          <w:tcPr>
            <w:tcW w:w="2376" w:type="dxa"/>
            <w:vAlign w:val="center"/>
          </w:tcPr>
          <w:p>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中景瑞晟（北京）管理咨询有限公司</w:t>
            </w:r>
          </w:p>
        </w:tc>
        <w:tc>
          <w:tcPr>
            <w:tcW w:w="3481" w:type="dxa"/>
            <w:vAlign w:val="center"/>
          </w:tcPr>
          <w:p>
            <w:pPr>
              <w:pStyle w:val="26"/>
              <w:spacing w:line="300" w:lineRule="exact"/>
              <w:jc w:val="left"/>
              <w:rPr>
                <w:rFonts w:hint="eastAsia" w:ascii="宋体" w:hAnsi="宋体" w:eastAsia="宋体" w:cs="宋体"/>
                <w:sz w:val="21"/>
                <w:szCs w:val="21"/>
              </w:rPr>
            </w:pPr>
            <w:r>
              <w:rPr>
                <w:rFonts w:hint="eastAsia" w:ascii="宋体" w:hAnsi="宋体" w:eastAsia="宋体" w:cs="宋体"/>
                <w:sz w:val="21"/>
                <w:szCs w:val="21"/>
              </w:rPr>
              <w:t>作为财务专家对项目的实施情况进行评价</w:t>
            </w:r>
          </w:p>
        </w:tc>
      </w:tr>
    </w:tbl>
    <w:p>
      <w:pPr>
        <w:pStyle w:val="4"/>
        <w:pageBreakBefore w:val="0"/>
        <w:widowControl/>
        <w:kinsoku/>
        <w:wordWrap/>
        <w:topLinePunct w:val="0"/>
        <w:bidi w:val="0"/>
        <w:snapToGrid/>
        <w:ind w:firstLine="640" w:firstLineChars="200"/>
        <w:jc w:val="both"/>
        <w:rPr>
          <w:rFonts w:hint="eastAsia" w:ascii="楷体_GB2312" w:hAnsi="楷体_GB2312" w:eastAsia="楷体_GB2312" w:cs="楷体_GB2312"/>
          <w:b w:val="0"/>
          <w:bCs w:val="0"/>
          <w:lang w:bidi="ar"/>
        </w:rPr>
      </w:pPr>
      <w:bookmarkStart w:id="74" w:name="_Toc7843"/>
      <w:bookmarkStart w:id="75" w:name="_Toc1599219093_WPSOffice_Level2"/>
      <w:bookmarkStart w:id="76" w:name="_Toc366886257_WPSOffice_Level2"/>
      <w:bookmarkStart w:id="77" w:name="_Toc2089561725"/>
      <w:r>
        <w:rPr>
          <w:rFonts w:hint="eastAsia" w:ascii="楷体_GB2312" w:hAnsi="楷体_GB2312" w:eastAsia="楷体_GB2312" w:cs="楷体_GB2312"/>
          <w:b w:val="0"/>
          <w:bCs w:val="0"/>
          <w:lang w:bidi="ar"/>
        </w:rPr>
        <w:t>（七）绩效评价工作过程</w:t>
      </w:r>
      <w:bookmarkEnd w:id="74"/>
      <w:bookmarkEnd w:id="75"/>
      <w:bookmarkEnd w:id="76"/>
      <w:bookmarkEnd w:id="77"/>
    </w:p>
    <w:p>
      <w:pPr>
        <w:pStyle w:val="26"/>
        <w:pageBreakBefore w:val="0"/>
        <w:widowControl/>
        <w:kinsoku/>
        <w:wordWrap/>
        <w:topLinePunct w:val="0"/>
        <w:bidi w:val="0"/>
        <w:snapToGrid/>
        <w:spacing w:line="580" w:lineRule="exact"/>
        <w:ind w:firstLine="640" w:firstLineChars="200"/>
        <w:jc w:val="both"/>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本次绩效评价时间为2020年8月11日至9月18日，主要工作内容包括以下</w:t>
      </w:r>
      <w:r>
        <w:rPr>
          <w:rFonts w:hint="eastAsia" w:ascii="仿宋_GB2312" w:hAnsi="仿宋_GB2312" w:eastAsia="仿宋_GB2312" w:cs="仿宋_GB2312"/>
          <w:sz w:val="32"/>
          <w:szCs w:val="32"/>
          <w:lang w:eastAsia="zh-CN" w:bidi="ar"/>
        </w:rPr>
        <w:t>三</w:t>
      </w:r>
      <w:r>
        <w:rPr>
          <w:rFonts w:hint="eastAsia" w:ascii="仿宋_GB2312" w:hAnsi="仿宋_GB2312" w:eastAsia="仿宋_GB2312" w:cs="仿宋_GB2312"/>
          <w:sz w:val="32"/>
          <w:szCs w:val="32"/>
          <w:lang w:bidi="ar"/>
        </w:rPr>
        <w:t>个方面：</w:t>
      </w:r>
    </w:p>
    <w:p>
      <w:pPr>
        <w:pStyle w:val="26"/>
        <w:pageBreakBefore w:val="0"/>
        <w:widowControl/>
        <w:kinsoku/>
        <w:wordWrap/>
        <w:topLinePunct w:val="0"/>
        <w:bidi w:val="0"/>
        <w:snapToGrid/>
        <w:spacing w:line="580" w:lineRule="exact"/>
        <w:ind w:firstLine="643" w:firstLineChars="200"/>
        <w:jc w:val="both"/>
        <w:rPr>
          <w:rFonts w:ascii="仿宋_GB2312" w:hAnsi="仿宋_GB2312" w:eastAsia="仿宋_GB2312" w:cs="仿宋_GB2312"/>
          <w:b/>
          <w:bCs/>
          <w:sz w:val="32"/>
          <w:szCs w:val="32"/>
          <w:lang w:bidi="ar"/>
        </w:rPr>
      </w:pPr>
      <w:bookmarkStart w:id="78" w:name="_Toc1970013932_WPSOffice_Level3"/>
      <w:bookmarkStart w:id="79" w:name="_Toc2044863799_WPSOffice_Level3"/>
      <w:bookmarkStart w:id="80" w:name="_Toc1729154765_WPSOffice_Level3"/>
      <w:bookmarkStart w:id="81" w:name="_Toc680269286_WPSOffice_Level3"/>
      <w:r>
        <w:rPr>
          <w:rFonts w:ascii="仿宋_GB2312" w:hAnsi="仿宋_GB2312" w:eastAsia="仿宋_GB2312" w:cs="仿宋_GB2312"/>
          <w:b/>
          <w:bCs/>
          <w:sz w:val="32"/>
          <w:szCs w:val="32"/>
          <w:lang w:bidi="ar"/>
        </w:rPr>
        <w:t>1.</w:t>
      </w:r>
      <w:r>
        <w:rPr>
          <w:rFonts w:hint="eastAsia" w:ascii="仿宋_GB2312" w:hAnsi="仿宋_GB2312" w:eastAsia="仿宋_GB2312" w:cs="仿宋_GB2312"/>
          <w:b/>
          <w:bCs/>
          <w:sz w:val="32"/>
          <w:szCs w:val="32"/>
          <w:lang w:bidi="ar"/>
        </w:rPr>
        <w:t>评价准备阶段（</w:t>
      </w:r>
      <w:r>
        <w:rPr>
          <w:rFonts w:hint="eastAsia" w:ascii="仿宋_GB2312" w:hAnsi="仿宋_GB2312" w:eastAsia="仿宋_GB2312" w:cs="仿宋_GB2312"/>
          <w:b/>
          <w:bCs/>
          <w:sz w:val="32"/>
          <w:szCs w:val="32"/>
          <w:lang w:val="en-US" w:eastAsia="zh-CN" w:bidi="ar"/>
        </w:rPr>
        <w:t>8</w:t>
      </w:r>
      <w:r>
        <w:rPr>
          <w:rFonts w:hint="eastAsia" w:ascii="仿宋_GB2312" w:hAnsi="仿宋_GB2312" w:eastAsia="仿宋_GB2312" w:cs="仿宋_GB2312"/>
          <w:b/>
          <w:bCs/>
          <w:sz w:val="32"/>
          <w:szCs w:val="32"/>
          <w:lang w:bidi="ar"/>
        </w:rPr>
        <w:t>月</w:t>
      </w:r>
      <w:r>
        <w:rPr>
          <w:rFonts w:ascii="仿宋_GB2312" w:hAnsi="仿宋_GB2312" w:eastAsia="仿宋_GB2312" w:cs="仿宋_GB2312"/>
          <w:b/>
          <w:bCs/>
          <w:sz w:val="32"/>
          <w:szCs w:val="32"/>
          <w:lang w:bidi="ar"/>
        </w:rPr>
        <w:t>1</w:t>
      </w:r>
      <w:r>
        <w:rPr>
          <w:rFonts w:hint="eastAsia" w:ascii="仿宋_GB2312" w:hAnsi="仿宋_GB2312" w:eastAsia="仿宋_GB2312" w:cs="仿宋_GB2312"/>
          <w:b/>
          <w:bCs/>
          <w:sz w:val="32"/>
          <w:szCs w:val="32"/>
          <w:lang w:val="en-US" w:eastAsia="zh-CN" w:bidi="ar"/>
        </w:rPr>
        <w:t>1</w:t>
      </w:r>
      <w:r>
        <w:rPr>
          <w:rFonts w:hint="eastAsia" w:ascii="仿宋_GB2312" w:hAnsi="仿宋_GB2312" w:eastAsia="仿宋_GB2312" w:cs="仿宋_GB2312"/>
          <w:b/>
          <w:bCs/>
          <w:sz w:val="32"/>
          <w:szCs w:val="32"/>
          <w:lang w:bidi="ar"/>
        </w:rPr>
        <w:t>日-</w:t>
      </w:r>
      <w:r>
        <w:rPr>
          <w:rFonts w:hint="eastAsia" w:ascii="仿宋_GB2312" w:hAnsi="仿宋_GB2312" w:eastAsia="仿宋_GB2312" w:cs="仿宋_GB2312"/>
          <w:b/>
          <w:bCs/>
          <w:sz w:val="32"/>
          <w:szCs w:val="32"/>
          <w:lang w:val="en-US" w:eastAsia="zh-CN" w:bidi="ar"/>
        </w:rPr>
        <w:t>8</w:t>
      </w:r>
      <w:r>
        <w:rPr>
          <w:rFonts w:hint="eastAsia" w:ascii="仿宋_GB2312" w:hAnsi="仿宋_GB2312" w:eastAsia="仿宋_GB2312" w:cs="仿宋_GB2312"/>
          <w:b/>
          <w:bCs/>
          <w:sz w:val="32"/>
          <w:szCs w:val="32"/>
          <w:lang w:bidi="ar"/>
        </w:rPr>
        <w:t>月</w:t>
      </w:r>
      <w:r>
        <w:rPr>
          <w:rFonts w:hint="eastAsia" w:ascii="仿宋_GB2312" w:hAnsi="仿宋_GB2312" w:eastAsia="仿宋_GB2312" w:cs="仿宋_GB2312"/>
          <w:b/>
          <w:bCs/>
          <w:sz w:val="32"/>
          <w:szCs w:val="32"/>
          <w:lang w:val="en-US" w:eastAsia="zh-CN" w:bidi="ar"/>
        </w:rPr>
        <w:t>31</w:t>
      </w:r>
      <w:r>
        <w:rPr>
          <w:rFonts w:hint="eastAsia" w:ascii="仿宋_GB2312" w:hAnsi="仿宋_GB2312" w:eastAsia="仿宋_GB2312" w:cs="仿宋_GB2312"/>
          <w:b/>
          <w:bCs/>
          <w:sz w:val="32"/>
          <w:szCs w:val="32"/>
          <w:lang w:bidi="ar"/>
        </w:rPr>
        <w:t>日）</w:t>
      </w:r>
      <w:bookmarkEnd w:id="78"/>
      <w:bookmarkEnd w:id="79"/>
      <w:bookmarkEnd w:id="80"/>
      <w:bookmarkEnd w:id="81"/>
    </w:p>
    <w:p>
      <w:pPr>
        <w:pStyle w:val="7"/>
        <w:pageBreakBefore w:val="0"/>
        <w:widowControl/>
        <w:kinsoku/>
        <w:wordWrap/>
        <w:topLinePunct w:val="0"/>
        <w:bidi w:val="0"/>
        <w:snapToGrid/>
        <w:spacing w:before="0" w:line="580" w:lineRule="exact"/>
        <w:ind w:left="0" w:firstLine="640" w:firstLineChars="200"/>
        <w:jc w:val="both"/>
        <w:outlineLvl w:val="0"/>
        <w:rPr>
          <w:lang w:val="en-US" w:bidi="ar"/>
        </w:rPr>
      </w:pPr>
      <w:bookmarkStart w:id="82" w:name="_Toc5698"/>
      <w:bookmarkStart w:id="83" w:name="_Toc13783"/>
      <w:bookmarkStart w:id="84" w:name="_Toc121285678_WPSOffice_Level3"/>
      <w:bookmarkStart w:id="85" w:name="_Toc7940504_WPSOffice_Level3"/>
      <w:r>
        <w:rPr>
          <w:rFonts w:hint="eastAsia"/>
          <w:lang w:val="en-US" w:bidi="ar"/>
        </w:rPr>
        <w:t>首先，熟悉政策、法规和相关资料。在明确委托方要求的前提下，评价机构搜集并分析相关法律法规、政策文件以及初步的项目资料，明确评价目的、项目概况、项目背景以及项目实施的完成情况等。</w:t>
      </w:r>
      <w:bookmarkEnd w:id="82"/>
      <w:bookmarkEnd w:id="83"/>
    </w:p>
    <w:p>
      <w:pPr>
        <w:pStyle w:val="7"/>
        <w:pageBreakBefore w:val="0"/>
        <w:widowControl/>
        <w:kinsoku/>
        <w:wordWrap/>
        <w:topLinePunct w:val="0"/>
        <w:bidi w:val="0"/>
        <w:snapToGrid/>
        <w:spacing w:before="0" w:line="580" w:lineRule="exact"/>
        <w:ind w:left="0" w:firstLine="640" w:firstLineChars="200"/>
        <w:jc w:val="both"/>
        <w:outlineLvl w:val="0"/>
        <w:rPr>
          <w:lang w:val="en-US" w:bidi="ar"/>
        </w:rPr>
      </w:pPr>
      <w:bookmarkStart w:id="86" w:name="_Toc28705"/>
      <w:bookmarkStart w:id="87" w:name="_Toc6301"/>
      <w:r>
        <w:rPr>
          <w:rFonts w:hint="eastAsia"/>
          <w:lang w:val="en-US" w:bidi="ar"/>
        </w:rPr>
        <w:t>其次，设计指标体系。与委托方、项目主管部门、项目单位等进行沟通、访谈，设计绩效评价指标，包括确定评价原则、评价方法、评价指标内容、确定指标权重及评价标准等。</w:t>
      </w:r>
      <w:bookmarkEnd w:id="86"/>
      <w:bookmarkEnd w:id="87"/>
    </w:p>
    <w:p>
      <w:pPr>
        <w:pStyle w:val="7"/>
        <w:pageBreakBefore w:val="0"/>
        <w:widowControl/>
        <w:kinsoku/>
        <w:wordWrap/>
        <w:topLinePunct w:val="0"/>
        <w:bidi w:val="0"/>
        <w:snapToGrid/>
        <w:spacing w:before="0" w:line="580" w:lineRule="exact"/>
        <w:ind w:left="0" w:firstLine="640" w:firstLineChars="200"/>
        <w:jc w:val="both"/>
        <w:outlineLvl w:val="0"/>
        <w:rPr>
          <w:lang w:val="en-US" w:bidi="ar"/>
        </w:rPr>
      </w:pPr>
      <w:bookmarkStart w:id="88" w:name="_Toc32689"/>
      <w:bookmarkStart w:id="89" w:name="_Toc29846"/>
      <w:r>
        <w:rPr>
          <w:lang w:val="en-US" w:bidi="ar"/>
        </w:rPr>
        <w:t>再次</w:t>
      </w:r>
      <w:r>
        <w:rPr>
          <w:rFonts w:hint="eastAsia"/>
          <w:lang w:val="en-US" w:bidi="ar"/>
        </w:rPr>
        <w:t>，制订绩效评价工作方案。就评价背景、评价目的、评价对象和内容、评价方法、评价依据和进度安排等制定初步工作方案和绩效评价指标体系并报委托方审核，依据委托方提出的意见进一步完善工作方案和指标体系。</w:t>
      </w:r>
      <w:bookmarkEnd w:id="88"/>
      <w:bookmarkEnd w:id="89"/>
    </w:p>
    <w:p>
      <w:pPr>
        <w:pStyle w:val="7"/>
        <w:pageBreakBefore w:val="0"/>
        <w:widowControl/>
        <w:kinsoku/>
        <w:wordWrap/>
        <w:topLinePunct w:val="0"/>
        <w:bidi w:val="0"/>
        <w:snapToGrid/>
        <w:spacing w:before="0" w:line="580" w:lineRule="exact"/>
        <w:ind w:left="0" w:firstLine="640" w:firstLineChars="200"/>
        <w:jc w:val="both"/>
        <w:outlineLvl w:val="0"/>
        <w:rPr>
          <w:lang w:val="en-US" w:bidi="ar"/>
        </w:rPr>
      </w:pPr>
      <w:bookmarkStart w:id="90" w:name="_Toc7041"/>
      <w:bookmarkStart w:id="91" w:name="_Toc26597"/>
      <w:r>
        <w:rPr>
          <w:rFonts w:hint="eastAsia"/>
          <w:lang w:val="en-US" w:bidi="ar"/>
        </w:rPr>
        <w:t>最后，制定评价表格。评价机构根据工作需求进行资料清单、调查文本设计，包括需要由项目实施单位提供的评价资料明细、基础数据表、访谈提纲、调查表、调查问卷、现场勘查记录表等。</w:t>
      </w:r>
      <w:bookmarkEnd w:id="90"/>
      <w:bookmarkEnd w:id="91"/>
    </w:p>
    <w:p>
      <w:pPr>
        <w:pStyle w:val="26"/>
        <w:pageBreakBefore w:val="0"/>
        <w:widowControl/>
        <w:kinsoku/>
        <w:wordWrap/>
        <w:topLinePunct w:val="0"/>
        <w:bidi w:val="0"/>
        <w:snapToGrid/>
        <w:spacing w:line="580" w:lineRule="exact"/>
        <w:ind w:firstLine="643" w:firstLineChars="200"/>
        <w:jc w:val="both"/>
        <w:rPr>
          <w:rFonts w:ascii="仿宋_GB2312" w:hAnsi="仿宋_GB2312" w:eastAsia="仿宋_GB2312" w:cs="仿宋_GB2312"/>
          <w:b/>
          <w:bCs/>
          <w:sz w:val="32"/>
          <w:szCs w:val="32"/>
          <w:lang w:bidi="ar"/>
        </w:rPr>
      </w:pPr>
      <w:bookmarkStart w:id="92" w:name="_Toc1845066852_WPSOffice_Level3"/>
      <w:bookmarkStart w:id="93" w:name="_Toc82953174_WPSOffice_Level3"/>
      <w:r>
        <w:rPr>
          <w:rFonts w:ascii="仿宋_GB2312" w:hAnsi="仿宋_GB2312" w:eastAsia="仿宋_GB2312" w:cs="仿宋_GB2312"/>
          <w:b/>
          <w:bCs/>
          <w:sz w:val="32"/>
          <w:szCs w:val="32"/>
          <w:lang w:bidi="ar"/>
        </w:rPr>
        <w:t>2.</w:t>
      </w:r>
      <w:r>
        <w:rPr>
          <w:rFonts w:hint="eastAsia" w:ascii="仿宋_GB2312" w:hAnsi="仿宋_GB2312" w:eastAsia="仿宋_GB2312" w:cs="仿宋_GB2312"/>
          <w:b/>
          <w:bCs/>
          <w:sz w:val="32"/>
          <w:szCs w:val="32"/>
          <w:lang w:bidi="ar"/>
        </w:rPr>
        <w:t>评价实施阶段（</w:t>
      </w:r>
      <w:r>
        <w:rPr>
          <w:rFonts w:hint="eastAsia" w:ascii="仿宋_GB2312" w:hAnsi="仿宋_GB2312" w:eastAsia="仿宋_GB2312" w:cs="仿宋_GB2312"/>
          <w:b/>
          <w:bCs/>
          <w:sz w:val="32"/>
          <w:szCs w:val="32"/>
          <w:lang w:val="en-US" w:eastAsia="zh-CN" w:bidi="ar"/>
        </w:rPr>
        <w:t>9</w:t>
      </w:r>
      <w:r>
        <w:rPr>
          <w:rFonts w:hint="eastAsia" w:ascii="仿宋_GB2312" w:hAnsi="仿宋_GB2312" w:eastAsia="仿宋_GB2312" w:cs="仿宋_GB2312"/>
          <w:b/>
          <w:bCs/>
          <w:sz w:val="32"/>
          <w:szCs w:val="32"/>
          <w:lang w:bidi="ar"/>
        </w:rPr>
        <w:t>月</w:t>
      </w:r>
      <w:r>
        <w:rPr>
          <w:rFonts w:hint="eastAsia" w:ascii="仿宋_GB2312" w:hAnsi="仿宋_GB2312" w:eastAsia="仿宋_GB2312" w:cs="仿宋_GB2312"/>
          <w:b/>
          <w:bCs/>
          <w:sz w:val="32"/>
          <w:szCs w:val="32"/>
          <w:lang w:val="en-US" w:eastAsia="zh-CN" w:bidi="ar"/>
        </w:rPr>
        <w:t>1</w:t>
      </w:r>
      <w:r>
        <w:rPr>
          <w:rFonts w:hint="eastAsia" w:ascii="仿宋_GB2312" w:hAnsi="仿宋_GB2312" w:eastAsia="仿宋_GB2312" w:cs="仿宋_GB2312"/>
          <w:b/>
          <w:bCs/>
          <w:sz w:val="32"/>
          <w:szCs w:val="32"/>
          <w:lang w:bidi="ar"/>
        </w:rPr>
        <w:t>日-</w:t>
      </w:r>
      <w:r>
        <w:rPr>
          <w:rFonts w:hint="eastAsia" w:ascii="仿宋_GB2312" w:hAnsi="仿宋_GB2312" w:eastAsia="仿宋_GB2312" w:cs="仿宋_GB2312"/>
          <w:b/>
          <w:bCs/>
          <w:sz w:val="32"/>
          <w:szCs w:val="32"/>
          <w:lang w:val="en-US" w:eastAsia="zh-CN" w:bidi="ar"/>
        </w:rPr>
        <w:t>9</w:t>
      </w:r>
      <w:r>
        <w:rPr>
          <w:rFonts w:hint="eastAsia" w:ascii="仿宋_GB2312" w:hAnsi="仿宋_GB2312" w:eastAsia="仿宋_GB2312" w:cs="仿宋_GB2312"/>
          <w:b/>
          <w:bCs/>
          <w:sz w:val="32"/>
          <w:szCs w:val="32"/>
          <w:lang w:bidi="ar"/>
        </w:rPr>
        <w:t>月</w:t>
      </w:r>
      <w:r>
        <w:rPr>
          <w:rFonts w:hint="eastAsia" w:ascii="仿宋_GB2312" w:hAnsi="仿宋_GB2312" w:eastAsia="仿宋_GB2312" w:cs="仿宋_GB2312"/>
          <w:b/>
          <w:bCs/>
          <w:sz w:val="32"/>
          <w:szCs w:val="32"/>
          <w:lang w:val="en-US" w:eastAsia="zh-CN" w:bidi="ar"/>
        </w:rPr>
        <w:t>10</w:t>
      </w:r>
      <w:r>
        <w:rPr>
          <w:rFonts w:hint="eastAsia" w:ascii="仿宋_GB2312" w:hAnsi="仿宋_GB2312" w:eastAsia="仿宋_GB2312" w:cs="仿宋_GB2312"/>
          <w:b/>
          <w:bCs/>
          <w:sz w:val="32"/>
          <w:szCs w:val="32"/>
          <w:lang w:bidi="ar"/>
        </w:rPr>
        <w:t>日）</w:t>
      </w:r>
      <w:bookmarkEnd w:id="84"/>
      <w:bookmarkEnd w:id="85"/>
      <w:bookmarkEnd w:id="92"/>
      <w:bookmarkEnd w:id="93"/>
    </w:p>
    <w:p>
      <w:pPr>
        <w:pStyle w:val="26"/>
        <w:pageBreakBefore w:val="0"/>
        <w:widowControl/>
        <w:kinsoku/>
        <w:wordWrap/>
        <w:topLinePunct w:val="0"/>
        <w:bidi w:val="0"/>
        <w:snapToGrid/>
        <w:spacing w:line="580" w:lineRule="exact"/>
        <w:ind w:firstLine="640" w:firstLineChars="200"/>
        <w:jc w:val="both"/>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评价机构依据工作需要组建评价小组到项目单位进行现场评价。采取勘察、问询、座谈、复核等多种方式，结合项目单位提供的项目资料，对项目的实施和完成情况进行核实，并对所掌握的有关信息进行分类、整理和初步分析，形成现场评价意见。</w:t>
      </w:r>
    </w:p>
    <w:p>
      <w:pPr>
        <w:pStyle w:val="26"/>
        <w:pageBreakBefore w:val="0"/>
        <w:widowControl/>
        <w:kinsoku/>
        <w:wordWrap/>
        <w:topLinePunct w:val="0"/>
        <w:bidi w:val="0"/>
        <w:snapToGrid/>
        <w:spacing w:line="580" w:lineRule="exact"/>
        <w:ind w:firstLine="643" w:firstLineChars="200"/>
        <w:jc w:val="both"/>
        <w:rPr>
          <w:rFonts w:ascii="仿宋_GB2312" w:hAnsi="仿宋_GB2312" w:eastAsia="仿宋_GB2312" w:cs="仿宋_GB2312"/>
          <w:b/>
          <w:bCs/>
          <w:sz w:val="32"/>
          <w:szCs w:val="32"/>
          <w:lang w:bidi="ar"/>
        </w:rPr>
      </w:pPr>
      <w:bookmarkStart w:id="94" w:name="_Toc312064614_WPSOffice_Level3"/>
      <w:bookmarkStart w:id="95" w:name="_Toc374718884_WPSOffice_Level3"/>
      <w:bookmarkStart w:id="96" w:name="_Toc486409143_WPSOffice_Level3"/>
      <w:bookmarkStart w:id="97" w:name="_Toc477108515_WPSOffice_Level3"/>
      <w:r>
        <w:rPr>
          <w:rFonts w:hint="eastAsia" w:ascii="仿宋_GB2312" w:hAnsi="仿宋_GB2312" w:eastAsia="仿宋_GB2312" w:cs="仿宋_GB2312"/>
          <w:b/>
          <w:bCs/>
          <w:sz w:val="32"/>
          <w:szCs w:val="32"/>
          <w:lang w:bidi="ar"/>
        </w:rPr>
        <w:t>3.撰写并报送评价报告阶段（</w:t>
      </w:r>
      <w:r>
        <w:rPr>
          <w:rFonts w:hint="eastAsia" w:ascii="仿宋_GB2312" w:hAnsi="仿宋_GB2312" w:eastAsia="仿宋_GB2312" w:cs="仿宋_GB2312"/>
          <w:b/>
          <w:bCs/>
          <w:sz w:val="32"/>
          <w:szCs w:val="32"/>
          <w:lang w:val="en-US" w:eastAsia="zh-CN" w:bidi="ar"/>
        </w:rPr>
        <w:t>9</w:t>
      </w:r>
      <w:r>
        <w:rPr>
          <w:rFonts w:hint="eastAsia" w:ascii="仿宋_GB2312" w:hAnsi="仿宋_GB2312" w:eastAsia="仿宋_GB2312" w:cs="仿宋_GB2312"/>
          <w:b/>
          <w:bCs/>
          <w:sz w:val="32"/>
          <w:szCs w:val="32"/>
          <w:lang w:bidi="ar"/>
        </w:rPr>
        <w:t>月</w:t>
      </w:r>
      <w:r>
        <w:rPr>
          <w:rFonts w:hint="eastAsia" w:ascii="仿宋_GB2312" w:hAnsi="仿宋_GB2312" w:eastAsia="仿宋_GB2312" w:cs="仿宋_GB2312"/>
          <w:b/>
          <w:bCs/>
          <w:sz w:val="32"/>
          <w:szCs w:val="32"/>
          <w:lang w:val="en-US" w:eastAsia="zh-CN" w:bidi="ar"/>
        </w:rPr>
        <w:t>11日</w:t>
      </w:r>
      <w:r>
        <w:rPr>
          <w:rFonts w:hint="eastAsia" w:ascii="仿宋_GB2312" w:hAnsi="仿宋_GB2312" w:eastAsia="仿宋_GB2312" w:cs="仿宋_GB2312"/>
          <w:b/>
          <w:bCs/>
          <w:sz w:val="32"/>
          <w:szCs w:val="32"/>
          <w:lang w:bidi="ar"/>
        </w:rPr>
        <w:t>-</w:t>
      </w:r>
      <w:r>
        <w:rPr>
          <w:rFonts w:hint="eastAsia" w:ascii="仿宋_GB2312" w:hAnsi="仿宋_GB2312" w:eastAsia="仿宋_GB2312" w:cs="仿宋_GB2312"/>
          <w:b/>
          <w:bCs/>
          <w:sz w:val="32"/>
          <w:szCs w:val="32"/>
          <w:lang w:val="en-US" w:eastAsia="zh-CN" w:bidi="ar"/>
        </w:rPr>
        <w:t>9</w:t>
      </w:r>
      <w:r>
        <w:rPr>
          <w:rFonts w:hint="eastAsia" w:ascii="仿宋_GB2312" w:hAnsi="仿宋_GB2312" w:eastAsia="仿宋_GB2312" w:cs="仿宋_GB2312"/>
          <w:b/>
          <w:bCs/>
          <w:sz w:val="32"/>
          <w:szCs w:val="32"/>
          <w:lang w:bidi="ar"/>
        </w:rPr>
        <w:t>月</w:t>
      </w:r>
      <w:r>
        <w:rPr>
          <w:rFonts w:hint="eastAsia" w:ascii="仿宋_GB2312" w:hAnsi="仿宋_GB2312" w:eastAsia="仿宋_GB2312" w:cs="仿宋_GB2312"/>
          <w:b/>
          <w:bCs/>
          <w:sz w:val="32"/>
          <w:szCs w:val="32"/>
          <w:lang w:val="en-US" w:eastAsia="zh-CN" w:bidi="ar"/>
        </w:rPr>
        <w:t>18</w:t>
      </w:r>
      <w:r>
        <w:rPr>
          <w:rFonts w:hint="eastAsia" w:ascii="仿宋_GB2312" w:hAnsi="仿宋_GB2312" w:eastAsia="仿宋_GB2312" w:cs="仿宋_GB2312"/>
          <w:b/>
          <w:bCs/>
          <w:sz w:val="32"/>
          <w:szCs w:val="32"/>
          <w:lang w:bidi="ar"/>
        </w:rPr>
        <w:t>日）</w:t>
      </w:r>
      <w:bookmarkEnd w:id="94"/>
      <w:bookmarkEnd w:id="95"/>
      <w:bookmarkEnd w:id="96"/>
      <w:bookmarkEnd w:id="97"/>
    </w:p>
    <w:p>
      <w:pPr>
        <w:pStyle w:val="26"/>
        <w:pageBreakBefore w:val="0"/>
        <w:widowControl/>
        <w:kinsoku/>
        <w:wordWrap/>
        <w:topLinePunct w:val="0"/>
        <w:bidi w:val="0"/>
        <w:snapToGrid/>
        <w:spacing w:line="580" w:lineRule="exact"/>
        <w:ind w:firstLine="640" w:firstLineChars="200"/>
        <w:jc w:val="both"/>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根据现场评价意见和相关调研记录，对项目立项、绩效目标、资金投入、资金管理、组织实施、项目产出、项目效益等情况进行分析评价，撰写《山亭区2018年贫困村饮用水水源地保护项目绩效评价报告》。针对评价过程中发现的问题，提出合理性建议和改进措施，报送委托方，并根据委托方的意见进一步修改完善报告。</w:t>
      </w:r>
    </w:p>
    <w:p>
      <w:pPr>
        <w:pStyle w:val="7"/>
        <w:keepNext w:val="0"/>
        <w:keepLines w:val="0"/>
        <w:pageBreakBefore w:val="0"/>
        <w:widowControl/>
        <w:kinsoku/>
        <w:wordWrap/>
        <w:topLinePunct w:val="0"/>
        <w:bidi w:val="0"/>
        <w:adjustRightInd w:val="0"/>
        <w:spacing w:before="0" w:line="580" w:lineRule="exact"/>
        <w:ind w:left="0" w:firstLine="640" w:firstLineChars="200"/>
        <w:outlineLvl w:val="0"/>
        <w:rPr>
          <w:rFonts w:ascii="黑体" w:hAnsi="黑体" w:eastAsia="黑体" w:cs="黑体"/>
          <w:b w:val="0"/>
          <w:bCs w:val="0"/>
          <w:lang w:val="en-US" w:bidi="ar"/>
        </w:rPr>
      </w:pPr>
      <w:bookmarkStart w:id="98" w:name="_Toc362314199_WPSOffice_Level1"/>
      <w:bookmarkStart w:id="99" w:name="_Toc144366311_WPSOffice_Level1"/>
      <w:bookmarkStart w:id="100" w:name="_Toc2666"/>
      <w:bookmarkStart w:id="101" w:name="_Toc1463832684"/>
      <w:r>
        <w:rPr>
          <w:rFonts w:hint="eastAsia" w:ascii="黑体" w:hAnsi="黑体" w:eastAsia="黑体" w:cs="黑体"/>
          <w:b w:val="0"/>
          <w:bCs w:val="0"/>
          <w:lang w:val="en-US" w:bidi="ar"/>
        </w:rPr>
        <w:t>四、评价结论</w:t>
      </w:r>
      <w:r>
        <w:rPr>
          <w:rFonts w:ascii="黑体" w:hAnsi="黑体" w:eastAsia="黑体" w:cs="黑体"/>
          <w:b w:val="0"/>
          <w:bCs w:val="0"/>
          <w:lang w:val="en-US" w:bidi="ar"/>
        </w:rPr>
        <w:t>及分析</w:t>
      </w:r>
      <w:bookmarkEnd w:id="98"/>
      <w:bookmarkEnd w:id="99"/>
      <w:bookmarkEnd w:id="100"/>
      <w:bookmarkEnd w:id="101"/>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outlineLvl w:val="1"/>
        <w:rPr>
          <w:rFonts w:hint="eastAsia" w:ascii="楷体_GB2312" w:hAnsi="楷体_GB2312" w:eastAsia="楷体_GB2312" w:cs="楷体_GB2312"/>
          <w:b w:val="0"/>
          <w:bCs w:val="0"/>
          <w:sz w:val="32"/>
          <w:szCs w:val="32"/>
          <w:lang w:bidi="ar"/>
        </w:rPr>
      </w:pPr>
      <w:bookmarkStart w:id="102" w:name="_Toc831770862_WPSOffice_Level2"/>
      <w:bookmarkStart w:id="103" w:name="_Toc1845066852_WPSOffice_Level2"/>
      <w:bookmarkStart w:id="104" w:name="_Toc82953174_WPSOffice_Level2"/>
      <w:bookmarkStart w:id="105" w:name="_Toc5667"/>
      <w:bookmarkStart w:id="106" w:name="_Toc169970199_WPSOffice_Level2"/>
      <w:r>
        <w:rPr>
          <w:rFonts w:hint="eastAsia" w:ascii="楷体_GB2312" w:hAnsi="楷体_GB2312" w:eastAsia="楷体_GB2312" w:cs="楷体_GB2312"/>
          <w:b w:val="0"/>
          <w:bCs w:val="0"/>
          <w:sz w:val="32"/>
          <w:szCs w:val="32"/>
          <w:lang w:bidi="ar"/>
        </w:rPr>
        <w:t>（一）综合评价结论</w:t>
      </w:r>
      <w:bookmarkEnd w:id="102"/>
      <w:bookmarkEnd w:id="103"/>
      <w:bookmarkEnd w:id="104"/>
      <w:bookmarkEnd w:id="105"/>
      <w:bookmarkEnd w:id="106"/>
    </w:p>
    <w:p>
      <w:pPr>
        <w:keepNext w:val="0"/>
        <w:keepLines w:val="0"/>
        <w:pageBreakBefore w:val="0"/>
        <w:widowControl/>
        <w:kinsoku/>
        <w:wordWrap/>
        <w:topLinePunct w:val="0"/>
        <w:bidi w:val="0"/>
        <w:adjustRightInd w:val="0"/>
        <w:spacing w:line="580" w:lineRule="exact"/>
        <w:ind w:firstLine="640" w:firstLineChars="200"/>
        <w:rPr>
          <w:rFonts w:ascii="仿宋_GB2312" w:hAnsi="仿宋_GB2312" w:eastAsia="仿宋_GB2312" w:cs="仿宋_GB2312"/>
          <w:sz w:val="32"/>
          <w:szCs w:val="32"/>
          <w:lang w:bidi="ar"/>
        </w:rPr>
      </w:pPr>
      <w:r>
        <w:rPr>
          <w:rFonts w:hint="eastAsia" w:ascii="仿宋_GB2312" w:eastAsia="仿宋_GB2312" w:cs="仿宋_GB2312"/>
          <w:sz w:val="32"/>
          <w:szCs w:val="32"/>
          <w:lang w:val="en-US" w:eastAsia="zh-CN"/>
        </w:rPr>
        <w:t>山亭区2018年贫困村饮用水水源地保护项目</w:t>
      </w:r>
      <w:r>
        <w:rPr>
          <w:rFonts w:hint="eastAsia" w:ascii="仿宋_GB2312" w:hAnsi="仿宋_GB2312" w:eastAsia="仿宋_GB2312" w:cs="仿宋_GB2312"/>
          <w:sz w:val="32"/>
          <w:szCs w:val="32"/>
          <w:lang w:bidi="ar"/>
        </w:rPr>
        <w:t>综合得分为9</w:t>
      </w:r>
      <w:r>
        <w:rPr>
          <w:rFonts w:hint="eastAsia" w:ascii="仿宋_GB2312" w:hAnsi="仿宋_GB2312" w:eastAsia="仿宋_GB2312" w:cs="仿宋_GB2312"/>
          <w:sz w:val="32"/>
          <w:szCs w:val="32"/>
          <w:lang w:val="en-US" w:eastAsia="zh-CN" w:bidi="ar"/>
        </w:rPr>
        <w:t>3.5</w:t>
      </w:r>
      <w:r>
        <w:rPr>
          <w:rFonts w:hint="eastAsia" w:ascii="仿宋_GB2312" w:hAnsi="仿宋_GB2312" w:eastAsia="仿宋_GB2312" w:cs="仿宋_GB2312"/>
          <w:sz w:val="32"/>
          <w:szCs w:val="32"/>
          <w:lang w:bidi="ar"/>
        </w:rPr>
        <w:t>分，评价等级为“优”。项目总体上立项依据充分、程序规范，招投标管理、合同管理、项目进度和质量管理规范，资金申请和拨付流程合规，且项目成效显著。一级指标得分情况详见下表。</w:t>
      </w:r>
    </w:p>
    <w:p>
      <w:pPr>
        <w:pStyle w:val="26"/>
        <w:spacing w:line="580" w:lineRule="exact"/>
        <w:ind w:firstLine="562" w:firstLineChars="200"/>
        <w:jc w:val="center"/>
        <w:rPr>
          <w:rFonts w:ascii="宋体" w:hAnsi="宋体" w:cs="宋体"/>
          <w:b/>
          <w:bCs/>
          <w:sz w:val="28"/>
          <w:szCs w:val="28"/>
        </w:rPr>
      </w:pPr>
      <w:bookmarkStart w:id="107" w:name="_Toc1273555566_WPSOffice_Level2"/>
      <w:bookmarkStart w:id="108" w:name="_Toc535884083_WPSOffice_Level2"/>
      <w:bookmarkStart w:id="109" w:name="_Toc1601819311_WPSOffice_Level2"/>
      <w:r>
        <w:rPr>
          <w:rFonts w:hint="eastAsia" w:ascii="宋体" w:hAnsi="宋体" w:cs="宋体"/>
          <w:b/>
          <w:bCs/>
          <w:sz w:val="28"/>
          <w:szCs w:val="28"/>
        </w:rPr>
        <w:t>表</w:t>
      </w:r>
      <w:r>
        <w:rPr>
          <w:rFonts w:ascii="宋体" w:hAnsi="宋体" w:cs="宋体"/>
          <w:b/>
          <w:bCs/>
          <w:sz w:val="28"/>
          <w:szCs w:val="28"/>
        </w:rPr>
        <w:t>3</w:t>
      </w:r>
      <w:r>
        <w:rPr>
          <w:rFonts w:hint="eastAsia" w:ascii="宋体" w:hAnsi="宋体" w:cs="宋体"/>
          <w:b/>
          <w:bCs/>
          <w:sz w:val="28"/>
          <w:szCs w:val="28"/>
        </w:rPr>
        <w:t>：</w:t>
      </w:r>
      <w:r>
        <w:rPr>
          <w:rFonts w:hint="eastAsia" w:ascii="宋体" w:hAnsi="宋体" w:cs="宋体"/>
          <w:b/>
          <w:bCs/>
          <w:sz w:val="28"/>
          <w:szCs w:val="28"/>
          <w:lang w:val="en-US" w:eastAsia="zh-CN"/>
        </w:rPr>
        <w:t>项目</w:t>
      </w:r>
      <w:r>
        <w:rPr>
          <w:rFonts w:hint="eastAsia" w:ascii="宋体" w:hAnsi="宋体" w:cs="宋体"/>
          <w:b/>
          <w:bCs/>
          <w:sz w:val="28"/>
          <w:szCs w:val="28"/>
        </w:rPr>
        <w:t>绩效评价得分表</w:t>
      </w:r>
      <w:bookmarkEnd w:id="107"/>
      <w:bookmarkEnd w:id="108"/>
      <w:bookmarkEnd w:id="109"/>
    </w:p>
    <w:tbl>
      <w:tblPr>
        <w:tblStyle w:val="15"/>
        <w:tblW w:w="9071" w:type="dxa"/>
        <w:tblInd w:w="0" w:type="dxa"/>
        <w:tblLayout w:type="fixed"/>
        <w:tblCellMar>
          <w:top w:w="0" w:type="dxa"/>
          <w:left w:w="0" w:type="dxa"/>
          <w:bottom w:w="0" w:type="dxa"/>
          <w:right w:w="0" w:type="dxa"/>
        </w:tblCellMar>
      </w:tblPr>
      <w:tblGrid>
        <w:gridCol w:w="2584"/>
        <w:gridCol w:w="2162"/>
        <w:gridCol w:w="2162"/>
        <w:gridCol w:w="2163"/>
      </w:tblGrid>
      <w:tr>
        <w:tblPrEx>
          <w:tblCellMar>
            <w:top w:w="0" w:type="dxa"/>
            <w:left w:w="0" w:type="dxa"/>
            <w:bottom w:w="0" w:type="dxa"/>
            <w:right w:w="0" w:type="dxa"/>
          </w:tblCellMar>
        </w:tblPrEx>
        <w:trPr>
          <w:trHeight w:val="306" w:hRule="atLeast"/>
        </w:trPr>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
                <w:bCs/>
              </w:rPr>
            </w:pPr>
            <w:r>
              <w:rPr>
                <w:rFonts w:hint="eastAsia" w:ascii="宋体" w:hAnsi="宋体" w:cs="宋体"/>
                <w:b/>
                <w:bCs/>
              </w:rPr>
              <w:t>评价内容</w:t>
            </w:r>
          </w:p>
        </w:tc>
        <w:tc>
          <w:tcPr>
            <w:tcW w:w="2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
                <w:bCs/>
              </w:rPr>
            </w:pPr>
            <w:r>
              <w:rPr>
                <w:rFonts w:hint="eastAsia" w:ascii="宋体" w:hAnsi="宋体" w:cs="宋体"/>
                <w:b/>
                <w:bCs/>
              </w:rPr>
              <w:t>分值</w:t>
            </w:r>
          </w:p>
        </w:tc>
        <w:tc>
          <w:tcPr>
            <w:tcW w:w="2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
                <w:bCs/>
              </w:rPr>
            </w:pPr>
            <w:r>
              <w:rPr>
                <w:rFonts w:hint="eastAsia" w:ascii="宋体" w:hAnsi="宋体" w:cs="宋体"/>
                <w:b/>
                <w:bCs/>
              </w:rPr>
              <w:t>得分</w:t>
            </w:r>
          </w:p>
        </w:tc>
        <w:tc>
          <w:tcPr>
            <w:tcW w:w="21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
                <w:bCs/>
              </w:rPr>
            </w:pPr>
            <w:r>
              <w:rPr>
                <w:rFonts w:hint="eastAsia" w:ascii="宋体" w:hAnsi="宋体" w:cs="宋体"/>
                <w:b/>
                <w:bCs/>
              </w:rPr>
              <w:t>得分率</w:t>
            </w:r>
          </w:p>
        </w:tc>
      </w:tr>
      <w:tr>
        <w:tblPrEx>
          <w:tblCellMar>
            <w:top w:w="0" w:type="dxa"/>
            <w:left w:w="0" w:type="dxa"/>
            <w:bottom w:w="0" w:type="dxa"/>
            <w:right w:w="0" w:type="dxa"/>
          </w:tblCellMar>
        </w:tblPrEx>
        <w:trPr>
          <w:cantSplit/>
          <w:trHeight w:val="397" w:hRule="atLeast"/>
        </w:trPr>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Fonts w:ascii="宋体" w:hAnsi="宋体" w:cs="宋体"/>
                <w:lang w:bidi="ar"/>
              </w:rPr>
              <w:t>决策</w:t>
            </w:r>
          </w:p>
        </w:tc>
        <w:tc>
          <w:tcPr>
            <w:tcW w:w="2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eastAsia" w:ascii="宋体" w:hAnsi="宋体" w:eastAsia="宋体" w:cs="宋体"/>
                <w:lang w:eastAsia="zh-CN"/>
              </w:rPr>
            </w:pPr>
            <w:r>
              <w:rPr>
                <w:rFonts w:ascii="宋体" w:hAnsi="宋体" w:cs="宋体"/>
                <w:lang w:bidi="ar"/>
              </w:rPr>
              <w:t>1</w:t>
            </w:r>
            <w:r>
              <w:rPr>
                <w:rFonts w:hint="eastAsia" w:ascii="宋体" w:hAnsi="宋体" w:cs="宋体"/>
                <w:lang w:val="en-US" w:eastAsia="zh-CN" w:bidi="ar"/>
              </w:rPr>
              <w:t>5</w:t>
            </w:r>
          </w:p>
        </w:tc>
        <w:tc>
          <w:tcPr>
            <w:tcW w:w="2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eastAsia" w:ascii="宋体" w:hAnsi="宋体" w:eastAsia="宋体" w:cs="宋体"/>
                <w:lang w:eastAsia="zh-CN"/>
              </w:rPr>
            </w:pPr>
            <w:r>
              <w:rPr>
                <w:rFonts w:ascii="宋体" w:hAnsi="宋体" w:cs="宋体"/>
              </w:rPr>
              <w:t>1</w:t>
            </w:r>
            <w:r>
              <w:rPr>
                <w:rFonts w:hint="eastAsia" w:ascii="宋体" w:hAnsi="宋体" w:cs="宋体"/>
                <w:lang w:val="en-US" w:eastAsia="zh-CN"/>
              </w:rPr>
              <w:t>5</w:t>
            </w:r>
          </w:p>
        </w:tc>
        <w:tc>
          <w:tcPr>
            <w:tcW w:w="21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Fonts w:ascii="宋体" w:hAnsi="宋体" w:cs="宋体"/>
              </w:rPr>
              <w:t>100%</w:t>
            </w:r>
          </w:p>
        </w:tc>
      </w:tr>
      <w:tr>
        <w:tblPrEx>
          <w:tblCellMar>
            <w:top w:w="0" w:type="dxa"/>
            <w:left w:w="0" w:type="dxa"/>
            <w:bottom w:w="0" w:type="dxa"/>
            <w:right w:w="0" w:type="dxa"/>
          </w:tblCellMar>
        </w:tblPrEx>
        <w:trPr>
          <w:cantSplit/>
          <w:trHeight w:val="403" w:hRule="atLeast"/>
        </w:trPr>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Fonts w:hint="eastAsia" w:ascii="宋体" w:hAnsi="宋体" w:cs="宋体"/>
                <w:lang w:bidi="ar"/>
              </w:rPr>
              <w:t>过程</w:t>
            </w:r>
          </w:p>
        </w:tc>
        <w:tc>
          <w:tcPr>
            <w:tcW w:w="2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eastAsia" w:ascii="宋体" w:hAnsi="宋体" w:eastAsia="宋体" w:cs="宋体"/>
                <w:lang w:eastAsia="zh-CN"/>
              </w:rPr>
            </w:pPr>
            <w:r>
              <w:rPr>
                <w:rFonts w:ascii="宋体" w:hAnsi="宋体" w:cs="宋体"/>
                <w:lang w:bidi="ar"/>
              </w:rPr>
              <w:t>2</w:t>
            </w:r>
            <w:r>
              <w:rPr>
                <w:rFonts w:hint="eastAsia" w:ascii="宋体" w:hAnsi="宋体" w:cs="宋体"/>
                <w:lang w:val="en-US" w:eastAsia="zh-CN" w:bidi="ar"/>
              </w:rPr>
              <w:t>5</w:t>
            </w:r>
          </w:p>
        </w:tc>
        <w:tc>
          <w:tcPr>
            <w:tcW w:w="2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宋体" w:hAnsi="宋体" w:eastAsia="宋体" w:cs="宋体"/>
                <w:lang w:val="en-US" w:eastAsia="zh-CN"/>
              </w:rPr>
            </w:pPr>
            <w:r>
              <w:rPr>
                <w:rFonts w:hint="eastAsia" w:ascii="宋体" w:hAnsi="宋体" w:cs="宋体"/>
                <w:lang w:val="en-US" w:eastAsia="zh-CN"/>
              </w:rPr>
              <w:t>23</w:t>
            </w:r>
          </w:p>
        </w:tc>
        <w:tc>
          <w:tcPr>
            <w:tcW w:w="21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Fonts w:hint="eastAsia" w:ascii="宋体" w:hAnsi="宋体" w:cs="宋体"/>
              </w:rPr>
              <w:t>9</w:t>
            </w:r>
            <w:r>
              <w:rPr>
                <w:rFonts w:hint="eastAsia" w:ascii="宋体" w:hAnsi="宋体" w:cs="宋体"/>
                <w:lang w:val="en-US" w:eastAsia="zh-CN"/>
              </w:rPr>
              <w:t>2</w:t>
            </w:r>
            <w:r>
              <w:rPr>
                <w:rFonts w:ascii="宋体" w:hAnsi="宋体" w:cs="宋体"/>
              </w:rPr>
              <w:t>%</w:t>
            </w:r>
          </w:p>
        </w:tc>
      </w:tr>
      <w:tr>
        <w:tblPrEx>
          <w:tblCellMar>
            <w:top w:w="0" w:type="dxa"/>
            <w:left w:w="0" w:type="dxa"/>
            <w:bottom w:w="0" w:type="dxa"/>
            <w:right w:w="0" w:type="dxa"/>
          </w:tblCellMar>
        </w:tblPrEx>
        <w:trPr>
          <w:cantSplit/>
          <w:trHeight w:val="394" w:hRule="atLeast"/>
        </w:trPr>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Fonts w:hint="eastAsia" w:ascii="宋体" w:hAnsi="宋体" w:cs="宋体"/>
                <w:lang w:bidi="ar"/>
              </w:rPr>
              <w:t>产出</w:t>
            </w:r>
          </w:p>
        </w:tc>
        <w:tc>
          <w:tcPr>
            <w:tcW w:w="2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eastAsia" w:ascii="宋体" w:hAnsi="宋体" w:eastAsia="宋体" w:cs="宋体"/>
                <w:lang w:eastAsia="zh-CN"/>
              </w:rPr>
            </w:pPr>
            <w:r>
              <w:rPr>
                <w:rFonts w:ascii="宋体" w:hAnsi="宋体" w:cs="宋体"/>
              </w:rPr>
              <w:t>3</w:t>
            </w:r>
            <w:r>
              <w:rPr>
                <w:rFonts w:hint="eastAsia" w:ascii="宋体" w:hAnsi="宋体" w:cs="宋体"/>
                <w:lang w:val="en-US" w:eastAsia="zh-CN"/>
              </w:rPr>
              <w:t>0</w:t>
            </w:r>
          </w:p>
        </w:tc>
        <w:tc>
          <w:tcPr>
            <w:tcW w:w="2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宋体" w:hAnsi="宋体" w:eastAsia="宋体" w:cs="宋体"/>
                <w:lang w:val="en-US" w:eastAsia="zh-CN"/>
              </w:rPr>
            </w:pPr>
            <w:r>
              <w:rPr>
                <w:rFonts w:hint="eastAsia" w:ascii="宋体" w:hAnsi="宋体" w:cs="宋体"/>
                <w:lang w:val="en-US" w:eastAsia="zh-CN"/>
              </w:rPr>
              <w:t>30</w:t>
            </w:r>
          </w:p>
        </w:tc>
        <w:tc>
          <w:tcPr>
            <w:tcW w:w="21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Fonts w:ascii="宋体" w:hAnsi="宋体" w:cs="宋体"/>
              </w:rPr>
              <w:t>100%</w:t>
            </w:r>
          </w:p>
        </w:tc>
      </w:tr>
      <w:tr>
        <w:tblPrEx>
          <w:tblCellMar>
            <w:top w:w="0" w:type="dxa"/>
            <w:left w:w="0" w:type="dxa"/>
            <w:bottom w:w="0" w:type="dxa"/>
            <w:right w:w="0" w:type="dxa"/>
          </w:tblCellMar>
        </w:tblPrEx>
        <w:trPr>
          <w:cantSplit/>
          <w:trHeight w:val="397" w:hRule="atLeast"/>
        </w:trPr>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Fonts w:hint="eastAsia" w:ascii="宋体" w:hAnsi="宋体" w:cs="宋体"/>
                <w:lang w:bidi="ar"/>
              </w:rPr>
              <w:t>效果</w:t>
            </w:r>
          </w:p>
        </w:tc>
        <w:tc>
          <w:tcPr>
            <w:tcW w:w="2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宋体" w:hAnsi="宋体" w:eastAsia="宋体" w:cs="宋体"/>
                <w:lang w:val="en-US" w:eastAsia="zh-CN"/>
              </w:rPr>
            </w:pPr>
            <w:r>
              <w:rPr>
                <w:rFonts w:hint="eastAsia" w:ascii="宋体" w:hAnsi="宋体" w:cs="宋体"/>
                <w:lang w:val="en-US" w:eastAsia="zh-CN" w:bidi="ar"/>
              </w:rPr>
              <w:t>30</w:t>
            </w:r>
          </w:p>
        </w:tc>
        <w:tc>
          <w:tcPr>
            <w:tcW w:w="2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宋体" w:hAnsi="宋体" w:eastAsia="宋体" w:cs="宋体"/>
                <w:lang w:val="en-US" w:eastAsia="zh-CN"/>
              </w:rPr>
            </w:pPr>
            <w:r>
              <w:rPr>
                <w:rFonts w:ascii="宋体" w:hAnsi="宋体" w:cs="宋体"/>
              </w:rPr>
              <w:t>2</w:t>
            </w:r>
            <w:r>
              <w:rPr>
                <w:rFonts w:hint="eastAsia" w:ascii="宋体" w:hAnsi="宋体" w:cs="宋体"/>
                <w:lang w:val="en-US" w:eastAsia="zh-CN"/>
              </w:rPr>
              <w:t>5.5</w:t>
            </w:r>
          </w:p>
        </w:tc>
        <w:tc>
          <w:tcPr>
            <w:tcW w:w="21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Fonts w:hint="eastAsia" w:ascii="宋体" w:hAnsi="宋体" w:cs="宋体"/>
                <w:lang w:val="en-US" w:eastAsia="zh-CN"/>
              </w:rPr>
              <w:t>85</w:t>
            </w:r>
            <w:r>
              <w:rPr>
                <w:rFonts w:ascii="宋体" w:hAnsi="宋体" w:cs="宋体"/>
              </w:rPr>
              <w:t>%</w:t>
            </w:r>
          </w:p>
        </w:tc>
      </w:tr>
      <w:tr>
        <w:tblPrEx>
          <w:tblCellMar>
            <w:top w:w="0" w:type="dxa"/>
            <w:left w:w="0" w:type="dxa"/>
            <w:bottom w:w="0" w:type="dxa"/>
            <w:right w:w="0" w:type="dxa"/>
          </w:tblCellMar>
        </w:tblPrEx>
        <w:trPr>
          <w:cantSplit/>
          <w:trHeight w:val="258" w:hRule="atLeast"/>
        </w:trPr>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
                <w:bCs/>
              </w:rPr>
            </w:pPr>
            <w:r>
              <w:rPr>
                <w:rFonts w:hint="eastAsia" w:ascii="宋体" w:hAnsi="宋体" w:cs="宋体"/>
                <w:b/>
                <w:bCs/>
                <w:lang w:bidi="ar"/>
              </w:rPr>
              <w:t>综合得分</w:t>
            </w:r>
          </w:p>
        </w:tc>
        <w:tc>
          <w:tcPr>
            <w:tcW w:w="2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
                <w:bCs/>
              </w:rPr>
            </w:pPr>
            <w:r>
              <w:rPr>
                <w:rFonts w:ascii="宋体" w:hAnsi="宋体" w:cs="宋体"/>
                <w:b/>
                <w:bCs/>
                <w:lang w:bidi="ar"/>
              </w:rPr>
              <w:t>100</w:t>
            </w:r>
          </w:p>
        </w:tc>
        <w:tc>
          <w:tcPr>
            <w:tcW w:w="2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宋体" w:hAnsi="宋体" w:eastAsia="宋体" w:cs="宋体"/>
                <w:b/>
                <w:bCs/>
                <w:lang w:val="en-US" w:eastAsia="zh-CN"/>
              </w:rPr>
            </w:pPr>
            <w:r>
              <w:rPr>
                <w:rFonts w:ascii="宋体" w:hAnsi="宋体" w:cs="宋体"/>
                <w:b/>
                <w:bCs/>
              </w:rPr>
              <w:t>9</w:t>
            </w:r>
            <w:r>
              <w:rPr>
                <w:rFonts w:hint="eastAsia" w:ascii="宋体" w:hAnsi="宋体" w:cs="宋体"/>
                <w:b/>
                <w:bCs/>
                <w:lang w:val="en-US" w:eastAsia="zh-CN"/>
              </w:rPr>
              <w:t>3.5</w:t>
            </w:r>
          </w:p>
        </w:tc>
        <w:tc>
          <w:tcPr>
            <w:tcW w:w="21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
                <w:bCs/>
              </w:rPr>
            </w:pPr>
            <w:r>
              <w:rPr>
                <w:rFonts w:ascii="宋体" w:hAnsi="宋体" w:cs="宋体"/>
                <w:b/>
                <w:bCs/>
              </w:rPr>
              <w:t>9</w:t>
            </w:r>
            <w:r>
              <w:rPr>
                <w:rFonts w:hint="eastAsia" w:ascii="宋体" w:hAnsi="宋体" w:cs="宋体"/>
                <w:b/>
                <w:bCs/>
                <w:lang w:val="en-US" w:eastAsia="zh-CN"/>
              </w:rPr>
              <w:t>3.5</w:t>
            </w:r>
            <w:r>
              <w:rPr>
                <w:rFonts w:ascii="宋体" w:hAnsi="宋体" w:cs="宋体"/>
                <w:b/>
                <w:bCs/>
              </w:rPr>
              <w:t>%</w:t>
            </w:r>
          </w:p>
        </w:tc>
      </w:tr>
    </w:tbl>
    <w:p>
      <w:pPr>
        <w:numPr>
          <w:ilvl w:val="255"/>
          <w:numId w:val="0"/>
        </w:numPr>
        <w:snapToGrid w:val="0"/>
        <w:spacing w:line="580" w:lineRule="exact"/>
        <w:ind w:firstLine="643"/>
        <w:jc w:val="left"/>
        <w:outlineLvl w:val="1"/>
        <w:rPr>
          <w:rFonts w:hint="eastAsia" w:ascii="楷体_GB2312" w:hAnsi="楷体_GB2312" w:eastAsia="楷体_GB2312" w:cs="楷体_GB2312"/>
          <w:b w:val="0"/>
          <w:bCs w:val="0"/>
          <w:sz w:val="32"/>
          <w:szCs w:val="32"/>
          <w:lang w:bidi="ar"/>
        </w:rPr>
      </w:pPr>
      <w:bookmarkStart w:id="110" w:name="_Toc1063259956"/>
      <w:bookmarkStart w:id="111" w:name="_Toc477108515_WPSOffice_Level2"/>
      <w:bookmarkStart w:id="112" w:name="_Toc57367463_WPSOffice_Level2"/>
      <w:bookmarkStart w:id="113" w:name="_Toc922161185_WPSOffice_Level2"/>
      <w:bookmarkStart w:id="114" w:name="_Toc16622"/>
      <w:bookmarkStart w:id="115" w:name="_Toc5807"/>
      <w:bookmarkStart w:id="116" w:name="_Toc8018"/>
      <w:bookmarkStart w:id="117" w:name="_Toc374718884_WPSOffice_Level2"/>
      <w:r>
        <w:rPr>
          <w:rFonts w:hint="eastAsia" w:ascii="楷体_GB2312" w:hAnsi="楷体_GB2312" w:eastAsia="楷体_GB2312" w:cs="楷体_GB2312"/>
          <w:b w:val="0"/>
          <w:bCs w:val="0"/>
          <w:sz w:val="32"/>
          <w:szCs w:val="32"/>
          <w:lang w:bidi="ar"/>
        </w:rPr>
        <w:t>（二）各指标得分情况</w:t>
      </w:r>
      <w:bookmarkEnd w:id="110"/>
      <w:bookmarkEnd w:id="111"/>
      <w:bookmarkEnd w:id="112"/>
      <w:bookmarkEnd w:id="113"/>
      <w:bookmarkEnd w:id="114"/>
      <w:bookmarkEnd w:id="115"/>
      <w:bookmarkEnd w:id="116"/>
      <w:bookmarkEnd w:id="117"/>
    </w:p>
    <w:p>
      <w:pPr>
        <w:spacing w:line="580" w:lineRule="exact"/>
        <w:ind w:firstLine="643"/>
        <w:rPr>
          <w:rFonts w:ascii="仿宋_GB2312" w:hAnsi="仿宋_GB2312" w:eastAsia="仿宋_GB2312" w:cs="仿宋_GB2312"/>
          <w:b w:val="0"/>
          <w:bCs w:val="0"/>
          <w:sz w:val="32"/>
          <w:szCs w:val="32"/>
          <w:lang w:bidi="ar"/>
        </w:rPr>
      </w:pPr>
      <w:bookmarkStart w:id="118" w:name="_Toc1478230384_WPSOffice_Level3"/>
      <w:bookmarkStart w:id="119" w:name="_Toc1755705919_WPSOffice_Level3"/>
      <w:bookmarkStart w:id="120" w:name="_Toc714901524_WPSOffice_Level3"/>
      <w:bookmarkStart w:id="121" w:name="_Toc58873707_WPSOffice_Level3"/>
      <w:r>
        <w:rPr>
          <w:rFonts w:ascii="仿宋_GB2312" w:hAnsi="仿宋_GB2312" w:eastAsia="仿宋_GB2312" w:cs="仿宋_GB2312"/>
          <w:b w:val="0"/>
          <w:bCs w:val="0"/>
          <w:sz w:val="32"/>
          <w:szCs w:val="32"/>
          <w:lang w:bidi="ar"/>
        </w:rPr>
        <w:t>1.</w:t>
      </w:r>
      <w:r>
        <w:rPr>
          <w:rFonts w:hint="eastAsia" w:ascii="仿宋_GB2312" w:hAnsi="仿宋_GB2312" w:eastAsia="仿宋_GB2312" w:cs="仿宋_GB2312"/>
          <w:b w:val="0"/>
          <w:bCs w:val="0"/>
          <w:sz w:val="32"/>
          <w:szCs w:val="32"/>
          <w:lang w:bidi="ar"/>
        </w:rPr>
        <w:t>决策指标</w:t>
      </w:r>
      <w:bookmarkEnd w:id="118"/>
      <w:bookmarkEnd w:id="119"/>
      <w:bookmarkEnd w:id="120"/>
      <w:bookmarkEnd w:id="121"/>
    </w:p>
    <w:p>
      <w:pPr>
        <w:snapToGrid w:val="0"/>
        <w:spacing w:line="580" w:lineRule="atLeast"/>
        <w:ind w:firstLine="562" w:firstLineChars="200"/>
        <w:jc w:val="center"/>
        <w:outlineLvl w:val="1"/>
        <w:rPr>
          <w:rFonts w:asciiTheme="minorEastAsia" w:hAnsiTheme="minorEastAsia" w:eastAsiaTheme="minorEastAsia"/>
          <w:b/>
          <w:bCs/>
          <w:sz w:val="28"/>
          <w:szCs w:val="28"/>
        </w:rPr>
      </w:pPr>
      <w:bookmarkStart w:id="122" w:name="_Toc373555896_WPSOffice_Level2"/>
      <w:bookmarkStart w:id="123" w:name="_Toc491898680_WPSOffice_Level2"/>
      <w:bookmarkStart w:id="124" w:name="_Toc2102276785_WPSOffice_Level2"/>
      <w:bookmarkStart w:id="125" w:name="_Toc998653805"/>
      <w:bookmarkStart w:id="126" w:name="_Toc7586"/>
      <w:r>
        <w:rPr>
          <w:rFonts w:asciiTheme="minorEastAsia" w:hAnsiTheme="minorEastAsia" w:eastAsiaTheme="minorEastAsia"/>
          <w:b/>
          <w:bCs/>
          <w:sz w:val="28"/>
          <w:szCs w:val="28"/>
        </w:rPr>
        <w:t>表4：决策指标得分情况表</w:t>
      </w:r>
      <w:bookmarkEnd w:id="122"/>
      <w:bookmarkEnd w:id="123"/>
      <w:bookmarkEnd w:id="124"/>
      <w:bookmarkEnd w:id="125"/>
      <w:bookmarkEnd w:id="126"/>
    </w:p>
    <w:tbl>
      <w:tblPr>
        <w:tblStyle w:val="15"/>
        <w:tblW w:w="9338" w:type="dxa"/>
        <w:jc w:val="center"/>
        <w:shd w:val="clear" w:color="auto" w:fill="auto"/>
        <w:tblLayout w:type="fixed"/>
        <w:tblCellMar>
          <w:top w:w="0" w:type="dxa"/>
          <w:left w:w="0" w:type="dxa"/>
          <w:bottom w:w="0" w:type="dxa"/>
          <w:right w:w="0" w:type="dxa"/>
        </w:tblCellMar>
      </w:tblPr>
      <w:tblGrid>
        <w:gridCol w:w="561"/>
        <w:gridCol w:w="636"/>
        <w:gridCol w:w="624"/>
        <w:gridCol w:w="660"/>
        <w:gridCol w:w="1104"/>
        <w:gridCol w:w="593"/>
        <w:gridCol w:w="612"/>
        <w:gridCol w:w="852"/>
        <w:gridCol w:w="1608"/>
        <w:gridCol w:w="624"/>
        <w:gridCol w:w="588"/>
        <w:gridCol w:w="876"/>
      </w:tblGrid>
      <w:tr>
        <w:tblPrEx>
          <w:tblCellMar>
            <w:top w:w="0" w:type="dxa"/>
            <w:left w:w="0" w:type="dxa"/>
            <w:bottom w:w="0" w:type="dxa"/>
            <w:right w:w="0" w:type="dxa"/>
          </w:tblCellMar>
        </w:tblPrEx>
        <w:trPr>
          <w:trHeight w:val="577" w:hRule="atLeast"/>
          <w:jc w:val="center"/>
        </w:trPr>
        <w:tc>
          <w:tcPr>
            <w:tcW w:w="5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lang w:bidi="ar"/>
              </w:rPr>
              <w:t>一级指标</w:t>
            </w: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lang w:bidi="ar"/>
              </w:rPr>
              <w:t>分值</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lang w:bidi="ar"/>
              </w:rPr>
              <w:t>得分</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lang w:bidi="ar"/>
              </w:rPr>
              <w:t>得分率</w:t>
            </w:r>
          </w:p>
        </w:tc>
        <w:tc>
          <w:tcPr>
            <w:tcW w:w="11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lang w:bidi="ar"/>
              </w:rPr>
              <w:t>二级指标</w:t>
            </w: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lang w:bidi="ar"/>
              </w:rPr>
              <w:t>分值</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lang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lang w:bidi="ar"/>
              </w:rPr>
              <w:t>得分率</w:t>
            </w:r>
          </w:p>
        </w:tc>
        <w:tc>
          <w:tcPr>
            <w:tcW w:w="1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lang w:bidi="ar"/>
              </w:rPr>
              <w:t>三级指标</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lang w:bidi="ar"/>
              </w:rPr>
              <w:t>分值</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lang w:bidi="ar"/>
              </w:rPr>
              <w:t>得分</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lang w:bidi="ar"/>
              </w:rPr>
              <w:t>得分率</w:t>
            </w:r>
          </w:p>
        </w:tc>
      </w:tr>
      <w:tr>
        <w:tblPrEx>
          <w:shd w:val="clear" w:color="auto" w:fill="auto"/>
          <w:tblCellMar>
            <w:top w:w="0" w:type="dxa"/>
            <w:left w:w="0" w:type="dxa"/>
            <w:bottom w:w="0" w:type="dxa"/>
            <w:right w:w="0" w:type="dxa"/>
          </w:tblCellMar>
        </w:tblPrEx>
        <w:trPr>
          <w:trHeight w:val="460" w:hRule="atLeast"/>
          <w:jc w:val="center"/>
        </w:trPr>
        <w:tc>
          <w:tcPr>
            <w:tcW w:w="561"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决策</w:t>
            </w:r>
          </w:p>
        </w:tc>
        <w:tc>
          <w:tcPr>
            <w:tcW w:w="636"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eastAsia" w:asciiTheme="minorEastAsia" w:hAnsiTheme="minorEastAsia" w:eastAsiaTheme="minorEastAsia" w:cstheme="minorEastAsia"/>
                <w:color w:val="000000"/>
                <w:lang w:eastAsia="zh-CN"/>
              </w:rPr>
            </w:pPr>
            <w:r>
              <w:rPr>
                <w:rFonts w:hint="eastAsia" w:asciiTheme="minorEastAsia" w:hAnsiTheme="minorEastAsia" w:eastAsiaTheme="minorEastAsia" w:cstheme="minorEastAsia"/>
                <w:color w:val="000000"/>
              </w:rPr>
              <w:t>1</w:t>
            </w:r>
            <w:r>
              <w:rPr>
                <w:rFonts w:hint="eastAsia" w:asciiTheme="minorEastAsia" w:hAnsiTheme="minorEastAsia" w:eastAsiaTheme="minorEastAsia" w:cstheme="minorEastAsia"/>
                <w:color w:val="000000"/>
                <w:lang w:val="en-US" w:eastAsia="zh-CN"/>
              </w:rPr>
              <w:t>5</w:t>
            </w:r>
          </w:p>
        </w:tc>
        <w:tc>
          <w:tcPr>
            <w:tcW w:w="624"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asciiTheme="minorEastAsia" w:hAnsiTheme="minorEastAsia" w:eastAsiaTheme="minorEastAsia" w:cstheme="minorEastAsia"/>
                <w:color w:val="000000"/>
                <w:lang w:val="en-US" w:eastAsia="zh-CN"/>
              </w:rPr>
            </w:pPr>
            <w:r>
              <w:rPr>
                <w:rFonts w:hint="eastAsia" w:asciiTheme="minorEastAsia" w:hAnsiTheme="minorEastAsia" w:eastAsiaTheme="minorEastAsia" w:cstheme="minorEastAsia"/>
                <w:color w:val="auto"/>
                <w:lang w:val="en-US" w:eastAsia="zh-CN"/>
              </w:rPr>
              <w:t>15</w:t>
            </w:r>
          </w:p>
        </w:tc>
        <w:tc>
          <w:tcPr>
            <w:tcW w:w="660"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lang w:val="en-US" w:eastAsia="zh-CN"/>
              </w:rPr>
              <w:t>100</w:t>
            </w:r>
            <w:r>
              <w:rPr>
                <w:rFonts w:hint="eastAsia" w:asciiTheme="minorEastAsia" w:hAnsiTheme="minorEastAsia" w:eastAsiaTheme="minorEastAsia" w:cstheme="minorEastAsia"/>
                <w:color w:val="000000"/>
              </w:rPr>
              <w:t>%</w:t>
            </w:r>
          </w:p>
        </w:tc>
        <w:tc>
          <w:tcPr>
            <w:tcW w:w="1104"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项目立项</w:t>
            </w:r>
          </w:p>
        </w:tc>
        <w:tc>
          <w:tcPr>
            <w:tcW w:w="593"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eastAsia" w:asciiTheme="minorEastAsia" w:hAnsiTheme="minorEastAsia" w:eastAsiaTheme="minorEastAsia" w:cstheme="minorEastAsia"/>
                <w:color w:val="000000"/>
                <w:lang w:eastAsia="zh-CN"/>
              </w:rPr>
            </w:pPr>
            <w:r>
              <w:rPr>
                <w:rFonts w:hint="eastAsia" w:asciiTheme="minorEastAsia" w:hAnsiTheme="minorEastAsia" w:eastAsiaTheme="minorEastAsia" w:cstheme="minorEastAsia"/>
                <w:color w:val="000000"/>
                <w:lang w:val="en-US" w:eastAsia="zh-CN"/>
              </w:rPr>
              <w:t>4</w:t>
            </w:r>
          </w:p>
        </w:tc>
        <w:tc>
          <w:tcPr>
            <w:tcW w:w="612"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eastAsia" w:asciiTheme="minorEastAsia" w:hAnsiTheme="minorEastAsia" w:eastAsiaTheme="minorEastAsia" w:cstheme="minorEastAsia"/>
                <w:color w:val="000000"/>
                <w:lang w:eastAsia="zh-CN"/>
              </w:rPr>
            </w:pPr>
            <w:r>
              <w:rPr>
                <w:rFonts w:hint="eastAsia" w:asciiTheme="minorEastAsia" w:hAnsiTheme="minorEastAsia" w:eastAsiaTheme="minorEastAsia" w:cstheme="minorEastAsia"/>
                <w:color w:val="000000"/>
                <w:lang w:val="en-US" w:eastAsia="zh-CN"/>
              </w:rPr>
              <w:t>4</w:t>
            </w:r>
          </w:p>
        </w:tc>
        <w:tc>
          <w:tcPr>
            <w:tcW w:w="852"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100%</w:t>
            </w:r>
          </w:p>
        </w:tc>
        <w:tc>
          <w:tcPr>
            <w:tcW w:w="1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rPr>
              <w:t>项目立项依据充分性</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lang w:val="en-US" w:eastAsia="zh-CN"/>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lang w:val="en-US" w:eastAsia="zh-CN"/>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100%</w:t>
            </w:r>
          </w:p>
        </w:tc>
      </w:tr>
      <w:tr>
        <w:tblPrEx>
          <w:shd w:val="clear" w:color="auto" w:fill="auto"/>
          <w:tblCellMar>
            <w:top w:w="0" w:type="dxa"/>
            <w:left w:w="0" w:type="dxa"/>
            <w:bottom w:w="0" w:type="dxa"/>
            <w:right w:w="0" w:type="dxa"/>
          </w:tblCellMar>
        </w:tblPrEx>
        <w:trPr>
          <w:trHeight w:val="460" w:hRule="atLeast"/>
          <w:jc w:val="center"/>
        </w:trPr>
        <w:tc>
          <w:tcPr>
            <w:tcW w:w="561"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rPr>
            </w:pPr>
          </w:p>
        </w:tc>
        <w:tc>
          <w:tcPr>
            <w:tcW w:w="636"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rPr>
            </w:pPr>
          </w:p>
        </w:tc>
        <w:tc>
          <w:tcPr>
            <w:tcW w:w="62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rPr>
            </w:pPr>
          </w:p>
        </w:tc>
        <w:tc>
          <w:tcPr>
            <w:tcW w:w="660"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rPr>
            </w:pPr>
          </w:p>
        </w:tc>
        <w:tc>
          <w:tcPr>
            <w:tcW w:w="1104"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rPr>
            </w:pPr>
          </w:p>
        </w:tc>
        <w:tc>
          <w:tcPr>
            <w:tcW w:w="593"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rPr>
            </w:pPr>
          </w:p>
        </w:tc>
        <w:tc>
          <w:tcPr>
            <w:tcW w:w="612"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rPr>
            </w:pPr>
          </w:p>
        </w:tc>
        <w:tc>
          <w:tcPr>
            <w:tcW w:w="852"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rPr>
              <w:t>项目立项程序规范性</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lang w:val="en-US" w:eastAsia="zh-CN"/>
              </w:rPr>
              <w:t>3</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lang w:val="en-US" w:eastAsia="zh-CN"/>
              </w:rPr>
              <w:t>3</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100%</w:t>
            </w:r>
          </w:p>
        </w:tc>
      </w:tr>
      <w:tr>
        <w:tblPrEx>
          <w:shd w:val="clear" w:color="auto" w:fill="auto"/>
          <w:tblCellMar>
            <w:top w:w="0" w:type="dxa"/>
            <w:left w:w="0" w:type="dxa"/>
            <w:bottom w:w="0" w:type="dxa"/>
            <w:right w:w="0" w:type="dxa"/>
          </w:tblCellMar>
        </w:tblPrEx>
        <w:trPr>
          <w:trHeight w:val="460" w:hRule="atLeast"/>
          <w:jc w:val="center"/>
        </w:trPr>
        <w:tc>
          <w:tcPr>
            <w:tcW w:w="561"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000000"/>
              </w:rPr>
            </w:pPr>
          </w:p>
        </w:tc>
        <w:tc>
          <w:tcPr>
            <w:tcW w:w="636"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000000"/>
              </w:rPr>
            </w:pPr>
          </w:p>
        </w:tc>
        <w:tc>
          <w:tcPr>
            <w:tcW w:w="62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000000"/>
              </w:rPr>
            </w:pPr>
          </w:p>
        </w:tc>
        <w:tc>
          <w:tcPr>
            <w:tcW w:w="660"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000000"/>
              </w:rPr>
            </w:pPr>
          </w:p>
        </w:tc>
        <w:tc>
          <w:tcPr>
            <w:tcW w:w="1104"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绩效目标</w:t>
            </w:r>
          </w:p>
        </w:tc>
        <w:tc>
          <w:tcPr>
            <w:tcW w:w="593"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eastAsia" w:asciiTheme="minorEastAsia" w:hAnsiTheme="minorEastAsia" w:eastAsiaTheme="minorEastAsia" w:cstheme="minorEastAsia"/>
                <w:color w:val="000000"/>
                <w:lang w:eastAsia="zh-CN"/>
              </w:rPr>
            </w:pPr>
            <w:r>
              <w:rPr>
                <w:rFonts w:hint="eastAsia" w:asciiTheme="minorEastAsia" w:hAnsiTheme="minorEastAsia" w:eastAsiaTheme="minorEastAsia" w:cstheme="minorEastAsia"/>
                <w:color w:val="000000"/>
                <w:lang w:val="en-US" w:eastAsia="zh-CN"/>
              </w:rPr>
              <w:t>4</w:t>
            </w:r>
          </w:p>
        </w:tc>
        <w:tc>
          <w:tcPr>
            <w:tcW w:w="612"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eastAsia" w:asciiTheme="minorEastAsia" w:hAnsiTheme="minorEastAsia" w:eastAsiaTheme="minorEastAsia" w:cstheme="minorEastAsia"/>
                <w:color w:val="000000"/>
                <w:lang w:eastAsia="zh-CN"/>
              </w:rPr>
            </w:pPr>
            <w:r>
              <w:rPr>
                <w:rFonts w:hint="eastAsia" w:asciiTheme="minorEastAsia" w:hAnsiTheme="minorEastAsia" w:eastAsiaTheme="minorEastAsia" w:cstheme="minorEastAsia"/>
                <w:color w:val="000000"/>
                <w:lang w:val="en-US" w:eastAsia="zh-CN"/>
              </w:rPr>
              <w:t>4</w:t>
            </w:r>
          </w:p>
        </w:tc>
        <w:tc>
          <w:tcPr>
            <w:tcW w:w="852"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100</w:t>
            </w:r>
            <w:r>
              <w:rPr>
                <w:rFonts w:hint="eastAsia" w:asciiTheme="minorEastAsia" w:hAnsiTheme="minorEastAsia" w:eastAsiaTheme="minorEastAsia" w:cstheme="minorEastAsia"/>
                <w:color w:val="auto"/>
              </w:rPr>
              <w:t>%</w:t>
            </w:r>
          </w:p>
        </w:tc>
        <w:tc>
          <w:tcPr>
            <w:tcW w:w="1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rPr>
              <w:t>绩效目标合理性</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lang w:val="en-US" w:eastAsia="zh-CN"/>
              </w:rPr>
              <w:t>2</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lang w:val="en-US" w:eastAsia="zh-CN"/>
              </w:rPr>
              <w:t>2</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100%</w:t>
            </w:r>
          </w:p>
        </w:tc>
      </w:tr>
      <w:tr>
        <w:tblPrEx>
          <w:shd w:val="clear" w:color="auto" w:fill="auto"/>
          <w:tblCellMar>
            <w:top w:w="0" w:type="dxa"/>
            <w:left w:w="0" w:type="dxa"/>
            <w:bottom w:w="0" w:type="dxa"/>
            <w:right w:w="0" w:type="dxa"/>
          </w:tblCellMar>
        </w:tblPrEx>
        <w:trPr>
          <w:trHeight w:val="460" w:hRule="atLeast"/>
          <w:jc w:val="center"/>
        </w:trPr>
        <w:tc>
          <w:tcPr>
            <w:tcW w:w="561"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000000"/>
                <w:highlight w:val="yellow"/>
              </w:rPr>
            </w:pPr>
          </w:p>
        </w:tc>
        <w:tc>
          <w:tcPr>
            <w:tcW w:w="636"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000000"/>
                <w:highlight w:val="yellow"/>
              </w:rPr>
            </w:pPr>
          </w:p>
        </w:tc>
        <w:tc>
          <w:tcPr>
            <w:tcW w:w="62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000000"/>
                <w:highlight w:val="yellow"/>
              </w:rPr>
            </w:pPr>
          </w:p>
        </w:tc>
        <w:tc>
          <w:tcPr>
            <w:tcW w:w="660"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000000"/>
                <w:highlight w:val="yellow"/>
              </w:rPr>
            </w:pPr>
          </w:p>
        </w:tc>
        <w:tc>
          <w:tcPr>
            <w:tcW w:w="1104"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highlight w:val="yellow"/>
              </w:rPr>
            </w:pPr>
          </w:p>
        </w:tc>
        <w:tc>
          <w:tcPr>
            <w:tcW w:w="593"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highlight w:val="yellow"/>
              </w:rPr>
            </w:pPr>
          </w:p>
        </w:tc>
        <w:tc>
          <w:tcPr>
            <w:tcW w:w="612"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highlight w:val="yellow"/>
              </w:rPr>
            </w:pPr>
          </w:p>
        </w:tc>
        <w:tc>
          <w:tcPr>
            <w:tcW w:w="852"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highlight w:val="yellow"/>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rPr>
              <w:t>绩效指标明确性</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rPr>
              <w:t>2</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rPr>
              <w:t>2</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100%</w:t>
            </w:r>
          </w:p>
        </w:tc>
      </w:tr>
      <w:tr>
        <w:tblPrEx>
          <w:shd w:val="clear" w:color="auto" w:fill="auto"/>
          <w:tblCellMar>
            <w:top w:w="0" w:type="dxa"/>
            <w:left w:w="0" w:type="dxa"/>
            <w:bottom w:w="0" w:type="dxa"/>
            <w:right w:w="0" w:type="dxa"/>
          </w:tblCellMar>
        </w:tblPrEx>
        <w:trPr>
          <w:trHeight w:val="460" w:hRule="atLeast"/>
          <w:jc w:val="center"/>
        </w:trPr>
        <w:tc>
          <w:tcPr>
            <w:tcW w:w="561"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lang w:bidi="ar"/>
              </w:rPr>
            </w:pPr>
          </w:p>
        </w:tc>
        <w:tc>
          <w:tcPr>
            <w:tcW w:w="636"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lang w:bidi="ar"/>
              </w:rPr>
            </w:pPr>
          </w:p>
        </w:tc>
        <w:tc>
          <w:tcPr>
            <w:tcW w:w="62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lang w:bidi="ar"/>
              </w:rPr>
            </w:pPr>
          </w:p>
        </w:tc>
        <w:tc>
          <w:tcPr>
            <w:tcW w:w="660"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lang w:bidi="ar"/>
              </w:rPr>
            </w:pPr>
          </w:p>
        </w:tc>
        <w:tc>
          <w:tcPr>
            <w:tcW w:w="1104"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lang w:bidi="ar"/>
              </w:rPr>
            </w:pPr>
            <w:r>
              <w:rPr>
                <w:rFonts w:hint="eastAsia" w:asciiTheme="minorEastAsia" w:hAnsiTheme="minorEastAsia" w:eastAsiaTheme="minorEastAsia" w:cstheme="minorEastAsia"/>
                <w:color w:val="000000"/>
                <w:lang w:bidi="ar"/>
              </w:rPr>
              <w:t>资金投入</w:t>
            </w:r>
          </w:p>
        </w:tc>
        <w:tc>
          <w:tcPr>
            <w:tcW w:w="593"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eastAsia" w:asciiTheme="minorEastAsia" w:hAnsiTheme="minorEastAsia" w:eastAsiaTheme="minorEastAsia" w:cstheme="minorEastAsia"/>
                <w:color w:val="000000"/>
                <w:lang w:eastAsia="zh-CN" w:bidi="ar"/>
              </w:rPr>
            </w:pPr>
            <w:r>
              <w:rPr>
                <w:rFonts w:hint="eastAsia" w:asciiTheme="minorEastAsia" w:hAnsiTheme="minorEastAsia" w:eastAsiaTheme="minorEastAsia" w:cstheme="minorEastAsia"/>
                <w:color w:val="000000"/>
                <w:lang w:val="en-US" w:eastAsia="zh-CN" w:bidi="ar"/>
              </w:rPr>
              <w:t>7</w:t>
            </w:r>
          </w:p>
        </w:tc>
        <w:tc>
          <w:tcPr>
            <w:tcW w:w="612"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eastAsia" w:asciiTheme="minorEastAsia" w:hAnsiTheme="minorEastAsia" w:eastAsiaTheme="minorEastAsia" w:cstheme="minorEastAsia"/>
                <w:color w:val="000000"/>
                <w:lang w:eastAsia="zh-CN" w:bidi="ar"/>
              </w:rPr>
            </w:pPr>
            <w:r>
              <w:rPr>
                <w:rFonts w:hint="eastAsia" w:asciiTheme="minorEastAsia" w:hAnsiTheme="minorEastAsia" w:eastAsiaTheme="minorEastAsia" w:cstheme="minorEastAsia"/>
                <w:color w:val="000000"/>
                <w:lang w:val="en-US" w:eastAsia="zh-CN" w:bidi="ar"/>
              </w:rPr>
              <w:t>7</w:t>
            </w:r>
          </w:p>
        </w:tc>
        <w:tc>
          <w:tcPr>
            <w:tcW w:w="852"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lang w:bidi="ar"/>
              </w:rPr>
            </w:pPr>
            <w:r>
              <w:rPr>
                <w:rFonts w:hint="eastAsia" w:asciiTheme="minorEastAsia" w:hAnsiTheme="minorEastAsia" w:eastAsiaTheme="minorEastAsia" w:cstheme="minorEastAsia"/>
                <w:color w:val="auto"/>
                <w:lang w:val="en-US" w:eastAsia="zh-CN" w:bidi="ar"/>
              </w:rPr>
              <w:t>10</w:t>
            </w:r>
            <w:r>
              <w:rPr>
                <w:rFonts w:hint="eastAsia" w:asciiTheme="minorEastAsia" w:hAnsiTheme="minorEastAsia" w:eastAsiaTheme="minorEastAsia" w:cstheme="minorEastAsia"/>
                <w:color w:val="auto"/>
                <w:lang w:bidi="ar"/>
              </w:rPr>
              <w:t>0%</w:t>
            </w:r>
          </w:p>
        </w:tc>
        <w:tc>
          <w:tcPr>
            <w:tcW w:w="1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sz w:val="21"/>
                <w:szCs w:val="21"/>
                <w:lang w:val="en-US" w:eastAsia="zh-CN" w:bidi="ar"/>
              </w:rPr>
            </w:pPr>
            <w:r>
              <w:rPr>
                <w:rFonts w:hint="eastAsia" w:asciiTheme="minorEastAsia" w:hAnsiTheme="minorEastAsia" w:eastAsiaTheme="minorEastAsia" w:cstheme="minorEastAsia"/>
                <w:color w:val="000000"/>
                <w:lang w:bidi="ar"/>
              </w:rPr>
              <w:t>预算编制科学性</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eastAsia" w:asciiTheme="minorEastAsia" w:hAnsiTheme="minorEastAsia" w:eastAsiaTheme="minorEastAsia" w:cstheme="minorEastAsia"/>
                <w:color w:val="000000"/>
                <w:sz w:val="21"/>
                <w:szCs w:val="21"/>
                <w:lang w:val="en-US" w:eastAsia="zh-CN" w:bidi="ar"/>
              </w:rPr>
            </w:pPr>
            <w:r>
              <w:rPr>
                <w:rFonts w:hint="eastAsia" w:asciiTheme="minorEastAsia" w:hAnsiTheme="minorEastAsia" w:eastAsiaTheme="minorEastAsia" w:cstheme="minorEastAsia"/>
                <w:color w:val="000000"/>
                <w:lang w:val="en-US" w:eastAsia="zh-CN" w:bidi="ar"/>
              </w:rPr>
              <w:t>3</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eastAsia" w:asciiTheme="minorEastAsia" w:hAnsiTheme="minorEastAsia" w:eastAsiaTheme="minorEastAsia" w:cstheme="minorEastAsia"/>
                <w:color w:val="000000"/>
                <w:sz w:val="21"/>
                <w:szCs w:val="21"/>
                <w:lang w:val="en-US" w:eastAsia="zh-CN" w:bidi="ar"/>
              </w:rPr>
            </w:pPr>
            <w:r>
              <w:rPr>
                <w:rFonts w:hint="eastAsia" w:asciiTheme="minorEastAsia" w:hAnsiTheme="minorEastAsia" w:eastAsiaTheme="minorEastAsia" w:cstheme="minorEastAsia"/>
                <w:color w:val="000000"/>
                <w:lang w:val="en-US" w:eastAsia="zh-CN" w:bidi="ar"/>
              </w:rPr>
              <w:t>3</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lang w:bidi="ar"/>
              </w:rPr>
            </w:pPr>
            <w:r>
              <w:rPr>
                <w:rFonts w:hint="eastAsia" w:asciiTheme="minorEastAsia" w:hAnsiTheme="minorEastAsia" w:eastAsiaTheme="minorEastAsia" w:cstheme="minorEastAsia"/>
                <w:color w:val="000000"/>
              </w:rPr>
              <w:t>100%</w:t>
            </w:r>
          </w:p>
        </w:tc>
      </w:tr>
      <w:tr>
        <w:tblPrEx>
          <w:shd w:val="clear" w:color="auto" w:fill="auto"/>
          <w:tblCellMar>
            <w:top w:w="0" w:type="dxa"/>
            <w:left w:w="0" w:type="dxa"/>
            <w:bottom w:w="0" w:type="dxa"/>
            <w:right w:w="0" w:type="dxa"/>
          </w:tblCellMar>
        </w:tblPrEx>
        <w:trPr>
          <w:trHeight w:val="460" w:hRule="atLeast"/>
          <w:jc w:val="center"/>
        </w:trPr>
        <w:tc>
          <w:tcPr>
            <w:tcW w:w="561"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lang w:bidi="ar"/>
              </w:rPr>
            </w:pPr>
          </w:p>
        </w:tc>
        <w:tc>
          <w:tcPr>
            <w:tcW w:w="636"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lang w:bidi="ar"/>
              </w:rPr>
            </w:pPr>
          </w:p>
        </w:tc>
        <w:tc>
          <w:tcPr>
            <w:tcW w:w="624"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lang w:bidi="ar"/>
              </w:rPr>
            </w:pPr>
          </w:p>
        </w:tc>
        <w:tc>
          <w:tcPr>
            <w:tcW w:w="660"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lang w:bidi="ar"/>
              </w:rPr>
            </w:pPr>
          </w:p>
        </w:tc>
        <w:tc>
          <w:tcPr>
            <w:tcW w:w="1104"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eastAsia" w:asciiTheme="minorEastAsia" w:hAnsiTheme="minorEastAsia" w:eastAsiaTheme="minorEastAsia" w:cstheme="minorEastAsia"/>
                <w:color w:val="000000"/>
                <w:lang w:bidi="ar"/>
              </w:rPr>
            </w:pPr>
          </w:p>
        </w:tc>
        <w:tc>
          <w:tcPr>
            <w:tcW w:w="593"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eastAsia" w:asciiTheme="minorEastAsia" w:hAnsiTheme="minorEastAsia" w:eastAsiaTheme="minorEastAsia" w:cstheme="minorEastAsia"/>
                <w:color w:val="000000"/>
                <w:lang w:val="en-US" w:eastAsia="zh-CN" w:bidi="ar"/>
              </w:rPr>
            </w:pPr>
          </w:p>
        </w:tc>
        <w:tc>
          <w:tcPr>
            <w:tcW w:w="612"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eastAsia" w:asciiTheme="minorEastAsia" w:hAnsiTheme="minorEastAsia" w:eastAsiaTheme="minorEastAsia" w:cstheme="minorEastAsia"/>
                <w:color w:val="000000"/>
                <w:lang w:val="en-US" w:eastAsia="zh-CN" w:bidi="ar"/>
              </w:rPr>
            </w:pPr>
          </w:p>
        </w:tc>
        <w:tc>
          <w:tcPr>
            <w:tcW w:w="852"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eastAsia" w:asciiTheme="minorEastAsia" w:hAnsiTheme="minorEastAsia" w:eastAsiaTheme="minorEastAsia" w:cstheme="minorEastAsia"/>
                <w:color w:val="auto"/>
                <w:lang w:val="en-US" w:eastAsia="zh-CN" w:bidi="ar"/>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eastAsia" w:asciiTheme="minorEastAsia" w:hAnsiTheme="minorEastAsia" w:eastAsiaTheme="minorEastAsia" w:cstheme="minorEastAsia"/>
                <w:color w:val="000000"/>
                <w:sz w:val="21"/>
                <w:szCs w:val="21"/>
                <w:lang w:val="en-US" w:eastAsia="zh-CN" w:bidi="ar"/>
              </w:rPr>
            </w:pPr>
            <w:r>
              <w:rPr>
                <w:rFonts w:hint="eastAsia" w:asciiTheme="minorEastAsia" w:hAnsiTheme="minorEastAsia" w:eastAsiaTheme="minorEastAsia" w:cstheme="minorEastAsia"/>
                <w:color w:val="000000"/>
                <w:lang w:bidi="ar"/>
              </w:rPr>
              <w:t>资金分配合理性</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eastAsia" w:asciiTheme="minorEastAsia" w:hAnsiTheme="minorEastAsia" w:eastAsiaTheme="minorEastAsia" w:cstheme="minorEastAsia"/>
                <w:color w:val="000000"/>
                <w:sz w:val="21"/>
                <w:szCs w:val="21"/>
                <w:lang w:val="en-US" w:eastAsia="zh-CN" w:bidi="ar"/>
              </w:rPr>
            </w:pPr>
            <w:r>
              <w:rPr>
                <w:rFonts w:hint="eastAsia" w:asciiTheme="minorEastAsia" w:hAnsiTheme="minorEastAsia" w:eastAsiaTheme="minorEastAsia" w:cstheme="minorEastAsia"/>
                <w:color w:val="000000"/>
                <w:lang w:val="en-US" w:eastAsia="zh-CN" w:bidi="ar"/>
              </w:rPr>
              <w:t>4</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eastAsia" w:asciiTheme="minorEastAsia" w:hAnsiTheme="minorEastAsia" w:eastAsiaTheme="minorEastAsia" w:cstheme="minorEastAsia"/>
                <w:color w:val="000000"/>
                <w:sz w:val="21"/>
                <w:szCs w:val="21"/>
                <w:lang w:val="en-US" w:eastAsia="zh-CN" w:bidi="ar"/>
              </w:rPr>
            </w:pPr>
            <w:r>
              <w:rPr>
                <w:rFonts w:hint="eastAsia" w:asciiTheme="minorEastAsia" w:hAnsiTheme="minorEastAsia" w:eastAsiaTheme="minorEastAsia" w:cstheme="minorEastAsia"/>
                <w:color w:val="000000"/>
                <w:lang w:val="en-US" w:eastAsia="zh-CN" w:bidi="ar"/>
              </w:rPr>
              <w:t>4</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asciiTheme="minorEastAsia" w:hAnsiTheme="minorEastAsia" w:eastAsiaTheme="minorEastAsia" w:cstheme="minorEastAsia"/>
                <w:color w:val="000000"/>
                <w:lang w:val="en-US" w:eastAsia="zh-CN"/>
              </w:rPr>
            </w:pPr>
            <w:r>
              <w:rPr>
                <w:rFonts w:hint="eastAsia" w:asciiTheme="minorEastAsia" w:hAnsiTheme="minorEastAsia" w:eastAsiaTheme="minorEastAsia" w:cstheme="minorEastAsia"/>
                <w:color w:val="000000"/>
                <w:lang w:val="en-US" w:eastAsia="zh-CN"/>
              </w:rPr>
              <w:t>100%</w:t>
            </w:r>
          </w:p>
        </w:tc>
      </w:tr>
    </w:tbl>
    <w:p>
      <w:pPr>
        <w:keepNext w:val="0"/>
        <w:keepLines w:val="0"/>
        <w:pageBreakBefore w:val="0"/>
        <w:kinsoku/>
        <w:wordWrap/>
        <w:topLinePunct w:val="0"/>
        <w:bidi w:val="0"/>
        <w:spacing w:line="580" w:lineRule="exact"/>
        <w:ind w:firstLine="640" w:firstLineChars="200"/>
        <w:rPr>
          <w:rFonts w:ascii="仿宋_GB2312" w:hAnsi="仿宋_GB2312" w:eastAsia="仿宋_GB2312" w:cs="仿宋_GB2312"/>
          <w:sz w:val="32"/>
          <w:szCs w:val="32"/>
          <w:lang w:bidi="ar"/>
        </w:rPr>
      </w:pPr>
      <w:bookmarkStart w:id="127" w:name="_Toc1676557457_WPSOffice_Level2"/>
      <w:bookmarkStart w:id="128" w:name="_Toc417481404_WPSOffice_Level2"/>
      <w:bookmarkStart w:id="129" w:name="_Toc1259243891_WPSOffice_Level2"/>
      <w:r>
        <w:rPr>
          <w:rFonts w:hint="eastAsia" w:ascii="仿宋_GB2312" w:hAnsi="仿宋_GB2312" w:eastAsia="仿宋_GB2312" w:cs="仿宋_GB2312"/>
          <w:sz w:val="32"/>
          <w:szCs w:val="32"/>
          <w:lang w:bidi="ar"/>
        </w:rPr>
        <w:t>（1）项目立项</w:t>
      </w:r>
      <w:bookmarkEnd w:id="127"/>
      <w:bookmarkEnd w:id="128"/>
      <w:bookmarkEnd w:id="129"/>
    </w:p>
    <w:p>
      <w:pPr>
        <w:keepNext w:val="0"/>
        <w:keepLines w:val="0"/>
        <w:pageBreakBefore w:val="0"/>
        <w:kinsoku/>
        <w:wordWrap/>
        <w:topLinePunct w:val="0"/>
        <w:bidi w:val="0"/>
        <w:snapToGrid w:val="0"/>
        <w:spacing w:line="580" w:lineRule="exact"/>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①</w:t>
      </w:r>
      <w:r>
        <w:rPr>
          <w:rFonts w:ascii="仿宋_GB2312" w:hAnsi="仿宋_GB2312" w:eastAsia="仿宋_GB2312" w:cs="仿宋_GB2312"/>
          <w:sz w:val="32"/>
          <w:szCs w:val="32"/>
          <w:lang w:bidi="ar"/>
        </w:rPr>
        <w:t>项目立项依据充分性</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一是项目立项符合国家、省</w:t>
      </w:r>
      <w:r>
        <w:rPr>
          <w:rFonts w:ascii="仿宋_GB2312" w:hAnsi="仿宋_GB2312" w:eastAsia="仿宋_GB2312" w:cs="仿宋_GB2312"/>
          <w:sz w:val="32"/>
          <w:szCs w:val="32"/>
          <w:lang w:bidi="ar"/>
        </w:rPr>
        <w:t>、市</w:t>
      </w:r>
      <w:r>
        <w:rPr>
          <w:rFonts w:hint="eastAsia" w:ascii="仿宋_GB2312" w:hAnsi="仿宋_GB2312" w:eastAsia="仿宋_GB2312" w:cs="仿宋_GB2312"/>
          <w:sz w:val="32"/>
          <w:szCs w:val="32"/>
          <w:lang w:bidi="ar"/>
        </w:rPr>
        <w:t>相关文件要求。</w:t>
      </w:r>
      <w:r>
        <w:rPr>
          <w:rFonts w:hint="eastAsia" w:ascii="仿宋_GB2312" w:hAnsi="仿宋_GB2312" w:eastAsia="仿宋_GB2312" w:cs="仿宋_GB2312"/>
          <w:sz w:val="32"/>
          <w:szCs w:val="32"/>
          <w:lang w:val="en-US" w:eastAsia="zh-CN" w:bidi="ar"/>
        </w:rPr>
        <w:t>符合</w:t>
      </w:r>
      <w:r>
        <w:rPr>
          <w:rFonts w:hint="eastAsia" w:ascii="仿宋_GB2312" w:eastAsia="仿宋_GB2312" w:cs="仿宋_GB2312"/>
          <w:sz w:val="32"/>
          <w:szCs w:val="32"/>
        </w:rPr>
        <w:t>山东省委、省政府</w:t>
      </w:r>
      <w:r>
        <w:rPr>
          <w:rFonts w:hint="eastAsia" w:ascii="仿宋_GB2312" w:eastAsia="仿宋_GB2312" w:cs="仿宋_GB2312"/>
          <w:sz w:val="32"/>
          <w:szCs w:val="32"/>
          <w:lang w:val="en-US" w:eastAsia="zh-CN"/>
        </w:rPr>
        <w:t>及枣庄市委、市政府</w:t>
      </w:r>
      <w:r>
        <w:rPr>
          <w:rFonts w:hint="eastAsia" w:ascii="仿宋_GB2312" w:eastAsia="仿宋_GB2312" w:cs="仿宋_GB2312"/>
          <w:sz w:val="32"/>
          <w:szCs w:val="32"/>
        </w:rPr>
        <w:t>先后出台了一系列加快生态省建设的政策措施</w:t>
      </w:r>
      <w:r>
        <w:rPr>
          <w:rFonts w:hint="eastAsia" w:ascii="仿宋_GB2312" w:eastAsia="仿宋_GB2312" w:cs="仿宋_GB2312"/>
          <w:sz w:val="32"/>
          <w:szCs w:val="32"/>
          <w:lang w:eastAsia="zh-CN"/>
        </w:rPr>
        <w:t>，</w:t>
      </w:r>
      <w:r>
        <w:rPr>
          <w:rFonts w:hint="eastAsia" w:ascii="仿宋_GB2312" w:eastAsia="仿宋_GB2312" w:cs="仿宋_GB2312"/>
          <w:sz w:val="32"/>
          <w:szCs w:val="32"/>
        </w:rPr>
        <w:t>《山东省环境保护厅山东省财政厅关于印发&lt;山东省农村环境综合整治示范项目管理暂行办法&gt;的通知》鲁环函[2011]464号；《关于进一步完善好农村环境综合整治示范实施方案的通知》鲁环函[2011]683号；《山东省2015年农村环境综合整治实施方案审查暂行办法》</w:t>
      </w:r>
      <w:r>
        <w:rPr>
          <w:rFonts w:hint="eastAsia" w:ascii="仿宋_GB2312" w:eastAsia="仿宋_GB2312" w:cs="仿宋_GB2312"/>
          <w:sz w:val="32"/>
          <w:szCs w:val="32"/>
          <w:lang w:eastAsia="zh-CN"/>
        </w:rPr>
        <w:t>；</w:t>
      </w:r>
      <w:r>
        <w:rPr>
          <w:rFonts w:hint="eastAsia" w:ascii="仿宋_GB2312" w:eastAsia="仿宋_GB2312" w:cs="仿宋_GB2312"/>
          <w:sz w:val="32"/>
          <w:szCs w:val="32"/>
        </w:rPr>
        <w:t>枣庄市环境保护局关于转发《关于分解落实“十三五”期间农村环境综合整治任务的通知》的通知</w:t>
      </w:r>
      <w:r>
        <w:rPr>
          <w:rFonts w:hint="eastAsia" w:ascii="仿宋_GB2312" w:eastAsia="仿宋_GB2312" w:cs="仿宋_GB2312"/>
          <w:sz w:val="32"/>
          <w:szCs w:val="32"/>
          <w:lang w:eastAsia="zh-CN"/>
        </w:rPr>
        <w:t>（</w:t>
      </w:r>
      <w:r>
        <w:rPr>
          <w:rFonts w:hint="eastAsia" w:ascii="仿宋_GB2312" w:eastAsia="仿宋_GB2312" w:cs="仿宋_GB2312"/>
          <w:sz w:val="32"/>
          <w:szCs w:val="32"/>
        </w:rPr>
        <w:t>枣环函字[2016]52号</w:t>
      </w:r>
      <w:r>
        <w:rPr>
          <w:rFonts w:hint="eastAsia" w:ascii="仿宋_GB2312" w:eastAsia="仿宋_GB2312" w:cs="仿宋_GB2312"/>
          <w:sz w:val="32"/>
          <w:szCs w:val="32"/>
          <w:lang w:eastAsia="zh-CN"/>
        </w:rPr>
        <w:t>）</w:t>
      </w:r>
      <w:r>
        <w:rPr>
          <w:rFonts w:hint="eastAsia" w:ascii="仿宋_GB2312" w:eastAsia="仿宋_GB2312" w:cs="仿宋_GB2312"/>
          <w:sz w:val="32"/>
          <w:szCs w:val="32"/>
        </w:rPr>
        <w:t>；枣庄市总体规划（2010年~2020年）；</w:t>
      </w:r>
      <w:r>
        <w:rPr>
          <w:rFonts w:hint="eastAsia" w:ascii="仿宋_GB2312" w:eastAsia="仿宋_GB2312" w:cs="仿宋_GB2312"/>
          <w:sz w:val="32"/>
          <w:szCs w:val="32"/>
          <w:lang w:val="en-US" w:eastAsia="zh-CN"/>
        </w:rPr>
        <w:t>枣</w:t>
      </w:r>
      <w:r>
        <w:rPr>
          <w:rFonts w:hint="eastAsia" w:ascii="仿宋_GB2312" w:eastAsia="仿宋_GB2312" w:cs="仿宋_GB2312"/>
          <w:sz w:val="32"/>
          <w:szCs w:val="32"/>
        </w:rPr>
        <w:t>庄市财政局、市环境保护局《关于下达2018年</w:t>
      </w:r>
      <w:r>
        <w:rPr>
          <w:rFonts w:hint="eastAsia" w:ascii="仿宋_GB2312" w:eastAsia="仿宋_GB2312" w:cs="仿宋_GB2312"/>
          <w:sz w:val="32"/>
          <w:szCs w:val="32"/>
          <w:lang w:eastAsia="zh-CN"/>
        </w:rPr>
        <w:t>省级环境污染防治专项</w:t>
      </w:r>
      <w:r>
        <w:rPr>
          <w:rFonts w:hint="eastAsia" w:ascii="仿宋_GB2312" w:eastAsia="仿宋_GB2312" w:cs="仿宋_GB2312"/>
          <w:sz w:val="32"/>
          <w:szCs w:val="32"/>
        </w:rPr>
        <w:t>资金预算指标的通知》（枣财建批[2018]</w:t>
      </w:r>
      <w:r>
        <w:rPr>
          <w:rFonts w:hint="eastAsia" w:ascii="仿宋_GB2312" w:eastAsia="仿宋_GB2312" w:cs="仿宋_GB2312"/>
          <w:sz w:val="32"/>
          <w:szCs w:val="32"/>
          <w:lang w:val="en-US" w:eastAsia="zh-CN"/>
        </w:rPr>
        <w:t>42</w:t>
      </w:r>
      <w:r>
        <w:rPr>
          <w:rFonts w:hint="eastAsia" w:ascii="仿宋_GB2312" w:eastAsia="仿宋_GB2312" w:cs="仿宋_GB2312"/>
          <w:sz w:val="32"/>
          <w:szCs w:val="32"/>
        </w:rPr>
        <w:t>号文）</w:t>
      </w:r>
      <w:r>
        <w:rPr>
          <w:rFonts w:hint="eastAsia" w:ascii="仿宋_GB2312" w:eastAsia="仿宋_GB2312" w:cs="仿宋_GB2312"/>
          <w:sz w:val="32"/>
          <w:szCs w:val="32"/>
          <w:lang w:val="en-US" w:eastAsia="zh-CN"/>
        </w:rPr>
        <w:t>等相关文件要求。</w:t>
      </w:r>
      <w:r>
        <w:rPr>
          <w:rFonts w:hint="eastAsia" w:ascii="仿宋_GB2312" w:hAnsi="仿宋_GB2312" w:eastAsia="仿宋_GB2312" w:cs="仿宋_GB2312"/>
          <w:sz w:val="32"/>
          <w:szCs w:val="32"/>
          <w:lang w:bidi="ar"/>
        </w:rPr>
        <w:t>立项依据充分。</w:t>
      </w:r>
    </w:p>
    <w:p>
      <w:pPr>
        <w:keepNext w:val="0"/>
        <w:keepLines w:val="0"/>
        <w:pageBreakBefore w:val="0"/>
        <w:kinsoku/>
        <w:wordWrap/>
        <w:topLinePunct w:val="0"/>
        <w:bidi w:val="0"/>
        <w:snapToGrid w:val="0"/>
        <w:spacing w:line="580" w:lineRule="exact"/>
        <w:ind w:firstLine="640" w:firstLineChars="200"/>
        <w:rPr>
          <w:lang w:bidi="ar"/>
        </w:rPr>
      </w:pPr>
      <w:r>
        <w:rPr>
          <w:rFonts w:hint="eastAsia" w:ascii="仿宋_GB2312" w:hAnsi="仿宋_GB2312" w:eastAsia="仿宋_GB2312" w:cs="仿宋_GB2312"/>
          <w:sz w:val="32"/>
          <w:szCs w:val="32"/>
          <w:lang w:bidi="ar"/>
        </w:rPr>
        <w:t>二是项目立项与部门职责范围相符，属于部门履职所需。本项目主要由</w:t>
      </w:r>
      <w:r>
        <w:rPr>
          <w:rFonts w:hint="eastAsia" w:ascii="仿宋_GB2312" w:hAnsi="仿宋_GB2312" w:eastAsia="仿宋_GB2312" w:cs="仿宋_GB2312"/>
          <w:sz w:val="32"/>
          <w:szCs w:val="32"/>
          <w:lang w:val="en-US" w:eastAsia="zh-CN" w:bidi="ar"/>
        </w:rPr>
        <w:t>枣庄市生态环境局山亭分局</w:t>
      </w:r>
      <w:r>
        <w:rPr>
          <w:rFonts w:hint="eastAsia" w:ascii="仿宋_GB2312" w:hAnsi="仿宋_GB2312" w:eastAsia="仿宋_GB2312" w:cs="仿宋_GB2312"/>
          <w:sz w:val="32"/>
          <w:szCs w:val="32"/>
          <w:lang w:bidi="ar"/>
        </w:rPr>
        <w:t>牵头组织实施，项目立项与部门的职责范围相符。</w:t>
      </w:r>
    </w:p>
    <w:p>
      <w:pPr>
        <w:keepNext w:val="0"/>
        <w:keepLines w:val="0"/>
        <w:pageBreakBefore w:val="0"/>
        <w:kinsoku/>
        <w:wordWrap/>
        <w:topLinePunct w:val="0"/>
        <w:bidi w:val="0"/>
        <w:snapToGrid w:val="0"/>
        <w:spacing w:line="580" w:lineRule="exact"/>
        <w:ind w:firstLine="640" w:firstLineChars="200"/>
        <w:rPr>
          <w:lang w:bidi="ar"/>
        </w:rPr>
      </w:pPr>
      <w:r>
        <w:rPr>
          <w:rFonts w:hint="eastAsia" w:ascii="仿宋_GB2312" w:hAnsi="仿宋_GB2312" w:eastAsia="仿宋_GB2312" w:cs="仿宋_GB2312"/>
          <w:sz w:val="32"/>
          <w:szCs w:val="32"/>
          <w:lang w:bidi="ar"/>
        </w:rPr>
        <w:t>三是项目与相关部门同类项目或部门内部相关项目不重复。经过查阅相关项目批复文件，评价发现项目与相关部门同类项目或部门内部相关项目不重复。</w:t>
      </w:r>
    </w:p>
    <w:p>
      <w:pPr>
        <w:keepNext w:val="0"/>
        <w:keepLines w:val="0"/>
        <w:pageBreakBefore w:val="0"/>
        <w:kinsoku/>
        <w:wordWrap/>
        <w:topLinePunct w:val="0"/>
        <w:bidi w:val="0"/>
        <w:snapToGrid w:val="0"/>
        <w:spacing w:line="580" w:lineRule="exact"/>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②立项程序规范性</w:t>
      </w:r>
    </w:p>
    <w:p>
      <w:pPr>
        <w:keepNext w:val="0"/>
        <w:keepLines w:val="0"/>
        <w:pageBreakBefore w:val="0"/>
        <w:kinsoku/>
        <w:wordWrap/>
        <w:topLinePunct w:val="0"/>
        <w:bidi w:val="0"/>
        <w:snapToGrid w:val="0"/>
        <w:spacing w:line="580" w:lineRule="exact"/>
        <w:ind w:firstLine="640" w:firstLineChars="200"/>
        <w:rPr>
          <w:lang w:bidi="ar"/>
        </w:rPr>
      </w:pPr>
      <w:r>
        <w:rPr>
          <w:rFonts w:hint="eastAsia" w:ascii="仿宋_GB2312" w:hAnsi="仿宋_GB2312" w:eastAsia="仿宋_GB2312" w:cs="仿宋_GB2312"/>
          <w:sz w:val="32"/>
          <w:szCs w:val="32"/>
          <w:lang w:bidi="ar"/>
        </w:rPr>
        <w:t>项目申报批复程序规范。</w:t>
      </w:r>
      <w:r>
        <w:rPr>
          <w:rFonts w:hint="eastAsia" w:ascii="仿宋_GB2312" w:hAnsi="仿宋_GB2312" w:eastAsia="仿宋_GB2312" w:cs="仿宋_GB2312"/>
          <w:color w:val="000000"/>
          <w:sz w:val="32"/>
          <w:szCs w:val="32"/>
          <w:lang w:val="en-US" w:eastAsia="zh-CN" w:bidi="ar"/>
        </w:rPr>
        <w:t>枣庄市财政局、市环境保护局以栆财建批</w:t>
      </w:r>
      <w:r>
        <w:rPr>
          <w:rFonts w:hint="eastAsia" w:ascii="仿宋_GB2312" w:eastAsia="仿宋_GB2312" w:cs="仿宋_GB2312"/>
          <w:sz w:val="32"/>
          <w:szCs w:val="32"/>
        </w:rPr>
        <w:t>[2018]</w:t>
      </w:r>
      <w:r>
        <w:rPr>
          <w:rFonts w:hint="eastAsia" w:ascii="仿宋_GB2312" w:eastAsia="仿宋_GB2312" w:cs="仿宋_GB2312"/>
          <w:sz w:val="32"/>
          <w:szCs w:val="32"/>
          <w:lang w:val="en-US" w:eastAsia="zh-CN"/>
        </w:rPr>
        <w:t>42</w:t>
      </w:r>
      <w:r>
        <w:rPr>
          <w:rFonts w:hint="eastAsia" w:ascii="仿宋_GB2312" w:eastAsia="仿宋_GB2312" w:cs="仿宋_GB2312"/>
          <w:sz w:val="32"/>
          <w:szCs w:val="32"/>
        </w:rPr>
        <w:t>号文</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关于下达2018年省级环境污染防治专项资金预算指标的通知</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下达了工程计划。枣庄市生态环境局山亭分局，按照上级文件要求和山亭区的实际情况，通过现场勘查编制了《枣庄市山亭区2018年贫困村饮用水水源地保护项目实施方案》，并于2018年8月20日《关于实施山亭区2018年度贫困村饮用水源地保护提升工程方案的请示》（山财建[2018]14号）上报市生态环境局</w:t>
      </w:r>
      <w:r>
        <w:rPr>
          <w:rFonts w:hint="eastAsia" w:ascii="仿宋_GB2312" w:hAnsi="仿宋_GB2312" w:eastAsia="仿宋_GB2312" w:cs="仿宋_GB2312"/>
          <w:sz w:val="32"/>
          <w:szCs w:val="32"/>
          <w:lang w:bidi="ar"/>
        </w:rPr>
        <w:t>。项目立项申报程序规范。</w:t>
      </w:r>
    </w:p>
    <w:p>
      <w:pPr>
        <w:keepNext w:val="0"/>
        <w:keepLines w:val="0"/>
        <w:pageBreakBefore w:val="0"/>
        <w:kinsoku/>
        <w:wordWrap/>
        <w:topLinePunct w:val="0"/>
        <w:bidi w:val="0"/>
        <w:spacing w:line="580" w:lineRule="exact"/>
        <w:ind w:firstLine="640" w:firstLineChars="200"/>
        <w:rPr>
          <w:rFonts w:ascii="仿宋_GB2312" w:hAnsi="仿宋_GB2312" w:eastAsia="仿宋_GB2312" w:cs="仿宋_GB2312"/>
          <w:color w:val="000000"/>
          <w:sz w:val="32"/>
          <w:szCs w:val="32"/>
          <w:lang w:bidi="ar"/>
        </w:rPr>
      </w:pPr>
      <w:bookmarkStart w:id="130" w:name="_Toc660734852_WPSOffice_Level2"/>
      <w:bookmarkStart w:id="131" w:name="_Toc768247512_WPSOffice_Level2"/>
      <w:bookmarkStart w:id="132" w:name="_Toc780882279_WPSOffice_Level2"/>
      <w:r>
        <w:rPr>
          <w:rFonts w:hint="eastAsia" w:ascii="仿宋_GB2312" w:hAnsi="仿宋_GB2312" w:eastAsia="仿宋_GB2312" w:cs="仿宋_GB2312"/>
          <w:color w:val="000000"/>
          <w:sz w:val="32"/>
          <w:szCs w:val="32"/>
          <w:lang w:bidi="ar"/>
        </w:rPr>
        <w:t>（</w:t>
      </w:r>
      <w:r>
        <w:rPr>
          <w:rFonts w:ascii="仿宋_GB2312" w:hAnsi="仿宋_GB2312" w:eastAsia="仿宋_GB2312" w:cs="仿宋_GB2312"/>
          <w:color w:val="000000"/>
          <w:sz w:val="32"/>
          <w:szCs w:val="32"/>
          <w:lang w:bidi="ar"/>
        </w:rPr>
        <w:t>2）绩效目标</w:t>
      </w:r>
      <w:bookmarkEnd w:id="130"/>
      <w:bookmarkEnd w:id="131"/>
      <w:bookmarkEnd w:id="132"/>
    </w:p>
    <w:p>
      <w:pPr>
        <w:keepNext w:val="0"/>
        <w:keepLines w:val="0"/>
        <w:pageBreakBefore w:val="0"/>
        <w:kinsoku/>
        <w:wordWrap/>
        <w:topLinePunct w:val="0"/>
        <w:bidi w:val="0"/>
        <w:snapToGrid w:val="0"/>
        <w:spacing w:line="580" w:lineRule="exact"/>
        <w:ind w:firstLine="640" w:firstLineChars="200"/>
        <w:rPr>
          <w:lang w:bidi="ar"/>
        </w:rPr>
      </w:pPr>
      <w:r>
        <w:rPr>
          <w:rFonts w:hint="eastAsia" w:ascii="仿宋_GB2312" w:hAnsi="仿宋_GB2312" w:eastAsia="仿宋_GB2312" w:cs="仿宋_GB2312"/>
          <w:color w:val="000000"/>
          <w:sz w:val="32"/>
          <w:szCs w:val="32"/>
          <w:lang w:bidi="ar"/>
        </w:rPr>
        <w:t>本项目年度绩效目标为</w:t>
      </w:r>
      <w:r>
        <w:rPr>
          <w:rFonts w:hint="eastAsia" w:ascii="仿宋_GB2312" w:hAnsi="仿宋_GB2312" w:eastAsia="仿宋_GB2312" w:cs="仿宋_GB2312"/>
          <w:sz w:val="32"/>
          <w:szCs w:val="32"/>
          <w:lang w:bidi="ar"/>
        </w:rPr>
        <w:t>2018年贫困村饮用水水源地保护项目涉及桑村镇、山城办、凫城镇、北庄镇、徐庄镇、水泉镇、城头镇、冯卯镇、店子镇等9个镇街的63个村庄，全部为省级贫困村,工程于2018年10月20日开工建设，2018年11月18日完工，工程完成投资188.82万元</w:t>
      </w:r>
      <w:r>
        <w:rPr>
          <w:rFonts w:hint="eastAsia" w:ascii="仿宋_GB2312" w:hAnsi="仿宋_GB2312" w:eastAsia="仿宋_GB2312" w:cs="仿宋_GB2312"/>
          <w:color w:val="000000"/>
          <w:sz w:val="32"/>
          <w:szCs w:val="32"/>
          <w:lang w:bidi="ar"/>
        </w:rPr>
        <w:t>。且从数量、质量、时效、成本、效果和满意度等方面设置了细化、量化的评价指标，</w:t>
      </w:r>
      <w:r>
        <w:rPr>
          <w:rFonts w:hint="eastAsia" w:ascii="仿宋_GB2312" w:hAnsi="仿宋_GB2312" w:eastAsia="仿宋_GB2312" w:cs="仿宋_GB2312"/>
          <w:sz w:val="32"/>
          <w:szCs w:val="32"/>
          <w:lang w:bidi="ar"/>
        </w:rPr>
        <w:t>目标整体上与政法委部门职责密切相关，设定的</w:t>
      </w:r>
      <w:r>
        <w:rPr>
          <w:rFonts w:ascii="仿宋_GB2312" w:hAnsi="仿宋_GB2312" w:eastAsia="仿宋_GB2312" w:cs="仿宋_GB2312"/>
          <w:sz w:val="32"/>
          <w:szCs w:val="32"/>
          <w:lang w:bidi="ar"/>
        </w:rPr>
        <w:t>绩效目标</w:t>
      </w:r>
      <w:r>
        <w:rPr>
          <w:rFonts w:hint="eastAsia" w:ascii="仿宋_GB2312" w:hAnsi="仿宋_GB2312" w:eastAsia="仿宋_GB2312" w:cs="仿宋_GB2312"/>
          <w:sz w:val="32"/>
          <w:szCs w:val="32"/>
          <w:lang w:bidi="ar"/>
        </w:rPr>
        <w:t>与预算确定的项目资金量相匹配。</w:t>
      </w:r>
    </w:p>
    <w:p>
      <w:pPr>
        <w:keepNext w:val="0"/>
        <w:keepLines w:val="0"/>
        <w:pageBreakBefore w:val="0"/>
        <w:kinsoku/>
        <w:wordWrap/>
        <w:topLinePunct w:val="0"/>
        <w:bidi w:val="0"/>
        <w:snapToGrid w:val="0"/>
        <w:spacing w:line="580" w:lineRule="exact"/>
        <w:ind w:firstLine="640" w:firstLineChars="200"/>
        <w:rPr>
          <w:rFonts w:ascii="仿宋_GB2312" w:hAnsi="仿宋_GB2312" w:eastAsia="仿宋_GB2312" w:cs="仿宋_GB2312"/>
          <w:sz w:val="32"/>
          <w:szCs w:val="32"/>
          <w:lang w:bidi="ar"/>
        </w:rPr>
      </w:pPr>
      <w:bookmarkStart w:id="133" w:name="_Toc1015896336_WPSOffice_Level2"/>
      <w:bookmarkStart w:id="134" w:name="_Toc332718927_WPSOffice_Level2"/>
      <w:bookmarkStart w:id="135" w:name="_Toc1264248420_WPSOffice_Level2"/>
      <w:r>
        <w:rPr>
          <w:rFonts w:ascii="仿宋_GB2312" w:hAnsi="仿宋_GB2312" w:eastAsia="仿宋_GB2312" w:cs="仿宋_GB2312"/>
          <w:sz w:val="32"/>
          <w:szCs w:val="32"/>
          <w:lang w:bidi="ar"/>
        </w:rPr>
        <w:t>（3）资金投入</w:t>
      </w:r>
      <w:bookmarkEnd w:id="133"/>
      <w:bookmarkEnd w:id="134"/>
      <w:bookmarkEnd w:id="135"/>
    </w:p>
    <w:p>
      <w:pPr>
        <w:keepNext w:val="0"/>
        <w:keepLines w:val="0"/>
        <w:pageBreakBefore w:val="0"/>
        <w:kinsoku/>
        <w:wordWrap/>
        <w:topLinePunct w:val="0"/>
        <w:bidi w:val="0"/>
        <w:snapToGrid w:val="0"/>
        <w:spacing w:line="580" w:lineRule="exact"/>
        <w:ind w:firstLine="640" w:firstLineChars="200"/>
        <w:rPr>
          <w:lang w:bidi="ar"/>
        </w:rPr>
      </w:pPr>
      <w:r>
        <w:rPr>
          <w:rFonts w:hint="eastAsia" w:ascii="仿宋_GB2312" w:hAnsi="仿宋_GB2312" w:eastAsia="仿宋_GB2312" w:cs="仿宋_GB2312"/>
          <w:sz w:val="32"/>
          <w:szCs w:val="32"/>
          <w:lang w:bidi="ar"/>
        </w:rPr>
        <w:t>年度预算依据合同约定和项目执行进度确定，预算编制依据充分、合理。</w:t>
      </w:r>
    </w:p>
    <w:p>
      <w:pPr>
        <w:keepNext w:val="0"/>
        <w:keepLines w:val="0"/>
        <w:pageBreakBefore w:val="0"/>
        <w:kinsoku/>
        <w:wordWrap/>
        <w:topLinePunct w:val="0"/>
        <w:bidi w:val="0"/>
        <w:snapToGrid w:val="0"/>
        <w:spacing w:line="580" w:lineRule="exact"/>
        <w:ind w:firstLine="640" w:firstLineChars="200"/>
        <w:rPr>
          <w:lang w:bidi="ar"/>
        </w:rPr>
      </w:pPr>
      <w:bookmarkStart w:id="136" w:name="_Toc1724070853_WPSOffice_Level3"/>
      <w:bookmarkStart w:id="137" w:name="_Toc178908903_WPSOffice_Level3"/>
      <w:bookmarkStart w:id="138" w:name="_Toc175152006_WPSOffice_Level3"/>
      <w:bookmarkStart w:id="139" w:name="_Toc379751745_WPSOffice_Level3"/>
      <w:r>
        <w:rPr>
          <w:rFonts w:ascii="仿宋_GB2312" w:hAnsi="仿宋_GB2312" w:eastAsia="仿宋_GB2312" w:cs="仿宋_GB2312"/>
          <w:sz w:val="32"/>
          <w:szCs w:val="32"/>
          <w:lang w:bidi="ar"/>
        </w:rPr>
        <w:t>2.过程</w:t>
      </w:r>
      <w:r>
        <w:rPr>
          <w:rFonts w:hint="eastAsia" w:ascii="仿宋_GB2312" w:hAnsi="仿宋_GB2312" w:eastAsia="仿宋_GB2312" w:cs="仿宋_GB2312"/>
          <w:sz w:val="32"/>
          <w:szCs w:val="32"/>
          <w:lang w:bidi="ar"/>
        </w:rPr>
        <w:t>指标</w:t>
      </w:r>
      <w:bookmarkEnd w:id="136"/>
      <w:bookmarkEnd w:id="137"/>
      <w:bookmarkEnd w:id="138"/>
      <w:bookmarkEnd w:id="139"/>
    </w:p>
    <w:p>
      <w:pPr>
        <w:spacing w:line="580" w:lineRule="exact"/>
        <w:ind w:firstLine="562" w:firstLineChars="200"/>
        <w:jc w:val="center"/>
        <w:rPr>
          <w:rFonts w:asciiTheme="minorEastAsia" w:hAnsiTheme="minorEastAsia" w:eastAsiaTheme="minorEastAsia" w:cstheme="minorEastAsia"/>
          <w:b/>
          <w:bCs/>
          <w:color w:val="000000"/>
          <w:sz w:val="28"/>
          <w:szCs w:val="28"/>
          <w:lang w:bidi="ar"/>
        </w:rPr>
      </w:pPr>
      <w:bookmarkStart w:id="140" w:name="_Toc1019991522_WPSOffice_Level2"/>
      <w:bookmarkStart w:id="141" w:name="_Toc2107072948_WPSOffice_Level2"/>
      <w:bookmarkStart w:id="142" w:name="_Toc1674725502_WPSOffice_Level2"/>
      <w:r>
        <w:rPr>
          <w:rFonts w:hint="eastAsia" w:asciiTheme="minorEastAsia" w:hAnsiTheme="minorEastAsia" w:eastAsiaTheme="minorEastAsia" w:cstheme="minorEastAsia"/>
          <w:b/>
          <w:bCs/>
          <w:color w:val="000000"/>
          <w:sz w:val="28"/>
          <w:szCs w:val="28"/>
          <w:lang w:bidi="ar"/>
        </w:rPr>
        <w:t>表5：</w:t>
      </w:r>
      <w:r>
        <w:rPr>
          <w:rFonts w:asciiTheme="minorEastAsia" w:hAnsiTheme="minorEastAsia" w:eastAsiaTheme="minorEastAsia" w:cstheme="minorEastAsia"/>
          <w:b/>
          <w:bCs/>
          <w:color w:val="000000"/>
          <w:sz w:val="28"/>
          <w:szCs w:val="28"/>
          <w:lang w:bidi="ar"/>
        </w:rPr>
        <w:t>过程指标得分情况表</w:t>
      </w:r>
      <w:bookmarkEnd w:id="140"/>
      <w:bookmarkEnd w:id="141"/>
      <w:bookmarkEnd w:id="142"/>
    </w:p>
    <w:tbl>
      <w:tblPr>
        <w:tblStyle w:val="15"/>
        <w:tblW w:w="9338" w:type="dxa"/>
        <w:jc w:val="center"/>
        <w:shd w:val="clear" w:color="auto" w:fill="auto"/>
        <w:tblLayout w:type="fixed"/>
        <w:tblCellMar>
          <w:top w:w="0" w:type="dxa"/>
          <w:left w:w="0" w:type="dxa"/>
          <w:bottom w:w="0" w:type="dxa"/>
          <w:right w:w="0" w:type="dxa"/>
        </w:tblCellMar>
      </w:tblPr>
      <w:tblGrid>
        <w:gridCol w:w="561"/>
        <w:gridCol w:w="636"/>
        <w:gridCol w:w="624"/>
        <w:gridCol w:w="660"/>
        <w:gridCol w:w="1104"/>
        <w:gridCol w:w="593"/>
        <w:gridCol w:w="612"/>
        <w:gridCol w:w="852"/>
        <w:gridCol w:w="1608"/>
        <w:gridCol w:w="624"/>
        <w:gridCol w:w="588"/>
        <w:gridCol w:w="876"/>
      </w:tblGrid>
      <w:tr>
        <w:tblPrEx>
          <w:shd w:val="clear" w:color="auto" w:fill="auto"/>
          <w:tblCellMar>
            <w:top w:w="0" w:type="dxa"/>
            <w:left w:w="0" w:type="dxa"/>
            <w:bottom w:w="0" w:type="dxa"/>
            <w:right w:w="0" w:type="dxa"/>
          </w:tblCellMar>
        </w:tblPrEx>
        <w:trPr>
          <w:trHeight w:val="402" w:hRule="atLeast"/>
          <w:jc w:val="center"/>
        </w:trPr>
        <w:tc>
          <w:tcPr>
            <w:tcW w:w="5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lang w:bidi="ar"/>
              </w:rPr>
              <w:t>一级指标</w:t>
            </w: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lang w:bidi="ar"/>
              </w:rPr>
              <w:t>分值</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lang w:bidi="ar"/>
              </w:rPr>
              <w:t>得分</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lang w:bidi="ar"/>
              </w:rPr>
              <w:t>得分率</w:t>
            </w:r>
          </w:p>
        </w:tc>
        <w:tc>
          <w:tcPr>
            <w:tcW w:w="11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lang w:bidi="ar"/>
              </w:rPr>
              <w:t>二级指标</w:t>
            </w: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lang w:bidi="ar"/>
              </w:rPr>
              <w:t>分值</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lang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lang w:bidi="ar"/>
              </w:rPr>
              <w:t>得分率</w:t>
            </w:r>
          </w:p>
        </w:tc>
        <w:tc>
          <w:tcPr>
            <w:tcW w:w="1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lang w:bidi="ar"/>
              </w:rPr>
              <w:t>三级指标</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lang w:bidi="ar"/>
              </w:rPr>
              <w:t>分值</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lang w:bidi="ar"/>
              </w:rPr>
              <w:t>得分</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lang w:bidi="ar"/>
              </w:rPr>
              <w:t>得分率</w:t>
            </w:r>
          </w:p>
        </w:tc>
      </w:tr>
      <w:tr>
        <w:tblPrEx>
          <w:shd w:val="clear" w:color="auto" w:fill="auto"/>
          <w:tblCellMar>
            <w:top w:w="0" w:type="dxa"/>
            <w:left w:w="0" w:type="dxa"/>
            <w:bottom w:w="0" w:type="dxa"/>
            <w:right w:w="0" w:type="dxa"/>
          </w:tblCellMar>
        </w:tblPrEx>
        <w:trPr>
          <w:trHeight w:val="460" w:hRule="atLeast"/>
          <w:jc w:val="center"/>
        </w:trPr>
        <w:tc>
          <w:tcPr>
            <w:tcW w:w="56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lang w:bidi="ar"/>
              </w:rPr>
              <w:t>过程</w:t>
            </w:r>
          </w:p>
        </w:tc>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eastAsia" w:asciiTheme="minorEastAsia" w:hAnsiTheme="minorEastAsia" w:eastAsiaTheme="minorEastAsia" w:cstheme="minorEastAsia"/>
                <w:color w:val="000000"/>
                <w:lang w:eastAsia="zh-CN"/>
              </w:rPr>
            </w:pPr>
            <w:r>
              <w:rPr>
                <w:rFonts w:hint="eastAsia" w:asciiTheme="minorEastAsia" w:hAnsiTheme="minorEastAsia" w:eastAsiaTheme="minorEastAsia" w:cstheme="minorEastAsia"/>
                <w:color w:val="000000"/>
              </w:rPr>
              <w:t>2</w:t>
            </w:r>
            <w:r>
              <w:rPr>
                <w:rFonts w:hint="eastAsia" w:asciiTheme="minorEastAsia" w:hAnsiTheme="minorEastAsia" w:eastAsiaTheme="minorEastAsia" w:cstheme="minorEastAsia"/>
                <w:color w:val="000000"/>
                <w:lang w:val="en-US" w:eastAsia="zh-CN"/>
              </w:rPr>
              <w:t>5</w:t>
            </w:r>
          </w:p>
        </w:tc>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asciiTheme="minorEastAsia" w:hAnsiTheme="minorEastAsia" w:eastAsiaTheme="minorEastAsia" w:cstheme="minorEastAsia"/>
                <w:color w:val="000000"/>
                <w:lang w:val="en-US" w:eastAsia="zh-CN"/>
              </w:rPr>
            </w:pPr>
            <w:r>
              <w:rPr>
                <w:rFonts w:hint="eastAsia" w:asciiTheme="minorEastAsia" w:hAnsiTheme="minorEastAsia" w:eastAsiaTheme="minorEastAsia" w:cstheme="minorEastAsia"/>
                <w:color w:val="000000"/>
                <w:lang w:val="en-US" w:eastAsia="zh-CN"/>
              </w:rPr>
              <w:t>24</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lang w:val="en-US" w:eastAsia="zh-CN" w:bidi="ar"/>
              </w:rPr>
              <w:t>96</w:t>
            </w:r>
            <w:r>
              <w:rPr>
                <w:rFonts w:hint="eastAsia" w:asciiTheme="minorEastAsia" w:hAnsiTheme="minorEastAsia" w:eastAsiaTheme="minorEastAsia" w:cstheme="minorEastAsia"/>
                <w:color w:val="000000"/>
                <w:lang w:bidi="ar"/>
              </w:rPr>
              <w:t>%</w:t>
            </w:r>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lang w:bidi="ar"/>
              </w:rPr>
              <w:t>资金管理</w:t>
            </w:r>
          </w:p>
        </w:tc>
        <w:tc>
          <w:tcPr>
            <w:tcW w:w="59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asciiTheme="minorEastAsia" w:hAnsiTheme="minorEastAsia" w:eastAsiaTheme="minorEastAsia" w:cstheme="minorEastAsia"/>
                <w:color w:val="000000"/>
                <w:lang w:val="en-US" w:eastAsia="zh-CN"/>
              </w:rPr>
            </w:pPr>
            <w:r>
              <w:rPr>
                <w:rFonts w:hint="eastAsia" w:asciiTheme="minorEastAsia" w:hAnsiTheme="minorEastAsia" w:eastAsiaTheme="minorEastAsia" w:cstheme="minorEastAsia"/>
                <w:color w:val="000000"/>
                <w:lang w:val="en-US" w:eastAsia="zh-CN" w:bidi="ar"/>
              </w:rPr>
              <w:t>12</w:t>
            </w:r>
          </w:p>
        </w:tc>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asciiTheme="minorEastAsia" w:hAnsiTheme="minorEastAsia" w:eastAsiaTheme="minorEastAsia" w:cstheme="minorEastAsia"/>
                <w:color w:val="000000"/>
                <w:lang w:val="en-US" w:eastAsia="zh-CN"/>
              </w:rPr>
            </w:pPr>
            <w:r>
              <w:rPr>
                <w:rFonts w:hint="eastAsia" w:asciiTheme="minorEastAsia" w:hAnsiTheme="minorEastAsia" w:eastAsiaTheme="minorEastAsia" w:cstheme="minorEastAsia"/>
                <w:color w:val="000000"/>
                <w:lang w:val="en-US" w:eastAsia="zh-CN"/>
              </w:rPr>
              <w:t>12</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lang w:bidi="ar"/>
              </w:rPr>
              <w:t>100%</w:t>
            </w:r>
          </w:p>
        </w:tc>
        <w:tc>
          <w:tcPr>
            <w:tcW w:w="1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lang w:bidi="ar"/>
              </w:rPr>
              <w:t>资金到位率</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lang w:val="en-US" w:eastAsia="zh-CN" w:bidi="ar"/>
              </w:rPr>
              <w:t>3</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lang w:val="en-US" w:eastAsia="zh-CN" w:bidi="ar"/>
              </w:rPr>
              <w:t>3</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100</w:t>
            </w:r>
            <w:r>
              <w:rPr>
                <w:rFonts w:asciiTheme="minorEastAsia" w:hAnsiTheme="minorEastAsia" w:eastAsiaTheme="minorEastAsia" w:cstheme="minorEastAsia"/>
                <w:color w:val="000000"/>
              </w:rPr>
              <w:t>%</w:t>
            </w:r>
          </w:p>
        </w:tc>
      </w:tr>
      <w:tr>
        <w:tblPrEx>
          <w:shd w:val="clear" w:color="auto" w:fill="auto"/>
          <w:tblCellMar>
            <w:top w:w="0" w:type="dxa"/>
            <w:left w:w="0" w:type="dxa"/>
            <w:bottom w:w="0" w:type="dxa"/>
            <w:right w:w="0" w:type="dxa"/>
          </w:tblCellMar>
        </w:tblPrEx>
        <w:trPr>
          <w:trHeight w:val="460" w:hRule="atLeast"/>
          <w:jc w:val="center"/>
        </w:trPr>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000000"/>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000000"/>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000000"/>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000000"/>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000000"/>
              </w:rPr>
            </w:pPr>
          </w:p>
        </w:tc>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000000"/>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000000"/>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000000"/>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lang w:bidi="ar"/>
              </w:rPr>
            </w:pPr>
            <w:r>
              <w:rPr>
                <w:rFonts w:hint="eastAsia" w:asciiTheme="minorEastAsia" w:hAnsiTheme="minorEastAsia" w:eastAsiaTheme="minorEastAsia" w:cstheme="minorEastAsia"/>
                <w:color w:val="000000"/>
                <w:lang w:bidi="ar"/>
              </w:rPr>
              <w:t>预算执行率</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lang w:bidi="ar"/>
              </w:rPr>
            </w:pPr>
            <w:r>
              <w:rPr>
                <w:rFonts w:hint="eastAsia" w:asciiTheme="minorEastAsia" w:hAnsiTheme="minorEastAsia" w:eastAsiaTheme="minorEastAsia" w:cstheme="minorEastAsia"/>
                <w:color w:val="000000"/>
                <w:lang w:val="en-US" w:eastAsia="zh-CN" w:bidi="ar"/>
              </w:rPr>
              <w:t>3</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lang w:bidi="ar"/>
              </w:rPr>
            </w:pPr>
            <w:r>
              <w:rPr>
                <w:rFonts w:hint="eastAsia" w:asciiTheme="minorEastAsia" w:hAnsiTheme="minorEastAsia" w:eastAsiaTheme="minorEastAsia" w:cstheme="minorEastAsia"/>
                <w:color w:val="000000"/>
                <w:lang w:val="en-US" w:eastAsia="zh-CN" w:bidi="ar"/>
              </w:rPr>
              <w:t>3</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100</w:t>
            </w:r>
            <w:r>
              <w:rPr>
                <w:rFonts w:asciiTheme="minorEastAsia" w:hAnsiTheme="minorEastAsia" w:eastAsiaTheme="minorEastAsia" w:cstheme="minorEastAsia"/>
                <w:color w:val="000000"/>
              </w:rPr>
              <w:t>%</w:t>
            </w:r>
          </w:p>
        </w:tc>
      </w:tr>
      <w:tr>
        <w:tblPrEx>
          <w:shd w:val="clear" w:color="auto" w:fill="auto"/>
          <w:tblCellMar>
            <w:top w:w="0" w:type="dxa"/>
            <w:left w:w="0" w:type="dxa"/>
            <w:bottom w:w="0" w:type="dxa"/>
            <w:right w:w="0" w:type="dxa"/>
          </w:tblCellMar>
        </w:tblPrEx>
        <w:trPr>
          <w:trHeight w:val="460" w:hRule="atLeast"/>
          <w:jc w:val="center"/>
        </w:trPr>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000000"/>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000000"/>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000000"/>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000000"/>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000000"/>
              </w:rPr>
            </w:pPr>
          </w:p>
        </w:tc>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000000"/>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000000"/>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000000"/>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lang w:bidi="ar"/>
              </w:rPr>
              <w:t>资金使用合规性</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lang w:val="en-US" w:eastAsia="zh-CN" w:bidi="ar"/>
              </w:rPr>
              <w:t>6</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lang w:val="en-US" w:eastAsia="zh-CN" w:bidi="ar"/>
              </w:rPr>
              <w:t>6</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100</w:t>
            </w:r>
            <w:r>
              <w:rPr>
                <w:rFonts w:asciiTheme="minorEastAsia" w:hAnsiTheme="minorEastAsia" w:eastAsiaTheme="minorEastAsia" w:cstheme="minorEastAsia"/>
                <w:color w:val="000000"/>
              </w:rPr>
              <w:t>%</w:t>
            </w:r>
          </w:p>
        </w:tc>
      </w:tr>
      <w:tr>
        <w:tblPrEx>
          <w:shd w:val="clear" w:color="auto" w:fill="auto"/>
          <w:tblCellMar>
            <w:top w:w="0" w:type="dxa"/>
            <w:left w:w="0" w:type="dxa"/>
            <w:bottom w:w="0" w:type="dxa"/>
            <w:right w:w="0" w:type="dxa"/>
          </w:tblCellMar>
        </w:tblPrEx>
        <w:trPr>
          <w:trHeight w:val="460" w:hRule="atLeast"/>
          <w:jc w:val="center"/>
        </w:trPr>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000000"/>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000000"/>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000000"/>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000000"/>
              </w:rPr>
            </w:pPr>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lang w:bidi="ar"/>
              </w:rPr>
              <w:t>组织实施</w:t>
            </w:r>
          </w:p>
        </w:tc>
        <w:tc>
          <w:tcPr>
            <w:tcW w:w="59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eastAsia" w:asciiTheme="minorEastAsia" w:hAnsiTheme="minorEastAsia" w:eastAsiaTheme="minorEastAsia" w:cstheme="minorEastAsia"/>
                <w:color w:val="000000"/>
                <w:lang w:eastAsia="zh-CN"/>
              </w:rPr>
            </w:pPr>
            <w:r>
              <w:rPr>
                <w:rFonts w:hint="eastAsia" w:asciiTheme="minorEastAsia" w:hAnsiTheme="minorEastAsia" w:eastAsiaTheme="minorEastAsia" w:cstheme="minorEastAsia"/>
                <w:color w:val="000000"/>
                <w:lang w:bidi="ar"/>
              </w:rPr>
              <w:t>1</w:t>
            </w:r>
            <w:r>
              <w:rPr>
                <w:rFonts w:hint="eastAsia" w:asciiTheme="minorEastAsia" w:hAnsiTheme="minorEastAsia" w:eastAsiaTheme="minorEastAsia" w:cstheme="minorEastAsia"/>
                <w:color w:val="000000"/>
                <w:lang w:val="en-US" w:eastAsia="zh-CN" w:bidi="ar"/>
              </w:rPr>
              <w:t>3</w:t>
            </w:r>
          </w:p>
        </w:tc>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asciiTheme="minorEastAsia" w:hAnsiTheme="minorEastAsia" w:eastAsiaTheme="minorEastAsia" w:cstheme="minorEastAsia"/>
                <w:color w:val="000000"/>
                <w:lang w:val="en-US" w:eastAsia="zh-CN"/>
              </w:rPr>
            </w:pPr>
            <w:r>
              <w:rPr>
                <w:rFonts w:hint="eastAsia" w:asciiTheme="minorEastAsia" w:hAnsiTheme="minorEastAsia" w:eastAsiaTheme="minorEastAsia" w:cstheme="minorEastAsia"/>
                <w:color w:val="000000"/>
                <w:lang w:val="en-US" w:eastAsia="zh-CN"/>
              </w:rPr>
              <w:t>12</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lang w:val="en-US" w:eastAsia="zh-CN" w:bidi="ar"/>
              </w:rPr>
              <w:t>92.31</w:t>
            </w:r>
            <w:r>
              <w:rPr>
                <w:rFonts w:hint="eastAsia" w:asciiTheme="minorEastAsia" w:hAnsiTheme="minorEastAsia" w:eastAsiaTheme="minorEastAsia" w:cstheme="minorEastAsia"/>
                <w:color w:val="000000"/>
                <w:lang w:bidi="ar"/>
              </w:rPr>
              <w:t>%</w:t>
            </w:r>
          </w:p>
        </w:tc>
        <w:tc>
          <w:tcPr>
            <w:tcW w:w="1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lang w:bidi="ar"/>
              </w:rPr>
              <w:t>管理制度健全性</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lang w:val="en-US" w:eastAsia="zh-CN"/>
              </w:rPr>
              <w:t>2</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lang w:val="en-US" w:eastAsia="zh-CN"/>
              </w:rPr>
              <w:t>2</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100</w:t>
            </w:r>
            <w:r>
              <w:rPr>
                <w:rFonts w:asciiTheme="minorEastAsia" w:hAnsiTheme="minorEastAsia" w:eastAsiaTheme="minorEastAsia" w:cstheme="minorEastAsia"/>
                <w:color w:val="000000"/>
              </w:rPr>
              <w:t>%</w:t>
            </w:r>
          </w:p>
        </w:tc>
      </w:tr>
      <w:tr>
        <w:tblPrEx>
          <w:shd w:val="clear" w:color="auto" w:fill="auto"/>
          <w:tblCellMar>
            <w:top w:w="0" w:type="dxa"/>
            <w:left w:w="0" w:type="dxa"/>
            <w:bottom w:w="0" w:type="dxa"/>
            <w:right w:w="0" w:type="dxa"/>
          </w:tblCellMar>
        </w:tblPrEx>
        <w:trPr>
          <w:trHeight w:val="500" w:hRule="atLeast"/>
          <w:jc w:val="center"/>
        </w:trPr>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000000"/>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000000"/>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000000"/>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000000"/>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000000"/>
              </w:rPr>
            </w:pPr>
          </w:p>
        </w:tc>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000000"/>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000000"/>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000000"/>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lang w:bidi="ar"/>
              </w:rPr>
              <w:t>制度执行有效性</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1</w:t>
            </w:r>
            <w:r>
              <w:rPr>
                <w:rFonts w:hint="eastAsia" w:asciiTheme="minorEastAsia" w:hAnsiTheme="minorEastAsia" w:eastAsiaTheme="minorEastAsia" w:cstheme="minorEastAsia"/>
                <w:color w:val="000000"/>
                <w:lang w:val="en-US" w:eastAsia="zh-CN"/>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1</w:t>
            </w:r>
            <w:r>
              <w:rPr>
                <w:rFonts w:hint="eastAsia" w:asciiTheme="minorEastAsia" w:hAnsiTheme="minorEastAsia" w:eastAsiaTheme="minorEastAsia" w:cstheme="minorEastAsia"/>
                <w:color w:val="000000"/>
                <w:lang w:val="en-US" w:eastAsia="zh-CN"/>
              </w:rPr>
              <w:t>0</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9</w:t>
            </w:r>
            <w:r>
              <w:rPr>
                <w:rFonts w:hint="eastAsia" w:asciiTheme="minorEastAsia" w:hAnsiTheme="minorEastAsia" w:eastAsiaTheme="minorEastAsia" w:cstheme="minorEastAsia"/>
                <w:color w:val="000000"/>
                <w:lang w:val="en-US" w:eastAsia="zh-CN"/>
              </w:rPr>
              <w:t>0.91</w:t>
            </w:r>
            <w:r>
              <w:rPr>
                <w:rFonts w:asciiTheme="minorEastAsia" w:hAnsiTheme="minorEastAsia" w:eastAsiaTheme="minorEastAsia" w:cstheme="minorEastAsia"/>
                <w:color w:val="000000"/>
              </w:rPr>
              <w:t>%</w:t>
            </w:r>
          </w:p>
        </w:tc>
      </w:tr>
    </w:tbl>
    <w:p>
      <w:pPr>
        <w:keepNext w:val="0"/>
        <w:keepLines w:val="0"/>
        <w:pageBreakBefore w:val="0"/>
        <w:widowControl/>
        <w:kinsoku/>
        <w:wordWrap/>
        <w:overflowPunct w:val="0"/>
        <w:topLinePunct w:val="0"/>
        <w:autoSpaceDE w:val="0"/>
        <w:autoSpaceDN w:val="0"/>
        <w:bidi w:val="0"/>
        <w:adjustRightInd w:val="0"/>
        <w:snapToGrid/>
        <w:spacing w:line="580" w:lineRule="exact"/>
        <w:ind w:firstLine="640" w:firstLineChars="200"/>
        <w:textAlignment w:val="baseline"/>
        <w:rPr>
          <w:rFonts w:ascii="仿宋_GB2312" w:hAnsi="仿宋_GB2312" w:eastAsia="仿宋_GB2312" w:cs="仿宋_GB2312"/>
          <w:color w:val="000000"/>
          <w:sz w:val="32"/>
          <w:szCs w:val="32"/>
          <w:lang w:bidi="ar"/>
        </w:rPr>
      </w:pPr>
      <w:bookmarkStart w:id="143" w:name="_Toc1569698006_WPSOffice_Level2"/>
      <w:bookmarkStart w:id="144" w:name="_Toc1783039900_WPSOffice_Level2"/>
      <w:bookmarkStart w:id="145" w:name="_Toc43350885_WPSOffice_Level2"/>
      <w:r>
        <w:rPr>
          <w:rFonts w:ascii="仿宋_GB2312" w:hAnsi="仿宋_GB2312" w:eastAsia="仿宋_GB2312" w:cs="仿宋_GB2312"/>
          <w:color w:val="000000"/>
          <w:sz w:val="32"/>
          <w:szCs w:val="32"/>
          <w:lang w:bidi="ar"/>
        </w:rPr>
        <w:t>（1）资金管理</w:t>
      </w:r>
      <w:bookmarkEnd w:id="143"/>
      <w:bookmarkEnd w:id="144"/>
      <w:bookmarkEnd w:id="145"/>
    </w:p>
    <w:p>
      <w:pPr>
        <w:keepNext w:val="0"/>
        <w:keepLines w:val="0"/>
        <w:pageBreakBefore w:val="0"/>
        <w:widowControl/>
        <w:kinsoku/>
        <w:wordWrap/>
        <w:overflowPunct w:val="0"/>
        <w:topLinePunct w:val="0"/>
        <w:autoSpaceDE w:val="0"/>
        <w:autoSpaceDN w:val="0"/>
        <w:bidi w:val="0"/>
        <w:adjustRightInd w:val="0"/>
        <w:snapToGrid/>
        <w:spacing w:line="580" w:lineRule="exact"/>
        <w:ind w:firstLine="640" w:firstLineChars="200"/>
        <w:textAlignment w:val="baseline"/>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①</w:t>
      </w:r>
      <w:r>
        <w:rPr>
          <w:rFonts w:ascii="仿宋_GB2312" w:hAnsi="仿宋_GB2312" w:eastAsia="仿宋_GB2312" w:cs="仿宋_GB2312"/>
          <w:sz w:val="32"/>
          <w:szCs w:val="32"/>
          <w:lang w:bidi="ar"/>
        </w:rPr>
        <w:t>资金到位</w:t>
      </w:r>
      <w:r>
        <w:rPr>
          <w:rFonts w:hint="eastAsia" w:ascii="仿宋_GB2312" w:hAnsi="仿宋_GB2312" w:eastAsia="仿宋_GB2312" w:cs="仿宋_GB2312"/>
          <w:sz w:val="32"/>
          <w:szCs w:val="32"/>
          <w:lang w:bidi="ar"/>
        </w:rPr>
        <w:t>率</w:t>
      </w:r>
      <w:r>
        <w:rPr>
          <w:rFonts w:ascii="仿宋_GB2312" w:hAnsi="仿宋_GB2312" w:eastAsia="仿宋_GB2312" w:cs="仿宋_GB2312"/>
          <w:sz w:val="32"/>
          <w:szCs w:val="32"/>
          <w:lang w:bidi="ar"/>
        </w:rPr>
        <w:t>情况</w:t>
      </w:r>
    </w:p>
    <w:p>
      <w:pPr>
        <w:keepNext w:val="0"/>
        <w:keepLines w:val="0"/>
        <w:pageBreakBefore w:val="0"/>
        <w:widowControl/>
        <w:kinsoku/>
        <w:wordWrap/>
        <w:overflowPunct w:val="0"/>
        <w:topLinePunct w:val="0"/>
        <w:autoSpaceDE w:val="0"/>
        <w:autoSpaceDN w:val="0"/>
        <w:bidi w:val="0"/>
        <w:adjustRightInd w:val="0"/>
        <w:snapToGrid/>
        <w:spacing w:line="580" w:lineRule="exact"/>
        <w:ind w:firstLine="640" w:firstLineChars="200"/>
        <w:textAlignment w:val="baseline"/>
        <w:rPr>
          <w:lang w:bidi="ar"/>
        </w:rPr>
      </w:pPr>
      <w:r>
        <w:rPr>
          <w:rFonts w:ascii="仿宋_GB2312" w:hAnsi="仿宋_GB2312" w:eastAsia="仿宋_GB2312" w:cs="仿宋_GB2312"/>
          <w:sz w:val="32"/>
          <w:szCs w:val="32"/>
          <w:lang w:bidi="ar"/>
        </w:rPr>
        <w:t>一是资金到位率100%。</w:t>
      </w:r>
      <w:r>
        <w:rPr>
          <w:rFonts w:hint="eastAsia" w:ascii="仿宋_GB2312" w:hAnsi="仿宋_GB2312" w:eastAsia="仿宋_GB2312" w:cs="仿宋_GB2312"/>
          <w:sz w:val="32"/>
          <w:szCs w:val="32"/>
          <w:lang w:bidi="ar"/>
        </w:rPr>
        <w:t>该指标评价标准为“以专项资金到达项目单位为到位”。该</w:t>
      </w:r>
      <w:r>
        <w:rPr>
          <w:rFonts w:ascii="仿宋_GB2312" w:hAnsi="仿宋_GB2312" w:eastAsia="仿宋_GB2312" w:cs="仿宋_GB2312"/>
          <w:sz w:val="32"/>
          <w:szCs w:val="32"/>
          <w:lang w:bidi="ar"/>
        </w:rPr>
        <w:t>项目总预算为</w:t>
      </w:r>
      <w:r>
        <w:rPr>
          <w:rFonts w:hint="eastAsia" w:ascii="仿宋_GB2312" w:hAnsi="仿宋_GB2312" w:eastAsia="仿宋_GB2312" w:cs="仿宋_GB2312"/>
          <w:sz w:val="32"/>
          <w:szCs w:val="32"/>
          <w:lang w:val="en-US" w:eastAsia="zh-CN" w:bidi="ar"/>
        </w:rPr>
        <w:t>195</w:t>
      </w:r>
      <w:r>
        <w:rPr>
          <w:rFonts w:ascii="仿宋_GB2312" w:hAnsi="仿宋_GB2312" w:eastAsia="仿宋_GB2312" w:cs="仿宋_GB2312"/>
          <w:sz w:val="32"/>
          <w:szCs w:val="32"/>
          <w:lang w:bidi="ar"/>
        </w:rPr>
        <w:t>万元，</w:t>
      </w:r>
      <w:r>
        <w:rPr>
          <w:rFonts w:hint="eastAsia" w:ascii="仿宋_GB2312" w:hAnsi="仿宋_GB2312" w:eastAsia="仿宋_GB2312" w:cs="仿宋_GB2312"/>
          <w:color w:val="000000"/>
          <w:sz w:val="32"/>
          <w:szCs w:val="32"/>
          <w:lang w:val="en-US" w:eastAsia="zh-CN" w:bidi="ar"/>
        </w:rPr>
        <w:t>枣庄市财政局、市环境保护局以栆财建批</w:t>
      </w:r>
      <w:r>
        <w:rPr>
          <w:rFonts w:hint="eastAsia" w:ascii="仿宋_GB2312" w:eastAsia="仿宋_GB2312" w:cs="仿宋_GB2312"/>
          <w:sz w:val="32"/>
          <w:szCs w:val="32"/>
        </w:rPr>
        <w:t>[2018]</w:t>
      </w:r>
      <w:r>
        <w:rPr>
          <w:rFonts w:hint="eastAsia" w:ascii="仿宋_GB2312" w:eastAsia="仿宋_GB2312" w:cs="仿宋_GB2312"/>
          <w:sz w:val="32"/>
          <w:szCs w:val="32"/>
          <w:lang w:val="en-US" w:eastAsia="zh-CN"/>
        </w:rPr>
        <w:t>42</w:t>
      </w:r>
      <w:r>
        <w:rPr>
          <w:rFonts w:hint="eastAsia" w:ascii="仿宋_GB2312" w:eastAsia="仿宋_GB2312" w:cs="仿宋_GB2312"/>
          <w:sz w:val="32"/>
          <w:szCs w:val="32"/>
        </w:rPr>
        <w:t>号文</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关于下达2018年省级环境污染防治专项资金预算指标的通知</w:t>
      </w:r>
      <w:r>
        <w:rPr>
          <w:rFonts w:hint="eastAsia" w:ascii="仿宋_GB2312" w:eastAsia="仿宋_GB2312" w:cs="仿宋_GB2312"/>
          <w:sz w:val="32"/>
          <w:szCs w:val="32"/>
          <w:lang w:eastAsia="zh-CN"/>
        </w:rPr>
        <w:t>》</w:t>
      </w:r>
      <w:r>
        <w:rPr>
          <w:rFonts w:hint="eastAsia" w:ascii="仿宋_GB2312" w:hAnsi="仿宋_GB2312" w:eastAsia="仿宋_GB2312" w:cs="仿宋_GB2312"/>
          <w:sz w:val="32"/>
          <w:szCs w:val="32"/>
          <w:lang w:bidi="ar"/>
        </w:rPr>
        <w:t>下达</w:t>
      </w:r>
      <w:r>
        <w:rPr>
          <w:rFonts w:ascii="仿宋_GB2312" w:hAnsi="仿宋_GB2312" w:eastAsia="仿宋_GB2312" w:cs="仿宋_GB2312"/>
          <w:sz w:val="32"/>
          <w:szCs w:val="32"/>
          <w:lang w:bidi="ar"/>
        </w:rPr>
        <w:t>专项资金</w:t>
      </w:r>
      <w:r>
        <w:rPr>
          <w:rFonts w:hint="eastAsia" w:ascii="仿宋_GB2312" w:hAnsi="仿宋_GB2312" w:eastAsia="仿宋_GB2312" w:cs="仿宋_GB2312"/>
          <w:sz w:val="32"/>
          <w:szCs w:val="32"/>
          <w:lang w:val="en-US" w:eastAsia="zh-CN" w:bidi="ar"/>
        </w:rPr>
        <w:t>195</w:t>
      </w:r>
      <w:r>
        <w:rPr>
          <w:rFonts w:ascii="仿宋_GB2312" w:hAnsi="仿宋_GB2312" w:eastAsia="仿宋_GB2312" w:cs="仿宋_GB2312"/>
          <w:sz w:val="32"/>
          <w:szCs w:val="32"/>
          <w:lang w:bidi="ar"/>
        </w:rPr>
        <w:t>万元。资金到位率100%。</w:t>
      </w:r>
    </w:p>
    <w:p>
      <w:pPr>
        <w:keepNext w:val="0"/>
        <w:keepLines w:val="0"/>
        <w:pageBreakBefore w:val="0"/>
        <w:widowControl/>
        <w:kinsoku/>
        <w:wordWrap/>
        <w:overflowPunct w:val="0"/>
        <w:topLinePunct w:val="0"/>
        <w:autoSpaceDE w:val="0"/>
        <w:autoSpaceDN w:val="0"/>
        <w:bidi w:val="0"/>
        <w:adjustRightInd w:val="0"/>
        <w:snapToGrid/>
        <w:spacing w:line="580" w:lineRule="exact"/>
        <w:ind w:firstLine="640" w:firstLineChars="200"/>
        <w:textAlignment w:val="baseline"/>
        <w:rPr>
          <w:lang w:bidi="ar"/>
        </w:rPr>
      </w:pPr>
      <w:r>
        <w:rPr>
          <w:rFonts w:hint="eastAsia" w:ascii="仿宋_GB2312" w:hAnsi="仿宋_GB2312" w:eastAsia="仿宋_GB2312" w:cs="仿宋_GB2312"/>
          <w:sz w:val="32"/>
          <w:szCs w:val="32"/>
          <w:lang w:bidi="ar"/>
        </w:rPr>
        <w:t>二是资金到位及时性</w:t>
      </w:r>
      <w:r>
        <w:rPr>
          <w:rFonts w:ascii="仿宋_GB2312" w:hAnsi="仿宋_GB2312" w:eastAsia="仿宋_GB2312" w:cs="仿宋_GB2312"/>
          <w:sz w:val="32"/>
          <w:szCs w:val="32"/>
          <w:lang w:bidi="ar"/>
        </w:rPr>
        <w:t>100%。</w:t>
      </w:r>
      <w:r>
        <w:rPr>
          <w:rFonts w:hint="eastAsia" w:ascii="仿宋_GB2312" w:hAnsi="仿宋_GB2312" w:eastAsia="仿宋_GB2312" w:cs="仿宋_GB2312"/>
          <w:sz w:val="32"/>
          <w:szCs w:val="32"/>
          <w:lang w:bidi="ar"/>
        </w:rPr>
        <w:t>该指标评价标准为“以专项资金到达项目单位为到位时间”。该项目</w:t>
      </w:r>
      <w:r>
        <w:rPr>
          <w:rFonts w:hint="eastAsia" w:ascii="仿宋_GB2312" w:hAnsi="仿宋_GB2312" w:eastAsia="仿宋_GB2312" w:cs="仿宋_GB2312"/>
          <w:sz w:val="32"/>
          <w:szCs w:val="32"/>
          <w:lang w:val="en-US" w:eastAsia="zh-CN" w:bidi="ar"/>
        </w:rPr>
        <w:t>按合同要求分四次及时下达支付公款，</w:t>
      </w:r>
      <w:r>
        <w:rPr>
          <w:rFonts w:ascii="仿宋_GB2312" w:hAnsi="仿宋_GB2312" w:eastAsia="仿宋_GB2312" w:cs="仿宋_GB2312"/>
          <w:sz w:val="32"/>
          <w:szCs w:val="32"/>
          <w:lang w:bidi="ar"/>
        </w:rPr>
        <w:t>预算资金到位及时性100%。</w:t>
      </w:r>
    </w:p>
    <w:p>
      <w:pPr>
        <w:keepNext w:val="0"/>
        <w:keepLines w:val="0"/>
        <w:pageBreakBefore w:val="0"/>
        <w:widowControl/>
        <w:kinsoku/>
        <w:wordWrap/>
        <w:overflowPunct w:val="0"/>
        <w:topLinePunct w:val="0"/>
        <w:autoSpaceDE w:val="0"/>
        <w:autoSpaceDN w:val="0"/>
        <w:bidi w:val="0"/>
        <w:adjustRightInd w:val="0"/>
        <w:snapToGrid/>
        <w:spacing w:line="580" w:lineRule="exact"/>
        <w:ind w:firstLine="640" w:firstLineChars="200"/>
        <w:textAlignment w:val="baseline"/>
        <w:rPr>
          <w:highlight w:val="yellow"/>
          <w:lang w:bidi="ar"/>
        </w:rPr>
      </w:pPr>
      <w:r>
        <w:rPr>
          <w:rFonts w:hint="eastAsia" w:ascii="仿宋_GB2312" w:hAnsi="仿宋_GB2312" w:eastAsia="仿宋_GB2312" w:cs="仿宋_GB2312"/>
          <w:sz w:val="32"/>
          <w:szCs w:val="32"/>
          <w:lang w:bidi="ar"/>
        </w:rPr>
        <w:t>②</w:t>
      </w:r>
      <w:r>
        <w:rPr>
          <w:rFonts w:ascii="仿宋_GB2312" w:hAnsi="仿宋_GB2312" w:eastAsia="仿宋_GB2312" w:cs="仿宋_GB2312"/>
          <w:sz w:val="32"/>
          <w:szCs w:val="32"/>
          <w:lang w:bidi="ar"/>
        </w:rPr>
        <w:t>预算执行率100%。项目资金实际到位</w:t>
      </w:r>
      <w:r>
        <w:rPr>
          <w:rFonts w:hint="eastAsia" w:ascii="仿宋_GB2312" w:hAnsi="仿宋_GB2312" w:eastAsia="仿宋_GB2312" w:cs="仿宋_GB2312"/>
          <w:sz w:val="32"/>
          <w:szCs w:val="32"/>
          <w:lang w:val="en-US" w:eastAsia="zh-CN" w:bidi="ar"/>
        </w:rPr>
        <w:t>179.88</w:t>
      </w:r>
      <w:r>
        <w:rPr>
          <w:rFonts w:ascii="仿宋_GB2312" w:hAnsi="仿宋_GB2312" w:eastAsia="仿宋_GB2312" w:cs="仿宋_GB2312"/>
          <w:sz w:val="32"/>
          <w:szCs w:val="32"/>
          <w:lang w:bidi="ar"/>
        </w:rPr>
        <w:t>万元，实际支出</w:t>
      </w:r>
      <w:r>
        <w:rPr>
          <w:rFonts w:hint="eastAsia" w:ascii="仿宋_GB2312" w:hAnsi="仿宋_GB2312" w:eastAsia="仿宋_GB2312" w:cs="仿宋_GB2312"/>
          <w:sz w:val="32"/>
          <w:szCs w:val="32"/>
          <w:lang w:val="en-US" w:eastAsia="zh-CN" w:bidi="ar"/>
        </w:rPr>
        <w:t>179.88</w:t>
      </w:r>
      <w:r>
        <w:rPr>
          <w:rFonts w:ascii="仿宋_GB2312" w:hAnsi="仿宋_GB2312" w:eastAsia="仿宋_GB2312" w:cs="仿宋_GB2312"/>
          <w:sz w:val="32"/>
          <w:szCs w:val="32"/>
          <w:lang w:bidi="ar"/>
        </w:rPr>
        <w:t>万元，预算执行率100%。</w:t>
      </w:r>
    </w:p>
    <w:p>
      <w:pPr>
        <w:keepNext w:val="0"/>
        <w:keepLines w:val="0"/>
        <w:pageBreakBefore w:val="0"/>
        <w:widowControl/>
        <w:kinsoku/>
        <w:wordWrap/>
        <w:overflowPunct w:val="0"/>
        <w:topLinePunct w:val="0"/>
        <w:autoSpaceDE w:val="0"/>
        <w:autoSpaceDN w:val="0"/>
        <w:bidi w:val="0"/>
        <w:adjustRightInd w:val="0"/>
        <w:snapToGrid/>
        <w:spacing w:line="580" w:lineRule="exact"/>
        <w:ind w:firstLine="640" w:firstLineChars="200"/>
        <w:textAlignment w:val="baseline"/>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③</w:t>
      </w:r>
      <w:r>
        <w:rPr>
          <w:rFonts w:ascii="仿宋_GB2312" w:hAnsi="仿宋_GB2312" w:eastAsia="仿宋_GB2312" w:cs="仿宋_GB2312"/>
          <w:sz w:val="32"/>
          <w:szCs w:val="32"/>
          <w:lang w:bidi="ar"/>
        </w:rPr>
        <w:t>资金使用合规性</w:t>
      </w:r>
    </w:p>
    <w:p>
      <w:pPr>
        <w:keepNext w:val="0"/>
        <w:keepLines w:val="0"/>
        <w:pageBreakBefore w:val="0"/>
        <w:widowControl/>
        <w:kinsoku/>
        <w:wordWrap/>
        <w:overflowPunct w:val="0"/>
        <w:topLinePunct w:val="0"/>
        <w:autoSpaceDE w:val="0"/>
        <w:autoSpaceDN w:val="0"/>
        <w:bidi w:val="0"/>
        <w:adjustRightInd w:val="0"/>
        <w:snapToGrid/>
        <w:spacing w:line="580" w:lineRule="exact"/>
        <w:ind w:firstLine="640" w:firstLineChars="200"/>
        <w:textAlignment w:val="baseline"/>
        <w:rPr>
          <w:lang w:bidi="ar"/>
        </w:rPr>
      </w:pPr>
      <w:r>
        <w:rPr>
          <w:rFonts w:hint="eastAsia" w:ascii="仿宋_GB2312" w:hAnsi="仿宋_GB2312" w:eastAsia="仿宋_GB2312" w:cs="仿宋_GB2312"/>
          <w:sz w:val="32"/>
          <w:szCs w:val="32"/>
          <w:lang w:bidi="ar"/>
        </w:rPr>
        <w:t>一是资金使用合规。评价发现资金使用符合国家财经法规和财务管理制度以及有关专项资金管理办法的规定、项目预算批复或合同规定的用途。</w:t>
      </w:r>
    </w:p>
    <w:p>
      <w:pPr>
        <w:keepNext w:val="0"/>
        <w:keepLines w:val="0"/>
        <w:pageBreakBefore w:val="0"/>
        <w:widowControl/>
        <w:kinsoku/>
        <w:wordWrap/>
        <w:overflowPunct w:val="0"/>
        <w:topLinePunct w:val="0"/>
        <w:autoSpaceDE w:val="0"/>
        <w:autoSpaceDN w:val="0"/>
        <w:bidi w:val="0"/>
        <w:adjustRightInd w:val="0"/>
        <w:snapToGrid/>
        <w:spacing w:line="580" w:lineRule="exact"/>
        <w:ind w:firstLine="640" w:firstLineChars="200"/>
        <w:textAlignment w:val="baseline"/>
        <w:rPr>
          <w:lang w:bidi="ar"/>
        </w:rPr>
      </w:pPr>
      <w:r>
        <w:rPr>
          <w:rFonts w:hint="eastAsia" w:ascii="仿宋_GB2312" w:hAnsi="仿宋_GB2312" w:eastAsia="仿宋_GB2312" w:cs="仿宋_GB2312"/>
          <w:sz w:val="32"/>
          <w:szCs w:val="32"/>
          <w:lang w:bidi="ar"/>
        </w:rPr>
        <w:t>二是资金拨付</w:t>
      </w:r>
      <w:r>
        <w:rPr>
          <w:rFonts w:ascii="仿宋_GB2312" w:hAnsi="仿宋_GB2312" w:eastAsia="仿宋_GB2312" w:cs="仿宋_GB2312"/>
          <w:sz w:val="32"/>
          <w:szCs w:val="32"/>
          <w:lang w:bidi="ar"/>
        </w:rPr>
        <w:t>程序合规。</w:t>
      </w:r>
      <w:r>
        <w:rPr>
          <w:rFonts w:hint="eastAsia" w:ascii="仿宋_GB2312" w:hAnsi="仿宋_GB2312" w:eastAsia="仿宋_GB2312" w:cs="仿宋_GB2312"/>
          <w:sz w:val="32"/>
          <w:szCs w:val="32"/>
          <w:lang w:bidi="ar"/>
        </w:rPr>
        <w:t>该项目资金拨付程序为：到达合同支付节点后，项目实施公司申请，相关科室审查后，对</w:t>
      </w:r>
      <w:r>
        <w:rPr>
          <w:rFonts w:hint="eastAsia" w:ascii="仿宋_GB2312" w:hAnsi="仿宋_GB2312" w:eastAsia="仿宋_GB2312" w:cs="仿宋_GB2312"/>
          <w:sz w:val="32"/>
          <w:szCs w:val="32"/>
          <w:lang w:val="en-US" w:eastAsia="zh-CN" w:bidi="ar"/>
        </w:rPr>
        <w:t>项目实施公司</w:t>
      </w:r>
      <w:r>
        <w:rPr>
          <w:rFonts w:hint="eastAsia" w:ascii="仿宋_GB2312" w:hAnsi="仿宋_GB2312" w:eastAsia="仿宋_GB2312" w:cs="仿宋_GB2312"/>
          <w:sz w:val="32"/>
          <w:szCs w:val="32"/>
          <w:lang w:bidi="ar"/>
        </w:rPr>
        <w:t>申请签字确认，转分管领导审核签字后送财务审核，最后由主管局长签字，财务科支付检验费，资金拨付程序合规。</w:t>
      </w:r>
      <w:r>
        <w:rPr>
          <w:rFonts w:ascii="仿宋_GB2312" w:hAnsi="仿宋_GB2312" w:eastAsia="仿宋_GB2312" w:cs="仿宋_GB2312"/>
          <w:sz w:val="32"/>
          <w:szCs w:val="32"/>
          <w:lang w:bidi="ar"/>
        </w:rPr>
        <w:t>资金拨付程序合规</w:t>
      </w:r>
      <w:r>
        <w:rPr>
          <w:rFonts w:hint="eastAsia" w:ascii="仿宋_GB2312" w:hAnsi="仿宋_GB2312" w:eastAsia="仿宋_GB2312" w:cs="仿宋_GB2312"/>
          <w:sz w:val="32"/>
          <w:szCs w:val="32"/>
          <w:lang w:bidi="ar"/>
        </w:rPr>
        <w:t>。</w:t>
      </w:r>
    </w:p>
    <w:p>
      <w:pPr>
        <w:keepNext w:val="0"/>
        <w:keepLines w:val="0"/>
        <w:pageBreakBefore w:val="0"/>
        <w:widowControl/>
        <w:kinsoku/>
        <w:wordWrap/>
        <w:overflowPunct w:val="0"/>
        <w:topLinePunct w:val="0"/>
        <w:autoSpaceDE w:val="0"/>
        <w:autoSpaceDN w:val="0"/>
        <w:bidi w:val="0"/>
        <w:adjustRightInd w:val="0"/>
        <w:snapToGrid/>
        <w:spacing w:line="580" w:lineRule="exact"/>
        <w:ind w:firstLine="640" w:firstLineChars="200"/>
        <w:textAlignment w:val="baseline"/>
        <w:rPr>
          <w:rFonts w:ascii="仿宋_GB2312" w:hAnsi="仿宋_GB2312" w:eastAsia="仿宋_GB2312" w:cs="仿宋_GB2312"/>
          <w:b w:val="0"/>
          <w:bCs w:val="0"/>
          <w:color w:val="000000"/>
          <w:sz w:val="32"/>
          <w:szCs w:val="32"/>
          <w:lang w:bidi="ar"/>
        </w:rPr>
      </w:pPr>
      <w:bookmarkStart w:id="146" w:name="_Toc1325023872_WPSOffice_Level2"/>
      <w:bookmarkStart w:id="147" w:name="_Toc1131613852_WPSOffice_Level2"/>
      <w:bookmarkStart w:id="148" w:name="_Toc1636336353_WPSOffice_Level2"/>
      <w:r>
        <w:rPr>
          <w:rFonts w:hint="eastAsia" w:ascii="仿宋_GB2312" w:hAnsi="仿宋_GB2312" w:eastAsia="仿宋_GB2312" w:cs="仿宋_GB2312"/>
          <w:b w:val="0"/>
          <w:bCs w:val="0"/>
          <w:color w:val="000000"/>
          <w:sz w:val="32"/>
          <w:szCs w:val="32"/>
          <w:lang w:bidi="ar"/>
        </w:rPr>
        <w:t>（</w:t>
      </w:r>
      <w:r>
        <w:rPr>
          <w:rFonts w:ascii="仿宋_GB2312" w:hAnsi="仿宋_GB2312" w:eastAsia="仿宋_GB2312" w:cs="仿宋_GB2312"/>
          <w:b w:val="0"/>
          <w:bCs w:val="0"/>
          <w:color w:val="000000"/>
          <w:sz w:val="32"/>
          <w:szCs w:val="32"/>
          <w:lang w:bidi="ar"/>
        </w:rPr>
        <w:t>2）组织实施</w:t>
      </w:r>
      <w:bookmarkEnd w:id="146"/>
      <w:bookmarkEnd w:id="147"/>
      <w:bookmarkEnd w:id="148"/>
    </w:p>
    <w:p>
      <w:pPr>
        <w:keepNext w:val="0"/>
        <w:keepLines w:val="0"/>
        <w:pageBreakBefore w:val="0"/>
        <w:widowControl/>
        <w:kinsoku/>
        <w:wordWrap/>
        <w:overflowPunct w:val="0"/>
        <w:topLinePunct w:val="0"/>
        <w:autoSpaceDE w:val="0"/>
        <w:autoSpaceDN w:val="0"/>
        <w:bidi w:val="0"/>
        <w:adjustRightInd w:val="0"/>
        <w:snapToGrid/>
        <w:spacing w:line="580" w:lineRule="exact"/>
        <w:ind w:firstLine="640" w:firstLineChars="200"/>
        <w:textAlignment w:val="baseline"/>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①</w:t>
      </w:r>
      <w:r>
        <w:rPr>
          <w:rFonts w:ascii="仿宋_GB2312" w:hAnsi="仿宋_GB2312" w:eastAsia="仿宋_GB2312" w:cs="仿宋_GB2312"/>
          <w:sz w:val="32"/>
          <w:szCs w:val="32"/>
          <w:lang w:bidi="ar"/>
        </w:rPr>
        <w:t>管理制度健全性</w:t>
      </w:r>
    </w:p>
    <w:p>
      <w:pPr>
        <w:keepNext w:val="0"/>
        <w:keepLines w:val="0"/>
        <w:pageBreakBefore w:val="0"/>
        <w:widowControl/>
        <w:kinsoku/>
        <w:wordWrap/>
        <w:overflowPunct w:val="0"/>
        <w:topLinePunct w:val="0"/>
        <w:autoSpaceDE w:val="0"/>
        <w:autoSpaceDN w:val="0"/>
        <w:bidi w:val="0"/>
        <w:adjustRightInd w:val="0"/>
        <w:snapToGrid/>
        <w:spacing w:line="580" w:lineRule="exact"/>
        <w:ind w:firstLine="640" w:firstLineChars="200"/>
        <w:textAlignment w:val="baseline"/>
        <w:rPr>
          <w:lang w:bidi="ar"/>
        </w:rPr>
      </w:pPr>
      <w:r>
        <w:rPr>
          <w:rFonts w:hint="eastAsia" w:ascii="仿宋_GB2312" w:hAnsi="仿宋_GB2312" w:eastAsia="仿宋_GB2312" w:cs="仿宋_GB2312"/>
          <w:sz w:val="32"/>
          <w:szCs w:val="32"/>
          <w:lang w:bidi="ar"/>
        </w:rPr>
        <w:t>2018年贫困村饮用水水源地保护项目在实施过程中严格执行</w:t>
      </w:r>
      <w:r>
        <w:rPr>
          <w:rFonts w:hint="eastAsia" w:ascii="仿宋_GB2312" w:hAnsi="仿宋_GB2312" w:eastAsia="仿宋_GB2312" w:cs="仿宋_GB2312"/>
          <w:color w:val="000000"/>
          <w:sz w:val="32"/>
          <w:szCs w:val="32"/>
          <w:lang w:bidi="ar"/>
        </w:rPr>
        <w:t>枣庄</w:t>
      </w:r>
      <w:r>
        <w:rPr>
          <w:rFonts w:hint="eastAsia" w:ascii="仿宋_GB2312" w:hAnsi="仿宋_GB2312" w:eastAsia="仿宋_GB2312" w:cs="仿宋_GB2312"/>
          <w:color w:val="000000"/>
          <w:sz w:val="32"/>
          <w:szCs w:val="32"/>
          <w:lang w:val="en-US" w:eastAsia="zh-CN" w:bidi="ar"/>
        </w:rPr>
        <w:t>市生态环境局山亭分局</w:t>
      </w:r>
      <w:r>
        <w:rPr>
          <w:rFonts w:hint="eastAsia" w:ascii="仿宋_GB2312" w:hAnsi="仿宋_GB2312" w:eastAsia="仿宋_GB2312" w:cs="仿宋_GB2312"/>
          <w:sz w:val="32"/>
          <w:szCs w:val="32"/>
          <w:lang w:bidi="ar"/>
        </w:rPr>
        <w:t>的相关财务和业务制度，结合招投标管理、合同管理和监理制度等，能够满足专项资金和项目管理需求。</w:t>
      </w:r>
    </w:p>
    <w:p>
      <w:pPr>
        <w:keepNext w:val="0"/>
        <w:keepLines w:val="0"/>
        <w:pageBreakBefore w:val="0"/>
        <w:widowControl/>
        <w:kinsoku/>
        <w:wordWrap/>
        <w:overflowPunct w:val="0"/>
        <w:topLinePunct w:val="0"/>
        <w:autoSpaceDE w:val="0"/>
        <w:autoSpaceDN w:val="0"/>
        <w:bidi w:val="0"/>
        <w:adjustRightInd w:val="0"/>
        <w:snapToGrid/>
        <w:spacing w:line="580" w:lineRule="exact"/>
        <w:ind w:firstLine="640" w:firstLineChars="200"/>
        <w:textAlignment w:val="baseline"/>
        <w:rPr>
          <w:lang w:bidi="ar"/>
        </w:rPr>
      </w:pPr>
      <w:r>
        <w:rPr>
          <w:rFonts w:hint="eastAsia" w:ascii="仿宋_GB2312" w:hAnsi="仿宋_GB2312" w:eastAsia="仿宋_GB2312" w:cs="仿宋_GB2312"/>
          <w:sz w:val="32"/>
          <w:szCs w:val="32"/>
          <w:lang w:bidi="ar"/>
        </w:rPr>
        <w:t>②制度执行有效性</w:t>
      </w:r>
    </w:p>
    <w:p>
      <w:pPr>
        <w:keepNext w:val="0"/>
        <w:keepLines w:val="0"/>
        <w:pageBreakBefore w:val="0"/>
        <w:widowControl/>
        <w:kinsoku/>
        <w:wordWrap/>
        <w:overflowPunct w:val="0"/>
        <w:topLinePunct w:val="0"/>
        <w:autoSpaceDE w:val="0"/>
        <w:autoSpaceDN w:val="0"/>
        <w:bidi w:val="0"/>
        <w:adjustRightInd w:val="0"/>
        <w:snapToGrid/>
        <w:spacing w:line="580" w:lineRule="exact"/>
        <w:ind w:firstLine="640" w:firstLineChars="200"/>
        <w:textAlignment w:val="baseline"/>
        <w:rPr>
          <w:rFonts w:hint="default" w:ascii="仿宋_GB2312" w:hAnsi="仿宋_GB2312" w:eastAsia="仿宋_GB2312" w:cs="仿宋_GB2312"/>
          <w:sz w:val="32"/>
          <w:szCs w:val="32"/>
          <w:highlight w:val="none"/>
          <w:lang w:val="en-US" w:eastAsia="zh-CN" w:bidi="ar"/>
        </w:rPr>
      </w:pPr>
      <w:r>
        <w:rPr>
          <w:rFonts w:ascii="仿宋_GB2312" w:hAnsi="仿宋_GB2312" w:eastAsia="仿宋_GB2312" w:cs="仿宋_GB2312"/>
          <w:sz w:val="32"/>
          <w:szCs w:val="32"/>
          <w:highlight w:val="none"/>
          <w:lang w:bidi="ar"/>
        </w:rPr>
        <w:t>一是</w:t>
      </w:r>
      <w:r>
        <w:rPr>
          <w:rFonts w:hint="eastAsia" w:ascii="仿宋_GB2312" w:hAnsi="仿宋_GB2312" w:eastAsia="仿宋_GB2312" w:cs="仿宋_GB2312"/>
          <w:sz w:val="32"/>
          <w:szCs w:val="32"/>
          <w:highlight w:val="none"/>
          <w:lang w:bidi="ar"/>
        </w:rPr>
        <w:t>组织机构的健全性</w:t>
      </w:r>
      <w:r>
        <w:rPr>
          <w:rFonts w:ascii="仿宋_GB2312" w:hAnsi="仿宋_GB2312" w:eastAsia="仿宋_GB2312" w:cs="仿宋_GB2312"/>
          <w:sz w:val="32"/>
          <w:szCs w:val="32"/>
          <w:highlight w:val="none"/>
          <w:lang w:bidi="ar"/>
        </w:rPr>
        <w:t>。</w:t>
      </w:r>
      <w:r>
        <w:rPr>
          <w:rFonts w:hint="eastAsia" w:ascii="仿宋_GB2312" w:hAnsi="仿宋_GB2312" w:eastAsia="仿宋_GB2312" w:cs="仿宋_GB2312"/>
          <w:sz w:val="32"/>
          <w:szCs w:val="32"/>
          <w:highlight w:val="none"/>
          <w:lang w:bidi="ar"/>
        </w:rPr>
        <w:t>枣庄市</w:t>
      </w:r>
      <w:r>
        <w:rPr>
          <w:rFonts w:hint="eastAsia" w:ascii="仿宋_GB2312" w:hAnsi="仿宋_GB2312" w:eastAsia="仿宋_GB2312" w:cs="仿宋_GB2312"/>
          <w:sz w:val="32"/>
          <w:szCs w:val="32"/>
          <w:highlight w:val="none"/>
          <w:lang w:val="en-US" w:eastAsia="zh-CN" w:bidi="ar"/>
        </w:rPr>
        <w:t>生态环境局山亭分局为项目实施单位，符合部门职责，但未进行明确分工。</w:t>
      </w:r>
    </w:p>
    <w:p>
      <w:pPr>
        <w:keepNext w:val="0"/>
        <w:keepLines w:val="0"/>
        <w:pageBreakBefore w:val="0"/>
        <w:widowControl/>
        <w:kinsoku/>
        <w:wordWrap/>
        <w:overflowPunct w:val="0"/>
        <w:topLinePunct w:val="0"/>
        <w:autoSpaceDE w:val="0"/>
        <w:autoSpaceDN w:val="0"/>
        <w:bidi w:val="0"/>
        <w:adjustRightInd w:val="0"/>
        <w:snapToGrid/>
        <w:spacing w:line="580" w:lineRule="exact"/>
        <w:ind w:firstLine="640" w:firstLineChars="200"/>
        <w:textAlignment w:val="baseline"/>
        <w:rPr>
          <w:lang w:bidi="ar"/>
        </w:rPr>
      </w:pPr>
      <w:r>
        <w:rPr>
          <w:rFonts w:ascii="仿宋_GB2312" w:hAnsi="仿宋_GB2312" w:eastAsia="仿宋_GB2312" w:cs="仿宋_GB2312"/>
          <w:sz w:val="32"/>
          <w:szCs w:val="32"/>
          <w:lang w:bidi="ar"/>
        </w:rPr>
        <w:t>二是</w:t>
      </w:r>
      <w:r>
        <w:rPr>
          <w:rFonts w:hint="eastAsia" w:ascii="仿宋_GB2312" w:hAnsi="仿宋_GB2312" w:eastAsia="仿宋_GB2312" w:cs="仿宋_GB2312"/>
          <w:sz w:val="32"/>
          <w:szCs w:val="32"/>
          <w:lang w:bidi="ar"/>
        </w:rPr>
        <w:t>项目管理规范性</w:t>
      </w:r>
      <w:r>
        <w:rPr>
          <w:rFonts w:ascii="仿宋_GB2312" w:hAnsi="仿宋_GB2312" w:eastAsia="仿宋_GB2312" w:cs="仿宋_GB2312"/>
          <w:sz w:val="32"/>
          <w:szCs w:val="32"/>
          <w:lang w:bidi="ar"/>
        </w:rPr>
        <w:t>。根据《政府采购法》有关招标要求，委托招标代理机构进行公开招标，招标结束后，</w:t>
      </w:r>
      <w:r>
        <w:rPr>
          <w:rFonts w:hint="eastAsia" w:ascii="仿宋_GB2312" w:hAnsi="仿宋_GB2312" w:eastAsia="仿宋_GB2312" w:cs="仿宋_GB2312"/>
          <w:sz w:val="32"/>
          <w:szCs w:val="32"/>
          <w:lang w:val="en-US" w:eastAsia="zh-CN" w:bidi="ar"/>
        </w:rPr>
        <w:t>生态环境局山亭分局</w:t>
      </w:r>
      <w:r>
        <w:rPr>
          <w:rFonts w:ascii="仿宋_GB2312" w:hAnsi="仿宋_GB2312" w:eastAsia="仿宋_GB2312" w:cs="仿宋_GB2312"/>
          <w:sz w:val="32"/>
          <w:szCs w:val="32"/>
          <w:lang w:bidi="ar"/>
        </w:rPr>
        <w:t>组织相关人员对入围服务机构的招标文件和现场实际情况进行了对照核实，同时也对入围企业</w:t>
      </w:r>
      <w:r>
        <w:rPr>
          <w:rFonts w:hint="eastAsia" w:ascii="仿宋_GB2312" w:hAnsi="仿宋_GB2312" w:eastAsia="仿宋_GB2312" w:cs="仿宋_GB2312"/>
          <w:sz w:val="32"/>
          <w:szCs w:val="32"/>
          <w:lang w:bidi="ar"/>
        </w:rPr>
        <w:t>资质业绩</w:t>
      </w:r>
      <w:r>
        <w:rPr>
          <w:rFonts w:ascii="仿宋_GB2312" w:hAnsi="仿宋_GB2312" w:eastAsia="仿宋_GB2312" w:cs="仿宋_GB2312"/>
          <w:sz w:val="32"/>
          <w:szCs w:val="32"/>
          <w:lang w:bidi="ar"/>
        </w:rPr>
        <w:t>、专业人员人数、等基本情况、承</w:t>
      </w:r>
      <w:r>
        <w:rPr>
          <w:rFonts w:hint="eastAsia" w:ascii="仿宋_GB2312" w:hAnsi="仿宋_GB2312" w:eastAsia="仿宋_GB2312" w:cs="仿宋_GB2312"/>
          <w:sz w:val="32"/>
          <w:szCs w:val="32"/>
          <w:lang w:bidi="ar"/>
        </w:rPr>
        <w:t>建</w:t>
      </w:r>
      <w:r>
        <w:rPr>
          <w:rFonts w:ascii="仿宋_GB2312" w:hAnsi="仿宋_GB2312" w:eastAsia="仿宋_GB2312" w:cs="仿宋_GB2312"/>
          <w:sz w:val="32"/>
          <w:szCs w:val="32"/>
          <w:lang w:bidi="ar"/>
        </w:rPr>
        <w:t>能力进行综合考察、分析比对</w:t>
      </w:r>
      <w:r>
        <w:rPr>
          <w:rFonts w:hint="eastAsia" w:ascii="仿宋_GB2312" w:hAnsi="仿宋_GB2312" w:eastAsia="仿宋_GB2312" w:cs="仿宋_GB2312"/>
          <w:sz w:val="32"/>
          <w:szCs w:val="32"/>
          <w:lang w:bidi="ar"/>
        </w:rPr>
        <w:t>并于中标单位</w:t>
      </w:r>
      <w:r>
        <w:rPr>
          <w:rFonts w:ascii="仿宋_GB2312" w:hAnsi="仿宋_GB2312" w:eastAsia="仿宋_GB2312" w:cs="仿宋_GB2312"/>
          <w:sz w:val="32"/>
          <w:szCs w:val="32"/>
          <w:lang w:bidi="ar"/>
        </w:rPr>
        <w:t>签订合同，明确了双方的权利和义务，从风险防范、人员、技术等方面保障了项目</w:t>
      </w:r>
      <w:r>
        <w:rPr>
          <w:rFonts w:hint="eastAsia" w:ascii="仿宋_GB2312" w:hAnsi="仿宋_GB2312" w:eastAsia="仿宋_GB2312" w:cs="仿宋_GB2312"/>
          <w:sz w:val="32"/>
          <w:szCs w:val="32"/>
          <w:lang w:bidi="ar"/>
        </w:rPr>
        <w:t>顺利</w:t>
      </w:r>
      <w:r>
        <w:rPr>
          <w:rFonts w:ascii="仿宋_GB2312" w:hAnsi="仿宋_GB2312" w:eastAsia="仿宋_GB2312" w:cs="仿宋_GB2312"/>
          <w:sz w:val="32"/>
          <w:szCs w:val="32"/>
          <w:lang w:bidi="ar"/>
        </w:rPr>
        <w:t>实施。</w:t>
      </w:r>
    </w:p>
    <w:p>
      <w:pPr>
        <w:keepNext w:val="0"/>
        <w:keepLines w:val="0"/>
        <w:pageBreakBefore w:val="0"/>
        <w:widowControl/>
        <w:kinsoku/>
        <w:wordWrap/>
        <w:overflowPunct w:val="0"/>
        <w:topLinePunct w:val="0"/>
        <w:autoSpaceDE w:val="0"/>
        <w:autoSpaceDN w:val="0"/>
        <w:bidi w:val="0"/>
        <w:adjustRightInd w:val="0"/>
        <w:snapToGrid/>
        <w:spacing w:line="580" w:lineRule="exact"/>
        <w:ind w:firstLine="640" w:firstLineChars="200"/>
        <w:textAlignment w:val="baseline"/>
        <w:rPr>
          <w:lang w:bidi="ar"/>
        </w:rPr>
      </w:pPr>
      <w:r>
        <w:rPr>
          <w:rFonts w:ascii="仿宋_GB2312" w:hAnsi="仿宋_GB2312" w:eastAsia="仿宋_GB2312" w:cs="仿宋_GB2312"/>
          <w:sz w:val="32"/>
          <w:szCs w:val="32"/>
          <w:lang w:bidi="ar"/>
        </w:rPr>
        <w:t>三是</w:t>
      </w:r>
      <w:r>
        <w:rPr>
          <w:rFonts w:hint="eastAsia" w:ascii="仿宋_GB2312" w:hAnsi="仿宋_GB2312" w:eastAsia="仿宋_GB2312" w:cs="仿宋_GB2312"/>
          <w:sz w:val="32"/>
          <w:szCs w:val="32"/>
          <w:lang w:bidi="ar"/>
        </w:rPr>
        <w:t>会计核算规范性。</w:t>
      </w:r>
      <w:r>
        <w:rPr>
          <w:rFonts w:ascii="仿宋_GB2312" w:hAnsi="仿宋_GB2312" w:eastAsia="仿宋_GB2312" w:cs="仿宋_GB2312"/>
          <w:sz w:val="32"/>
          <w:szCs w:val="32"/>
          <w:lang w:bidi="ar"/>
        </w:rPr>
        <w:t>项目单位</w:t>
      </w:r>
      <w:r>
        <w:rPr>
          <w:rFonts w:hint="eastAsia" w:ascii="仿宋_GB2312" w:hAnsi="仿宋_GB2312" w:eastAsia="仿宋_GB2312" w:cs="仿宋_GB2312"/>
          <w:sz w:val="32"/>
          <w:szCs w:val="32"/>
          <w:lang w:bidi="ar"/>
        </w:rPr>
        <w:t>严格执行</w:t>
      </w:r>
      <w:r>
        <w:rPr>
          <w:rFonts w:hint="eastAsia" w:ascii="仿宋_GB2312" w:hAnsi="仿宋_GB2312" w:eastAsia="仿宋_GB2312" w:cs="仿宋_GB2312"/>
          <w:sz w:val="32"/>
          <w:szCs w:val="32"/>
          <w:lang w:eastAsia="zh-CN" w:bidi="ar"/>
        </w:rPr>
        <w:t>会计相关法律法规以及</w:t>
      </w:r>
      <w:r>
        <w:rPr>
          <w:rFonts w:hint="eastAsia" w:ascii="仿宋_GB2312" w:hAnsi="仿宋_GB2312" w:eastAsia="仿宋_GB2312" w:cs="仿宋_GB2312"/>
          <w:sz w:val="32"/>
          <w:szCs w:val="32"/>
          <w:highlight w:val="none"/>
          <w:lang w:bidi="ar"/>
        </w:rPr>
        <w:t>枣庄市</w:t>
      </w:r>
      <w:r>
        <w:rPr>
          <w:rFonts w:hint="eastAsia" w:ascii="仿宋_GB2312" w:hAnsi="仿宋_GB2312" w:eastAsia="仿宋_GB2312" w:cs="仿宋_GB2312"/>
          <w:sz w:val="32"/>
          <w:szCs w:val="32"/>
          <w:highlight w:val="none"/>
          <w:lang w:val="en-US" w:eastAsia="zh-CN" w:bidi="ar"/>
        </w:rPr>
        <w:t>生态环境局山亭分局</w:t>
      </w:r>
      <w:r>
        <w:rPr>
          <w:rFonts w:hint="eastAsia" w:ascii="仿宋_GB2312" w:hAnsi="仿宋_GB2312" w:eastAsia="仿宋_GB2312" w:cs="仿宋_GB2312"/>
          <w:sz w:val="32"/>
          <w:szCs w:val="32"/>
          <w:lang w:bidi="ar"/>
        </w:rPr>
        <w:t>相关的财务制度，会计核算执行情况较好</w:t>
      </w:r>
      <w:r>
        <w:rPr>
          <w:rFonts w:ascii="仿宋_GB2312" w:hAnsi="仿宋_GB2312" w:eastAsia="仿宋_GB2312" w:cs="仿宋_GB2312"/>
          <w:sz w:val="32"/>
          <w:szCs w:val="32"/>
          <w:lang w:bidi="ar"/>
        </w:rPr>
        <w:t>。</w:t>
      </w:r>
    </w:p>
    <w:p>
      <w:pPr>
        <w:keepNext w:val="0"/>
        <w:keepLines w:val="0"/>
        <w:pageBreakBefore w:val="0"/>
        <w:widowControl/>
        <w:kinsoku/>
        <w:wordWrap/>
        <w:overflowPunct w:val="0"/>
        <w:topLinePunct w:val="0"/>
        <w:autoSpaceDE w:val="0"/>
        <w:autoSpaceDN w:val="0"/>
        <w:bidi w:val="0"/>
        <w:adjustRightInd w:val="0"/>
        <w:snapToGrid/>
        <w:spacing w:line="580" w:lineRule="exact"/>
        <w:ind w:firstLine="640" w:firstLineChars="200"/>
        <w:textAlignment w:val="baseline"/>
        <w:rPr>
          <w:lang w:bidi="ar"/>
        </w:rPr>
      </w:pPr>
      <w:r>
        <w:rPr>
          <w:rFonts w:hint="eastAsia" w:ascii="仿宋_GB2312" w:hAnsi="仿宋_GB2312" w:eastAsia="仿宋_GB2312" w:cs="仿宋_GB2312"/>
          <w:sz w:val="32"/>
          <w:szCs w:val="32"/>
          <w:lang w:bidi="ar"/>
        </w:rPr>
        <w:t>四是组织机构监控有效性。项目单位在项目实施过程中对各个点进行定期及不定期抽查，并</w:t>
      </w:r>
      <w:r>
        <w:rPr>
          <w:rFonts w:hint="eastAsia" w:ascii="仿宋_GB2312" w:hAnsi="仿宋_GB2312" w:eastAsia="仿宋_GB2312" w:cs="仿宋_GB2312"/>
          <w:sz w:val="32"/>
          <w:szCs w:val="32"/>
          <w:lang w:val="en-US" w:eastAsia="zh-CN" w:bidi="ar"/>
        </w:rPr>
        <w:t>未</w:t>
      </w:r>
      <w:r>
        <w:rPr>
          <w:rFonts w:hint="eastAsia" w:ascii="仿宋_GB2312" w:hAnsi="仿宋_GB2312" w:eastAsia="仿宋_GB2312" w:cs="仿宋_GB2312"/>
          <w:sz w:val="32"/>
          <w:szCs w:val="32"/>
          <w:lang w:bidi="ar"/>
        </w:rPr>
        <w:t>形成会议纪要或整改记录，组织机构监控执行情况</w:t>
      </w:r>
      <w:r>
        <w:rPr>
          <w:rFonts w:hint="eastAsia" w:ascii="仿宋_GB2312" w:hAnsi="仿宋_GB2312" w:eastAsia="仿宋_GB2312" w:cs="仿宋_GB2312"/>
          <w:sz w:val="32"/>
          <w:szCs w:val="32"/>
          <w:lang w:val="en-US" w:eastAsia="zh-CN" w:bidi="ar"/>
        </w:rPr>
        <w:t>较差</w:t>
      </w:r>
      <w:r>
        <w:rPr>
          <w:rFonts w:hint="eastAsia" w:ascii="仿宋_GB2312" w:hAnsi="仿宋_GB2312" w:eastAsia="仿宋_GB2312" w:cs="仿宋_GB2312"/>
          <w:sz w:val="32"/>
          <w:szCs w:val="32"/>
          <w:lang w:bidi="ar"/>
        </w:rPr>
        <w:t>。</w:t>
      </w:r>
    </w:p>
    <w:p>
      <w:pPr>
        <w:keepNext w:val="0"/>
        <w:keepLines w:val="0"/>
        <w:pageBreakBefore w:val="0"/>
        <w:widowControl/>
        <w:kinsoku/>
        <w:wordWrap/>
        <w:overflowPunct w:val="0"/>
        <w:topLinePunct w:val="0"/>
        <w:autoSpaceDE w:val="0"/>
        <w:autoSpaceDN w:val="0"/>
        <w:bidi w:val="0"/>
        <w:adjustRightInd w:val="0"/>
        <w:snapToGrid/>
        <w:spacing w:line="580" w:lineRule="exact"/>
        <w:ind w:firstLine="640" w:firstLineChars="200"/>
        <w:textAlignment w:val="baseline"/>
        <w:rPr>
          <w:rFonts w:hint="eastAsia" w:eastAsia="仿宋_GB2312"/>
          <w:lang w:eastAsia="zh-CN" w:bidi="ar"/>
        </w:rPr>
      </w:pPr>
      <w:r>
        <w:rPr>
          <w:rFonts w:hint="eastAsia" w:ascii="仿宋_GB2312" w:hAnsi="仿宋_GB2312" w:eastAsia="仿宋_GB2312" w:cs="仿宋_GB2312"/>
          <w:sz w:val="32"/>
          <w:szCs w:val="32"/>
          <w:lang w:bidi="ar"/>
        </w:rPr>
        <w:t>五是档案齐较全性。项目单位对招投标文件、相关合同、项目相关技术文件资料等文件资料进行统一收集，专人管理。</w:t>
      </w:r>
      <w:r>
        <w:rPr>
          <w:rFonts w:hint="eastAsia" w:ascii="仿宋_GB2312" w:hAnsi="仿宋_GB2312" w:eastAsia="仿宋_GB2312" w:cs="仿宋_GB2312"/>
          <w:sz w:val="32"/>
          <w:szCs w:val="32"/>
          <w:lang w:eastAsia="zh-CN" w:bidi="ar"/>
        </w:rPr>
        <w:t>档案齐全。</w:t>
      </w:r>
    </w:p>
    <w:p>
      <w:pPr>
        <w:spacing w:line="580" w:lineRule="exact"/>
        <w:ind w:firstLine="640" w:firstLineChars="200"/>
        <w:rPr>
          <w:rFonts w:ascii="仿宋_GB2312" w:hAnsi="仿宋_GB2312" w:eastAsia="仿宋_GB2312" w:cs="仿宋_GB2312"/>
          <w:b w:val="0"/>
          <w:bCs w:val="0"/>
          <w:color w:val="000000"/>
          <w:sz w:val="32"/>
          <w:szCs w:val="32"/>
          <w:lang w:bidi="ar"/>
        </w:rPr>
      </w:pPr>
      <w:bookmarkStart w:id="149" w:name="_Toc1727168452_WPSOffice_Level3"/>
      <w:bookmarkStart w:id="150" w:name="_Toc166179331_WPSOffice_Level3"/>
      <w:bookmarkStart w:id="151" w:name="_Toc461977400_WPSOffice_Level3"/>
      <w:bookmarkStart w:id="152" w:name="_Toc444826921_WPSOffice_Level3"/>
      <w:r>
        <w:rPr>
          <w:rFonts w:ascii="仿宋_GB2312" w:hAnsi="仿宋_GB2312" w:eastAsia="仿宋_GB2312" w:cs="仿宋_GB2312"/>
          <w:b w:val="0"/>
          <w:bCs w:val="0"/>
          <w:color w:val="000000"/>
          <w:sz w:val="32"/>
          <w:szCs w:val="32"/>
          <w:lang w:bidi="ar"/>
        </w:rPr>
        <w:t>3.项目产出</w:t>
      </w:r>
      <w:bookmarkEnd w:id="149"/>
      <w:bookmarkEnd w:id="150"/>
      <w:bookmarkEnd w:id="151"/>
      <w:bookmarkEnd w:id="152"/>
    </w:p>
    <w:p>
      <w:pPr>
        <w:pStyle w:val="7"/>
        <w:spacing w:before="0" w:line="580" w:lineRule="exact"/>
        <w:ind w:left="0" w:firstLine="562" w:firstLineChars="200"/>
        <w:jc w:val="center"/>
        <w:rPr>
          <w:lang w:val="en-US"/>
        </w:rPr>
      </w:pPr>
      <w:bookmarkStart w:id="153" w:name="_Toc270797314_WPSOffice_Level2"/>
      <w:bookmarkStart w:id="154" w:name="_Toc918832732_WPSOffice_Level2"/>
      <w:bookmarkStart w:id="155" w:name="_Toc1229501389_WPSOffice_Level2"/>
      <w:r>
        <w:rPr>
          <w:rFonts w:hint="eastAsia" w:asciiTheme="minorEastAsia" w:hAnsiTheme="minorEastAsia" w:eastAsiaTheme="minorEastAsia" w:cstheme="minorEastAsia"/>
          <w:b/>
          <w:bCs/>
          <w:sz w:val="28"/>
          <w:szCs w:val="28"/>
        </w:rPr>
        <w:t>表</w:t>
      </w:r>
      <w:r>
        <w:rPr>
          <w:rFonts w:asciiTheme="minorEastAsia" w:hAnsiTheme="minorEastAsia" w:eastAsiaTheme="minorEastAsia" w:cstheme="minorEastAsia"/>
          <w:b/>
          <w:bCs/>
          <w:sz w:val="28"/>
          <w:szCs w:val="28"/>
          <w:lang w:val="en-US"/>
        </w:rPr>
        <w:t>6</w:t>
      </w:r>
      <w:r>
        <w:rPr>
          <w:rFonts w:hint="eastAsia" w:asciiTheme="minorEastAsia" w:hAnsiTheme="minorEastAsia" w:eastAsiaTheme="minorEastAsia" w:cstheme="minorEastAsia"/>
          <w:b/>
          <w:bCs/>
          <w:sz w:val="28"/>
          <w:szCs w:val="28"/>
        </w:rPr>
        <w:t>：产出指标得分情况表</w:t>
      </w:r>
      <w:bookmarkEnd w:id="153"/>
      <w:bookmarkEnd w:id="154"/>
      <w:bookmarkEnd w:id="155"/>
    </w:p>
    <w:tbl>
      <w:tblPr>
        <w:tblStyle w:val="15"/>
        <w:tblW w:w="9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561"/>
        <w:gridCol w:w="636"/>
        <w:gridCol w:w="624"/>
        <w:gridCol w:w="660"/>
        <w:gridCol w:w="1104"/>
        <w:gridCol w:w="593"/>
        <w:gridCol w:w="612"/>
        <w:gridCol w:w="852"/>
        <w:gridCol w:w="1608"/>
        <w:gridCol w:w="624"/>
        <w:gridCol w:w="588"/>
        <w:gridCol w:w="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75" w:hRule="atLeast"/>
          <w:jc w:val="center"/>
        </w:trPr>
        <w:tc>
          <w:tcPr>
            <w:tcW w:w="561" w:type="dxa"/>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lang w:bidi="ar"/>
              </w:rPr>
              <w:t>一级指标</w:t>
            </w:r>
          </w:p>
        </w:tc>
        <w:tc>
          <w:tcPr>
            <w:tcW w:w="636" w:type="dxa"/>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lang w:bidi="ar"/>
              </w:rPr>
              <w:t>分值</w:t>
            </w:r>
          </w:p>
        </w:tc>
        <w:tc>
          <w:tcPr>
            <w:tcW w:w="624" w:type="dxa"/>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lang w:bidi="ar"/>
              </w:rPr>
              <w:t>得分</w:t>
            </w:r>
          </w:p>
        </w:tc>
        <w:tc>
          <w:tcPr>
            <w:tcW w:w="660" w:type="dxa"/>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lang w:bidi="ar"/>
              </w:rPr>
              <w:t>得分率</w:t>
            </w:r>
          </w:p>
        </w:tc>
        <w:tc>
          <w:tcPr>
            <w:tcW w:w="1104" w:type="dxa"/>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lang w:bidi="ar"/>
              </w:rPr>
              <w:t>二级指标</w:t>
            </w:r>
          </w:p>
        </w:tc>
        <w:tc>
          <w:tcPr>
            <w:tcW w:w="593" w:type="dxa"/>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lang w:bidi="ar"/>
              </w:rPr>
              <w:t>分值</w:t>
            </w:r>
          </w:p>
        </w:tc>
        <w:tc>
          <w:tcPr>
            <w:tcW w:w="612" w:type="dxa"/>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lang w:bidi="ar"/>
              </w:rPr>
              <w:t>得分</w:t>
            </w:r>
          </w:p>
        </w:tc>
        <w:tc>
          <w:tcPr>
            <w:tcW w:w="852" w:type="dxa"/>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lang w:bidi="ar"/>
              </w:rPr>
              <w:t>得分率</w:t>
            </w:r>
          </w:p>
        </w:tc>
        <w:tc>
          <w:tcPr>
            <w:tcW w:w="1608" w:type="dxa"/>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lang w:bidi="ar"/>
              </w:rPr>
              <w:t>三级指标</w:t>
            </w:r>
          </w:p>
        </w:tc>
        <w:tc>
          <w:tcPr>
            <w:tcW w:w="624" w:type="dxa"/>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lang w:bidi="ar"/>
              </w:rPr>
              <w:t>分值</w:t>
            </w:r>
          </w:p>
        </w:tc>
        <w:tc>
          <w:tcPr>
            <w:tcW w:w="588" w:type="dxa"/>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lang w:bidi="ar"/>
              </w:rPr>
              <w:t>得分</w:t>
            </w:r>
          </w:p>
        </w:tc>
        <w:tc>
          <w:tcPr>
            <w:tcW w:w="876" w:type="dxa"/>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lang w:bidi="ar"/>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00" w:hRule="atLeast"/>
          <w:jc w:val="center"/>
        </w:trPr>
        <w:tc>
          <w:tcPr>
            <w:tcW w:w="561" w:type="dxa"/>
            <w:vMerge w:val="restart"/>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lang w:bidi="ar"/>
              </w:rPr>
              <w:t>产出</w:t>
            </w:r>
          </w:p>
        </w:tc>
        <w:tc>
          <w:tcPr>
            <w:tcW w:w="636" w:type="dxa"/>
            <w:vMerge w:val="restart"/>
            <w:shd w:val="clear" w:color="auto" w:fill="auto"/>
            <w:tcMar>
              <w:top w:w="12" w:type="dxa"/>
              <w:left w:w="12" w:type="dxa"/>
              <w:right w:w="12" w:type="dxa"/>
            </w:tcMar>
            <w:vAlign w:val="center"/>
          </w:tcPr>
          <w:p>
            <w:pPr>
              <w:jc w:val="center"/>
              <w:textAlignment w:val="center"/>
              <w:rPr>
                <w:rFonts w:hint="eastAsia" w:asciiTheme="minorEastAsia" w:hAnsiTheme="minorEastAsia" w:eastAsiaTheme="minorEastAsia" w:cstheme="minorEastAsia"/>
                <w:color w:val="000000"/>
                <w:lang w:eastAsia="zh-CN"/>
              </w:rPr>
            </w:pPr>
            <w:r>
              <w:rPr>
                <w:rFonts w:hint="eastAsia" w:asciiTheme="minorEastAsia" w:hAnsiTheme="minorEastAsia" w:eastAsiaTheme="minorEastAsia" w:cstheme="minorEastAsia"/>
                <w:color w:val="000000"/>
              </w:rPr>
              <w:t>3</w:t>
            </w:r>
            <w:r>
              <w:rPr>
                <w:rFonts w:hint="eastAsia" w:asciiTheme="minorEastAsia" w:hAnsiTheme="minorEastAsia" w:eastAsiaTheme="minorEastAsia" w:cstheme="minorEastAsia"/>
                <w:color w:val="000000"/>
                <w:lang w:val="en-US" w:eastAsia="zh-CN"/>
              </w:rPr>
              <w:t>0</w:t>
            </w:r>
          </w:p>
        </w:tc>
        <w:tc>
          <w:tcPr>
            <w:tcW w:w="624" w:type="dxa"/>
            <w:vMerge w:val="restart"/>
            <w:shd w:val="clear" w:color="auto" w:fill="auto"/>
            <w:tcMar>
              <w:top w:w="12" w:type="dxa"/>
              <w:left w:w="12" w:type="dxa"/>
              <w:right w:w="12" w:type="dxa"/>
            </w:tcMar>
            <w:vAlign w:val="center"/>
          </w:tcPr>
          <w:p>
            <w:pPr>
              <w:jc w:val="center"/>
              <w:textAlignment w:val="center"/>
              <w:rPr>
                <w:rFonts w:hint="eastAsia" w:asciiTheme="minorEastAsia" w:hAnsiTheme="minorEastAsia" w:eastAsiaTheme="minorEastAsia" w:cstheme="minorEastAsia"/>
                <w:color w:val="000000"/>
                <w:lang w:eastAsia="zh-CN"/>
              </w:rPr>
            </w:pPr>
            <w:r>
              <w:rPr>
                <w:rFonts w:hint="eastAsia" w:asciiTheme="minorEastAsia" w:hAnsiTheme="minorEastAsia" w:eastAsiaTheme="minorEastAsia" w:cstheme="minorEastAsia"/>
                <w:color w:val="000000"/>
                <w:lang w:bidi="ar"/>
              </w:rPr>
              <w:t>3</w:t>
            </w:r>
            <w:r>
              <w:rPr>
                <w:rFonts w:hint="eastAsia" w:asciiTheme="minorEastAsia" w:hAnsiTheme="minorEastAsia" w:eastAsiaTheme="minorEastAsia" w:cstheme="minorEastAsia"/>
                <w:color w:val="000000"/>
                <w:lang w:val="en-US" w:eastAsia="zh-CN" w:bidi="ar"/>
              </w:rPr>
              <w:t>0</w:t>
            </w:r>
          </w:p>
        </w:tc>
        <w:tc>
          <w:tcPr>
            <w:tcW w:w="660" w:type="dxa"/>
            <w:vMerge w:val="restart"/>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lang w:bidi="ar"/>
              </w:rPr>
              <w:t>100%</w:t>
            </w:r>
          </w:p>
        </w:tc>
        <w:tc>
          <w:tcPr>
            <w:tcW w:w="1104" w:type="dxa"/>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lang w:bidi="ar"/>
              </w:rPr>
              <w:t>产出数量</w:t>
            </w:r>
          </w:p>
        </w:tc>
        <w:tc>
          <w:tcPr>
            <w:tcW w:w="593" w:type="dxa"/>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rPr>
            </w:pPr>
            <w:r>
              <w:rPr>
                <w:rFonts w:asciiTheme="minorEastAsia" w:hAnsiTheme="minorEastAsia" w:eastAsiaTheme="minorEastAsia" w:cstheme="minorEastAsia"/>
                <w:color w:val="000000"/>
              </w:rPr>
              <w:t>10</w:t>
            </w:r>
          </w:p>
        </w:tc>
        <w:tc>
          <w:tcPr>
            <w:tcW w:w="612" w:type="dxa"/>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rPr>
            </w:pPr>
            <w:r>
              <w:rPr>
                <w:rFonts w:asciiTheme="minorEastAsia" w:hAnsiTheme="minorEastAsia" w:eastAsiaTheme="minorEastAsia" w:cstheme="minorEastAsia"/>
                <w:color w:val="000000"/>
              </w:rPr>
              <w:t>10</w:t>
            </w:r>
          </w:p>
        </w:tc>
        <w:tc>
          <w:tcPr>
            <w:tcW w:w="852" w:type="dxa"/>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lang w:bidi="ar"/>
              </w:rPr>
              <w:t>100%</w:t>
            </w:r>
          </w:p>
        </w:tc>
        <w:tc>
          <w:tcPr>
            <w:tcW w:w="1608" w:type="dxa"/>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lang w:bidi="ar"/>
              </w:rPr>
              <w:t>实际完成率</w:t>
            </w:r>
          </w:p>
        </w:tc>
        <w:tc>
          <w:tcPr>
            <w:tcW w:w="624" w:type="dxa"/>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rPr>
            </w:pPr>
            <w:r>
              <w:rPr>
                <w:rFonts w:asciiTheme="minorEastAsia" w:hAnsiTheme="minorEastAsia" w:eastAsiaTheme="minorEastAsia" w:cstheme="minorEastAsia"/>
                <w:color w:val="000000"/>
              </w:rPr>
              <w:t>10</w:t>
            </w:r>
          </w:p>
        </w:tc>
        <w:tc>
          <w:tcPr>
            <w:tcW w:w="588" w:type="dxa"/>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10</w:t>
            </w:r>
          </w:p>
        </w:tc>
        <w:tc>
          <w:tcPr>
            <w:tcW w:w="876" w:type="dxa"/>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00" w:hRule="atLeast"/>
          <w:jc w:val="center"/>
        </w:trPr>
        <w:tc>
          <w:tcPr>
            <w:tcW w:w="561" w:type="dxa"/>
            <w:vMerge w:val="continue"/>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000000"/>
              </w:rPr>
            </w:pPr>
          </w:p>
        </w:tc>
        <w:tc>
          <w:tcPr>
            <w:tcW w:w="636" w:type="dxa"/>
            <w:vMerge w:val="continue"/>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000000"/>
              </w:rPr>
            </w:pPr>
          </w:p>
        </w:tc>
        <w:tc>
          <w:tcPr>
            <w:tcW w:w="624" w:type="dxa"/>
            <w:vMerge w:val="continue"/>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000000"/>
              </w:rPr>
            </w:pPr>
          </w:p>
        </w:tc>
        <w:tc>
          <w:tcPr>
            <w:tcW w:w="660" w:type="dxa"/>
            <w:vMerge w:val="continue"/>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000000"/>
              </w:rPr>
            </w:pPr>
          </w:p>
        </w:tc>
        <w:tc>
          <w:tcPr>
            <w:tcW w:w="1104" w:type="dxa"/>
            <w:vMerge w:val="restart"/>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lang w:bidi="ar"/>
              </w:rPr>
            </w:pPr>
            <w:r>
              <w:rPr>
                <w:rFonts w:hint="eastAsia" w:asciiTheme="minorEastAsia" w:hAnsiTheme="minorEastAsia" w:eastAsiaTheme="minorEastAsia" w:cstheme="minorEastAsia"/>
                <w:color w:val="000000"/>
                <w:lang w:bidi="ar"/>
              </w:rPr>
              <w:t>产出质量</w:t>
            </w:r>
          </w:p>
        </w:tc>
        <w:tc>
          <w:tcPr>
            <w:tcW w:w="593" w:type="dxa"/>
            <w:vMerge w:val="restart"/>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lang w:bidi="ar"/>
              </w:rPr>
            </w:pPr>
            <w:r>
              <w:rPr>
                <w:rFonts w:asciiTheme="minorEastAsia" w:hAnsiTheme="minorEastAsia" w:eastAsiaTheme="minorEastAsia" w:cstheme="minorEastAsia"/>
                <w:color w:val="000000"/>
                <w:lang w:bidi="ar"/>
              </w:rPr>
              <w:t>1</w:t>
            </w:r>
            <w:r>
              <w:rPr>
                <w:rFonts w:hint="eastAsia" w:asciiTheme="minorEastAsia" w:hAnsiTheme="minorEastAsia" w:eastAsiaTheme="minorEastAsia" w:cstheme="minorEastAsia"/>
                <w:color w:val="000000"/>
                <w:lang w:bidi="ar"/>
              </w:rPr>
              <w:t>0</w:t>
            </w:r>
          </w:p>
        </w:tc>
        <w:tc>
          <w:tcPr>
            <w:tcW w:w="612" w:type="dxa"/>
            <w:vMerge w:val="restart"/>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lang w:bidi="ar"/>
              </w:rPr>
            </w:pPr>
            <w:r>
              <w:rPr>
                <w:rFonts w:asciiTheme="minorEastAsia" w:hAnsiTheme="minorEastAsia" w:eastAsiaTheme="minorEastAsia" w:cstheme="minorEastAsia"/>
                <w:color w:val="000000"/>
                <w:lang w:bidi="ar"/>
              </w:rPr>
              <w:t>1</w:t>
            </w:r>
            <w:r>
              <w:rPr>
                <w:rFonts w:hint="eastAsia" w:asciiTheme="minorEastAsia" w:hAnsiTheme="minorEastAsia" w:eastAsiaTheme="minorEastAsia" w:cstheme="minorEastAsia"/>
                <w:color w:val="000000"/>
                <w:lang w:bidi="ar"/>
              </w:rPr>
              <w:t>0</w:t>
            </w:r>
          </w:p>
        </w:tc>
        <w:tc>
          <w:tcPr>
            <w:tcW w:w="852" w:type="dxa"/>
            <w:vMerge w:val="restart"/>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lang w:bidi="ar"/>
              </w:rPr>
            </w:pPr>
            <w:r>
              <w:rPr>
                <w:rFonts w:hint="eastAsia" w:asciiTheme="minorEastAsia" w:hAnsiTheme="minorEastAsia" w:eastAsiaTheme="minorEastAsia" w:cstheme="minorEastAsia"/>
                <w:color w:val="000000"/>
                <w:lang w:bidi="ar"/>
              </w:rPr>
              <w:t>100%</w:t>
            </w:r>
          </w:p>
        </w:tc>
        <w:tc>
          <w:tcPr>
            <w:tcW w:w="1608" w:type="dxa"/>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lang w:bidi="ar"/>
              </w:rPr>
            </w:pPr>
            <w:r>
              <w:rPr>
                <w:rFonts w:hint="eastAsia" w:asciiTheme="minorEastAsia" w:hAnsiTheme="minorEastAsia" w:eastAsiaTheme="minorEastAsia" w:cstheme="minorEastAsia"/>
                <w:color w:val="000000"/>
                <w:lang w:bidi="ar"/>
              </w:rPr>
              <w:t xml:space="preserve">项目建设完成的质量情况 </w:t>
            </w:r>
          </w:p>
        </w:tc>
        <w:tc>
          <w:tcPr>
            <w:tcW w:w="624" w:type="dxa"/>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lang w:bidi="ar"/>
              </w:rPr>
            </w:pPr>
            <w:r>
              <w:rPr>
                <w:rFonts w:hint="eastAsia" w:asciiTheme="minorEastAsia" w:hAnsiTheme="minorEastAsia" w:eastAsiaTheme="minorEastAsia" w:cstheme="minorEastAsia"/>
                <w:color w:val="000000"/>
                <w:lang w:bidi="ar"/>
              </w:rPr>
              <w:t>5</w:t>
            </w:r>
          </w:p>
        </w:tc>
        <w:tc>
          <w:tcPr>
            <w:tcW w:w="588" w:type="dxa"/>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lang w:bidi="ar"/>
              </w:rPr>
            </w:pPr>
            <w:r>
              <w:rPr>
                <w:rFonts w:hint="eastAsia" w:asciiTheme="minorEastAsia" w:hAnsiTheme="minorEastAsia" w:eastAsiaTheme="minorEastAsia" w:cstheme="minorEastAsia"/>
                <w:color w:val="000000"/>
                <w:lang w:bidi="ar"/>
              </w:rPr>
              <w:t>5</w:t>
            </w:r>
          </w:p>
        </w:tc>
        <w:tc>
          <w:tcPr>
            <w:tcW w:w="876" w:type="dxa"/>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lang w:bidi="ar"/>
              </w:rPr>
            </w:pPr>
            <w:r>
              <w:rPr>
                <w:rFonts w:hint="eastAsia" w:asciiTheme="minorEastAsia" w:hAnsiTheme="minorEastAsia" w:eastAsiaTheme="minorEastAsia" w:cstheme="minorEastAsia"/>
                <w:color w:val="000000"/>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00" w:hRule="atLeast"/>
          <w:jc w:val="center"/>
        </w:trPr>
        <w:tc>
          <w:tcPr>
            <w:tcW w:w="561" w:type="dxa"/>
            <w:vMerge w:val="continue"/>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000000"/>
              </w:rPr>
            </w:pPr>
          </w:p>
        </w:tc>
        <w:tc>
          <w:tcPr>
            <w:tcW w:w="636" w:type="dxa"/>
            <w:vMerge w:val="continue"/>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000000"/>
              </w:rPr>
            </w:pPr>
          </w:p>
        </w:tc>
        <w:tc>
          <w:tcPr>
            <w:tcW w:w="624" w:type="dxa"/>
            <w:vMerge w:val="continue"/>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000000"/>
              </w:rPr>
            </w:pPr>
          </w:p>
        </w:tc>
        <w:tc>
          <w:tcPr>
            <w:tcW w:w="660" w:type="dxa"/>
            <w:vMerge w:val="continue"/>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000000"/>
              </w:rPr>
            </w:pPr>
          </w:p>
        </w:tc>
        <w:tc>
          <w:tcPr>
            <w:tcW w:w="1104" w:type="dxa"/>
            <w:vMerge w:val="continue"/>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lang w:bidi="ar"/>
              </w:rPr>
            </w:pPr>
          </w:p>
        </w:tc>
        <w:tc>
          <w:tcPr>
            <w:tcW w:w="593" w:type="dxa"/>
            <w:vMerge w:val="continue"/>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lang w:bidi="ar"/>
              </w:rPr>
            </w:pPr>
          </w:p>
        </w:tc>
        <w:tc>
          <w:tcPr>
            <w:tcW w:w="612" w:type="dxa"/>
            <w:vMerge w:val="continue"/>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lang w:bidi="ar"/>
              </w:rPr>
            </w:pPr>
          </w:p>
        </w:tc>
        <w:tc>
          <w:tcPr>
            <w:tcW w:w="852" w:type="dxa"/>
            <w:vMerge w:val="continue"/>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lang w:bidi="ar"/>
              </w:rPr>
            </w:pPr>
          </w:p>
        </w:tc>
        <w:tc>
          <w:tcPr>
            <w:tcW w:w="1608" w:type="dxa"/>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lang w:bidi="ar"/>
              </w:rPr>
            </w:pPr>
            <w:r>
              <w:rPr>
                <w:rFonts w:hint="eastAsia" w:asciiTheme="minorEastAsia" w:hAnsiTheme="minorEastAsia" w:eastAsiaTheme="minorEastAsia" w:cstheme="minorEastAsia"/>
                <w:color w:val="000000"/>
                <w:lang w:bidi="ar"/>
              </w:rPr>
              <w:t>验收程序规范性</w:t>
            </w:r>
          </w:p>
        </w:tc>
        <w:tc>
          <w:tcPr>
            <w:tcW w:w="624" w:type="dxa"/>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lang w:bidi="ar"/>
              </w:rPr>
            </w:pPr>
            <w:r>
              <w:rPr>
                <w:rFonts w:asciiTheme="minorEastAsia" w:hAnsiTheme="minorEastAsia" w:eastAsiaTheme="minorEastAsia" w:cstheme="minorEastAsia"/>
                <w:color w:val="000000"/>
                <w:lang w:bidi="ar"/>
              </w:rPr>
              <w:t>5</w:t>
            </w:r>
          </w:p>
        </w:tc>
        <w:tc>
          <w:tcPr>
            <w:tcW w:w="588" w:type="dxa"/>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lang w:bidi="ar"/>
              </w:rPr>
            </w:pPr>
            <w:r>
              <w:rPr>
                <w:rFonts w:asciiTheme="minorEastAsia" w:hAnsiTheme="minorEastAsia" w:eastAsiaTheme="minorEastAsia" w:cstheme="minorEastAsia"/>
                <w:color w:val="000000"/>
                <w:lang w:bidi="ar"/>
              </w:rPr>
              <w:t>5</w:t>
            </w:r>
          </w:p>
        </w:tc>
        <w:tc>
          <w:tcPr>
            <w:tcW w:w="876" w:type="dxa"/>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lang w:bidi="ar"/>
              </w:rPr>
            </w:pPr>
            <w:r>
              <w:rPr>
                <w:rFonts w:hint="eastAsia" w:asciiTheme="minorEastAsia" w:hAnsiTheme="minorEastAsia" w:eastAsiaTheme="minorEastAsia" w:cstheme="minorEastAsia"/>
                <w:color w:val="000000"/>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00" w:hRule="atLeast"/>
          <w:jc w:val="center"/>
        </w:trPr>
        <w:tc>
          <w:tcPr>
            <w:tcW w:w="561" w:type="dxa"/>
            <w:vMerge w:val="continue"/>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000000"/>
              </w:rPr>
            </w:pPr>
          </w:p>
        </w:tc>
        <w:tc>
          <w:tcPr>
            <w:tcW w:w="636" w:type="dxa"/>
            <w:vMerge w:val="continue"/>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000000"/>
              </w:rPr>
            </w:pPr>
          </w:p>
        </w:tc>
        <w:tc>
          <w:tcPr>
            <w:tcW w:w="624" w:type="dxa"/>
            <w:vMerge w:val="continue"/>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000000"/>
              </w:rPr>
            </w:pPr>
          </w:p>
        </w:tc>
        <w:tc>
          <w:tcPr>
            <w:tcW w:w="660" w:type="dxa"/>
            <w:vMerge w:val="continue"/>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000000"/>
              </w:rPr>
            </w:pPr>
          </w:p>
        </w:tc>
        <w:tc>
          <w:tcPr>
            <w:tcW w:w="1104" w:type="dxa"/>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lang w:bidi="ar"/>
              </w:rPr>
              <w:t>产出时效</w:t>
            </w:r>
          </w:p>
        </w:tc>
        <w:tc>
          <w:tcPr>
            <w:tcW w:w="593" w:type="dxa"/>
            <w:shd w:val="clear" w:color="auto" w:fill="auto"/>
            <w:tcMar>
              <w:top w:w="12" w:type="dxa"/>
              <w:left w:w="12" w:type="dxa"/>
              <w:right w:w="12" w:type="dxa"/>
            </w:tcMar>
            <w:vAlign w:val="center"/>
          </w:tcPr>
          <w:p>
            <w:pPr>
              <w:jc w:val="center"/>
              <w:textAlignment w:val="center"/>
              <w:rPr>
                <w:rFonts w:hint="eastAsia" w:asciiTheme="minorEastAsia" w:hAnsiTheme="minorEastAsia" w:eastAsiaTheme="minorEastAsia" w:cstheme="minorEastAsia"/>
                <w:color w:val="000000"/>
                <w:lang w:eastAsia="zh-CN"/>
              </w:rPr>
            </w:pPr>
            <w:r>
              <w:rPr>
                <w:rFonts w:hint="eastAsia" w:asciiTheme="minorEastAsia" w:hAnsiTheme="minorEastAsia" w:eastAsiaTheme="minorEastAsia" w:cstheme="minorEastAsia"/>
                <w:color w:val="000000"/>
                <w:lang w:val="en-US" w:eastAsia="zh-CN"/>
              </w:rPr>
              <w:t>6</w:t>
            </w:r>
          </w:p>
        </w:tc>
        <w:tc>
          <w:tcPr>
            <w:tcW w:w="612" w:type="dxa"/>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lang w:val="en-US" w:eastAsia="zh-CN"/>
              </w:rPr>
              <w:t>6</w:t>
            </w:r>
          </w:p>
        </w:tc>
        <w:tc>
          <w:tcPr>
            <w:tcW w:w="852" w:type="dxa"/>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lang w:bidi="ar"/>
              </w:rPr>
              <w:t>100%</w:t>
            </w:r>
          </w:p>
        </w:tc>
        <w:tc>
          <w:tcPr>
            <w:tcW w:w="1608" w:type="dxa"/>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lang w:bidi="ar"/>
              </w:rPr>
            </w:pPr>
            <w:r>
              <w:rPr>
                <w:rFonts w:hint="eastAsia" w:asciiTheme="minorEastAsia" w:hAnsiTheme="minorEastAsia" w:eastAsiaTheme="minorEastAsia" w:cstheme="minorEastAsia"/>
                <w:color w:val="000000"/>
                <w:lang w:bidi="ar"/>
              </w:rPr>
              <w:t>完成及时性</w:t>
            </w:r>
          </w:p>
        </w:tc>
        <w:tc>
          <w:tcPr>
            <w:tcW w:w="624" w:type="dxa"/>
            <w:shd w:val="clear" w:color="auto" w:fill="auto"/>
            <w:tcMar>
              <w:top w:w="12" w:type="dxa"/>
              <w:left w:w="12" w:type="dxa"/>
              <w:right w:w="12" w:type="dxa"/>
            </w:tcMar>
            <w:vAlign w:val="center"/>
          </w:tcPr>
          <w:p>
            <w:pPr>
              <w:jc w:val="center"/>
              <w:textAlignment w:val="center"/>
              <w:rPr>
                <w:rFonts w:hint="eastAsia" w:asciiTheme="minorEastAsia" w:hAnsiTheme="minorEastAsia" w:eastAsiaTheme="minorEastAsia" w:cstheme="minorEastAsia"/>
                <w:color w:val="000000"/>
                <w:lang w:eastAsia="zh-CN" w:bidi="ar"/>
              </w:rPr>
            </w:pPr>
            <w:r>
              <w:rPr>
                <w:rFonts w:hint="eastAsia" w:asciiTheme="minorEastAsia" w:hAnsiTheme="minorEastAsia" w:eastAsiaTheme="minorEastAsia" w:cstheme="minorEastAsia"/>
                <w:color w:val="000000"/>
                <w:lang w:val="en-US" w:eastAsia="zh-CN" w:bidi="ar"/>
              </w:rPr>
              <w:t>6</w:t>
            </w:r>
          </w:p>
        </w:tc>
        <w:tc>
          <w:tcPr>
            <w:tcW w:w="588" w:type="dxa"/>
            <w:shd w:val="clear" w:color="auto" w:fill="auto"/>
            <w:tcMar>
              <w:top w:w="12" w:type="dxa"/>
              <w:left w:w="12" w:type="dxa"/>
              <w:right w:w="12" w:type="dxa"/>
            </w:tcMar>
            <w:vAlign w:val="center"/>
          </w:tcPr>
          <w:p>
            <w:pPr>
              <w:jc w:val="center"/>
              <w:textAlignment w:val="center"/>
              <w:rPr>
                <w:rFonts w:hint="eastAsia" w:asciiTheme="minorEastAsia" w:hAnsiTheme="minorEastAsia" w:eastAsiaTheme="minorEastAsia" w:cstheme="minorEastAsia"/>
                <w:color w:val="000000"/>
                <w:lang w:eastAsia="zh-CN" w:bidi="ar"/>
              </w:rPr>
            </w:pPr>
            <w:r>
              <w:rPr>
                <w:rFonts w:hint="eastAsia" w:asciiTheme="minorEastAsia" w:hAnsiTheme="minorEastAsia" w:eastAsiaTheme="minorEastAsia" w:cstheme="minorEastAsia"/>
                <w:color w:val="000000"/>
                <w:lang w:val="en-US" w:eastAsia="zh-CN" w:bidi="ar"/>
              </w:rPr>
              <w:t>6</w:t>
            </w:r>
          </w:p>
        </w:tc>
        <w:tc>
          <w:tcPr>
            <w:tcW w:w="876" w:type="dxa"/>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lang w:bidi="ar"/>
              </w:rPr>
            </w:pPr>
            <w:r>
              <w:rPr>
                <w:rFonts w:hint="eastAsia" w:asciiTheme="minorEastAsia" w:hAnsiTheme="minorEastAsia" w:eastAsiaTheme="minorEastAsia" w:cstheme="minorEastAsia"/>
                <w:color w:val="000000"/>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00" w:hRule="atLeast"/>
          <w:jc w:val="center"/>
        </w:trPr>
        <w:tc>
          <w:tcPr>
            <w:tcW w:w="561" w:type="dxa"/>
            <w:vMerge w:val="continue"/>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000000"/>
              </w:rPr>
            </w:pPr>
          </w:p>
        </w:tc>
        <w:tc>
          <w:tcPr>
            <w:tcW w:w="636" w:type="dxa"/>
            <w:vMerge w:val="continue"/>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000000"/>
              </w:rPr>
            </w:pPr>
          </w:p>
        </w:tc>
        <w:tc>
          <w:tcPr>
            <w:tcW w:w="624" w:type="dxa"/>
            <w:vMerge w:val="continue"/>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000000"/>
              </w:rPr>
            </w:pPr>
          </w:p>
        </w:tc>
        <w:tc>
          <w:tcPr>
            <w:tcW w:w="660" w:type="dxa"/>
            <w:vMerge w:val="continue"/>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000000"/>
              </w:rPr>
            </w:pPr>
          </w:p>
        </w:tc>
        <w:tc>
          <w:tcPr>
            <w:tcW w:w="1104" w:type="dxa"/>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lang w:bidi="ar"/>
              </w:rPr>
              <w:t>产出成本</w:t>
            </w:r>
          </w:p>
        </w:tc>
        <w:tc>
          <w:tcPr>
            <w:tcW w:w="593" w:type="dxa"/>
            <w:shd w:val="clear" w:color="auto" w:fill="auto"/>
            <w:tcMar>
              <w:top w:w="12" w:type="dxa"/>
              <w:left w:w="12" w:type="dxa"/>
              <w:right w:w="12" w:type="dxa"/>
            </w:tcMar>
            <w:vAlign w:val="center"/>
          </w:tcPr>
          <w:p>
            <w:pPr>
              <w:jc w:val="center"/>
              <w:textAlignment w:val="center"/>
              <w:rPr>
                <w:rFonts w:hint="eastAsia" w:asciiTheme="minorEastAsia" w:hAnsiTheme="minorEastAsia" w:eastAsiaTheme="minorEastAsia" w:cstheme="minorEastAsia"/>
                <w:color w:val="000000"/>
                <w:lang w:eastAsia="zh-CN"/>
              </w:rPr>
            </w:pPr>
            <w:r>
              <w:rPr>
                <w:rFonts w:hint="eastAsia" w:asciiTheme="minorEastAsia" w:hAnsiTheme="minorEastAsia" w:eastAsiaTheme="minorEastAsia" w:cstheme="minorEastAsia"/>
                <w:color w:val="000000"/>
                <w:lang w:val="en-US" w:eastAsia="zh-CN"/>
              </w:rPr>
              <w:t>4</w:t>
            </w:r>
          </w:p>
        </w:tc>
        <w:tc>
          <w:tcPr>
            <w:tcW w:w="612" w:type="dxa"/>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lang w:val="en-US" w:eastAsia="zh-CN"/>
              </w:rPr>
              <w:t>4</w:t>
            </w:r>
          </w:p>
        </w:tc>
        <w:tc>
          <w:tcPr>
            <w:tcW w:w="852" w:type="dxa"/>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lang w:bidi="ar"/>
              </w:rPr>
              <w:t>100%</w:t>
            </w:r>
          </w:p>
        </w:tc>
        <w:tc>
          <w:tcPr>
            <w:tcW w:w="1608" w:type="dxa"/>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成本节约率</w:t>
            </w:r>
          </w:p>
        </w:tc>
        <w:tc>
          <w:tcPr>
            <w:tcW w:w="624" w:type="dxa"/>
            <w:shd w:val="clear" w:color="auto" w:fill="auto"/>
            <w:tcMar>
              <w:top w:w="12" w:type="dxa"/>
              <w:left w:w="12" w:type="dxa"/>
              <w:right w:w="12" w:type="dxa"/>
            </w:tcMar>
            <w:vAlign w:val="center"/>
          </w:tcPr>
          <w:p>
            <w:pPr>
              <w:jc w:val="center"/>
              <w:textAlignment w:val="center"/>
              <w:rPr>
                <w:rFonts w:hint="eastAsia" w:asciiTheme="minorEastAsia" w:hAnsiTheme="minorEastAsia" w:eastAsiaTheme="minorEastAsia" w:cstheme="minorEastAsia"/>
                <w:color w:val="000000"/>
                <w:lang w:eastAsia="zh-CN"/>
              </w:rPr>
            </w:pPr>
            <w:r>
              <w:rPr>
                <w:rFonts w:hint="eastAsia" w:asciiTheme="minorEastAsia" w:hAnsiTheme="minorEastAsia" w:eastAsiaTheme="minorEastAsia" w:cstheme="minorEastAsia"/>
                <w:color w:val="000000"/>
                <w:lang w:val="en-US" w:eastAsia="zh-CN" w:bidi="ar"/>
              </w:rPr>
              <w:t>4</w:t>
            </w:r>
          </w:p>
        </w:tc>
        <w:tc>
          <w:tcPr>
            <w:tcW w:w="588" w:type="dxa"/>
            <w:shd w:val="clear" w:color="auto" w:fill="auto"/>
            <w:tcMar>
              <w:top w:w="12" w:type="dxa"/>
              <w:left w:w="12" w:type="dxa"/>
              <w:right w:w="12" w:type="dxa"/>
            </w:tcMar>
            <w:vAlign w:val="center"/>
          </w:tcPr>
          <w:p>
            <w:pPr>
              <w:jc w:val="center"/>
              <w:textAlignment w:val="center"/>
              <w:rPr>
                <w:rFonts w:hint="eastAsia" w:asciiTheme="minorEastAsia" w:hAnsiTheme="minorEastAsia" w:eastAsiaTheme="minorEastAsia" w:cstheme="minorEastAsia"/>
                <w:color w:val="000000"/>
                <w:lang w:eastAsia="zh-CN"/>
              </w:rPr>
            </w:pPr>
            <w:r>
              <w:rPr>
                <w:rFonts w:hint="eastAsia" w:asciiTheme="minorEastAsia" w:hAnsiTheme="minorEastAsia" w:eastAsiaTheme="minorEastAsia" w:cstheme="minorEastAsia"/>
                <w:color w:val="000000"/>
                <w:lang w:val="en-US" w:eastAsia="zh-CN" w:bidi="ar"/>
              </w:rPr>
              <w:t>4</w:t>
            </w:r>
          </w:p>
        </w:tc>
        <w:tc>
          <w:tcPr>
            <w:tcW w:w="876" w:type="dxa"/>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lang w:bidi="ar"/>
              </w:rPr>
              <w:t>100%</w:t>
            </w:r>
          </w:p>
        </w:tc>
      </w:tr>
    </w:tbl>
    <w:p>
      <w:pPr>
        <w:keepNext w:val="0"/>
        <w:keepLines w:val="0"/>
        <w:pageBreakBefore w:val="0"/>
        <w:widowControl/>
        <w:kinsoku/>
        <w:wordWrap/>
        <w:overflowPunct w:val="0"/>
        <w:topLinePunct w:val="0"/>
        <w:autoSpaceDE w:val="0"/>
        <w:autoSpaceDN w:val="0"/>
        <w:bidi w:val="0"/>
        <w:adjustRightInd w:val="0"/>
        <w:snapToGrid/>
        <w:spacing w:line="580" w:lineRule="exact"/>
        <w:ind w:firstLine="640" w:firstLineChars="200"/>
        <w:textAlignment w:val="baseline"/>
        <w:rPr>
          <w:rFonts w:ascii="仿宋_GB2312" w:hAnsi="仿宋_GB2312" w:eastAsia="仿宋_GB2312" w:cs="仿宋_GB2312"/>
          <w:b w:val="0"/>
          <w:bCs w:val="0"/>
          <w:color w:val="000000"/>
          <w:sz w:val="32"/>
          <w:szCs w:val="32"/>
          <w:lang w:bidi="ar"/>
        </w:rPr>
      </w:pPr>
      <w:bookmarkStart w:id="156" w:name="_Toc266821147_WPSOffice_Level2"/>
      <w:bookmarkStart w:id="157" w:name="_Toc1142193489_WPSOffice_Level2"/>
      <w:bookmarkStart w:id="158" w:name="_Toc772608405_WPSOffice_Level2"/>
      <w:r>
        <w:rPr>
          <w:rFonts w:ascii="仿宋_GB2312" w:hAnsi="仿宋_GB2312" w:eastAsia="仿宋_GB2312" w:cs="仿宋_GB2312"/>
          <w:b w:val="0"/>
          <w:bCs w:val="0"/>
          <w:color w:val="000000"/>
          <w:sz w:val="32"/>
          <w:szCs w:val="32"/>
          <w:lang w:bidi="ar"/>
        </w:rPr>
        <w:t>（1）</w:t>
      </w:r>
      <w:r>
        <w:rPr>
          <w:rFonts w:hint="eastAsia" w:ascii="仿宋_GB2312" w:hAnsi="仿宋_GB2312" w:eastAsia="仿宋_GB2312" w:cs="仿宋_GB2312"/>
          <w:b w:val="0"/>
          <w:bCs w:val="0"/>
          <w:color w:val="000000"/>
          <w:sz w:val="32"/>
          <w:szCs w:val="32"/>
          <w:lang w:bidi="ar"/>
        </w:rPr>
        <w:t>产出数量</w:t>
      </w:r>
      <w:bookmarkEnd w:id="156"/>
      <w:bookmarkEnd w:id="157"/>
      <w:bookmarkEnd w:id="158"/>
      <w:r>
        <w:rPr>
          <w:rFonts w:hint="eastAsia" w:ascii="仿宋_GB2312" w:hAnsi="仿宋_GB2312" w:eastAsia="仿宋_GB2312" w:cs="仿宋_GB2312"/>
          <w:b w:val="0"/>
          <w:bCs w:val="0"/>
          <w:color w:val="000000"/>
          <w:sz w:val="32"/>
          <w:szCs w:val="32"/>
          <w:lang w:bidi="ar"/>
        </w:rPr>
        <w:t>和质量</w:t>
      </w:r>
    </w:p>
    <w:p>
      <w:pPr>
        <w:keepNext w:val="0"/>
        <w:keepLines w:val="0"/>
        <w:pageBreakBefore w:val="0"/>
        <w:widowControl/>
        <w:numPr>
          <w:ilvl w:val="255"/>
          <w:numId w:val="0"/>
        </w:numPr>
        <w:kinsoku/>
        <w:wordWrap/>
        <w:overflowPunct w:val="0"/>
        <w:topLinePunct w:val="0"/>
        <w:autoSpaceDE w:val="0"/>
        <w:autoSpaceDN w:val="0"/>
        <w:bidi w:val="0"/>
        <w:adjustRightInd w:val="0"/>
        <w:snapToGrid/>
        <w:spacing w:line="580" w:lineRule="exact"/>
        <w:ind w:firstLine="640" w:firstLineChars="200"/>
        <w:textAlignment w:val="baseline"/>
        <w:rPr>
          <w:rFonts w:ascii="仿宋_GB2312" w:hAnsi="仿宋_GB2312" w:eastAsia="仿宋_GB2312" w:cs="仿宋_GB2312"/>
          <w:b w:val="0"/>
          <w:bCs w:val="0"/>
          <w:color w:val="000000"/>
          <w:sz w:val="32"/>
          <w:szCs w:val="32"/>
          <w:lang w:bidi="ar"/>
        </w:rPr>
      </w:pPr>
      <w:r>
        <w:rPr>
          <w:rFonts w:hint="eastAsia" w:ascii="仿宋_GB2312" w:hAnsi="仿宋_GB2312" w:eastAsia="仿宋_GB2312" w:cs="仿宋_GB2312"/>
          <w:b w:val="0"/>
          <w:bCs w:val="0"/>
          <w:sz w:val="32"/>
          <w:szCs w:val="32"/>
          <w:highlight w:val="none"/>
          <w:lang w:bidi="ar"/>
        </w:rPr>
        <w:t>实际</w:t>
      </w:r>
      <w:r>
        <w:rPr>
          <w:rFonts w:ascii="仿宋_GB2312" w:hAnsi="仿宋_GB2312" w:eastAsia="仿宋_GB2312" w:cs="仿宋_GB2312"/>
          <w:b w:val="0"/>
          <w:bCs w:val="0"/>
          <w:sz w:val="32"/>
          <w:szCs w:val="32"/>
          <w:highlight w:val="none"/>
          <w:lang w:bidi="ar"/>
        </w:rPr>
        <w:t>完成率100%。</w:t>
      </w:r>
      <w:r>
        <w:rPr>
          <w:rFonts w:hint="eastAsia" w:ascii="仿宋_GB2312" w:hAnsi="仿宋_GB2312" w:eastAsia="仿宋_GB2312" w:cs="仿宋_GB2312"/>
          <w:b w:val="0"/>
          <w:bCs w:val="0"/>
          <w:sz w:val="32"/>
          <w:szCs w:val="32"/>
          <w:lang w:bidi="ar"/>
        </w:rPr>
        <w:t>2018年贫困村饮用水水源地保护项目</w:t>
      </w:r>
      <w:r>
        <w:rPr>
          <w:rFonts w:hint="eastAsia" w:ascii="仿宋_GB2312" w:hAnsi="仿宋_GB2312" w:eastAsia="仿宋_GB2312" w:cs="仿宋_GB2312"/>
          <w:b w:val="0"/>
          <w:bCs w:val="0"/>
          <w:sz w:val="32"/>
          <w:szCs w:val="32"/>
          <w:lang w:val="en-US" w:eastAsia="zh-CN" w:bidi="ar"/>
        </w:rPr>
        <w:t>计划</w:t>
      </w:r>
      <w:r>
        <w:rPr>
          <w:rFonts w:hint="eastAsia" w:ascii="仿宋_GB2312" w:hAnsi="仿宋_GB2312" w:eastAsia="仿宋_GB2312" w:cs="仿宋_GB2312"/>
          <w:b w:val="0"/>
          <w:bCs w:val="0"/>
          <w:sz w:val="32"/>
          <w:szCs w:val="32"/>
          <w:lang w:bidi="ar"/>
        </w:rPr>
        <w:t>涉及桑村镇、山城办、凫城镇、北庄镇、徐庄镇、水泉镇、城头镇、冯卯镇、店子镇等9个镇街的63个村庄，</w:t>
      </w:r>
      <w:r>
        <w:rPr>
          <w:rFonts w:hint="eastAsia" w:ascii="仿宋_GB2312" w:hAnsi="仿宋_GB2312" w:eastAsia="仿宋_GB2312" w:cs="仿宋_GB2312"/>
          <w:b w:val="0"/>
          <w:bCs w:val="0"/>
          <w:sz w:val="32"/>
          <w:szCs w:val="32"/>
          <w:lang w:val="en-US" w:eastAsia="zh-CN" w:bidi="ar"/>
        </w:rPr>
        <w:t>实际完成</w:t>
      </w:r>
      <w:r>
        <w:rPr>
          <w:rFonts w:hint="eastAsia" w:ascii="仿宋_GB2312" w:hAnsi="仿宋_GB2312" w:eastAsia="仿宋_GB2312" w:cs="仿宋_GB2312"/>
          <w:b w:val="0"/>
          <w:bCs w:val="0"/>
          <w:sz w:val="32"/>
          <w:szCs w:val="32"/>
          <w:lang w:bidi="ar"/>
        </w:rPr>
        <w:t>桑村镇、山城办、凫城镇、北庄镇、徐庄镇、水泉镇、城头镇、冯卯镇、店子镇等9个镇街的63个村庄</w:t>
      </w:r>
      <w:r>
        <w:rPr>
          <w:rFonts w:hint="eastAsia" w:ascii="仿宋_GB2312" w:hAnsi="仿宋_GB2312" w:eastAsia="仿宋_GB2312" w:cs="仿宋_GB2312"/>
          <w:b w:val="0"/>
          <w:bCs w:val="0"/>
          <w:sz w:val="32"/>
          <w:szCs w:val="32"/>
          <w:lang w:val="en-US" w:eastAsia="zh-CN" w:bidi="ar"/>
        </w:rPr>
        <w:t>交通警示牌安装252个、界标安装252个、宣传牌安装126个、完善保护区内导流系统63套、清除保护区内杂草草垛63处</w:t>
      </w:r>
      <w:r>
        <w:rPr>
          <w:rFonts w:ascii="仿宋_GB2312" w:hAnsi="仿宋_GB2312" w:eastAsia="仿宋_GB2312" w:cs="仿宋_GB2312"/>
          <w:b w:val="0"/>
          <w:bCs w:val="0"/>
          <w:sz w:val="32"/>
          <w:szCs w:val="32"/>
          <w:highlight w:val="none"/>
          <w:lang w:bidi="ar"/>
        </w:rPr>
        <w:t>，</w:t>
      </w:r>
      <w:r>
        <w:rPr>
          <w:rFonts w:hint="eastAsia" w:ascii="仿宋_GB2312" w:hAnsi="仿宋_GB2312" w:eastAsia="仿宋_GB2312" w:cs="仿宋_GB2312"/>
          <w:b w:val="0"/>
          <w:bCs w:val="0"/>
          <w:sz w:val="32"/>
          <w:szCs w:val="32"/>
          <w:highlight w:val="none"/>
          <w:lang w:bidi="ar"/>
        </w:rPr>
        <w:t>实际完成率</w:t>
      </w:r>
      <w:r>
        <w:rPr>
          <w:rFonts w:ascii="仿宋_GB2312" w:hAnsi="仿宋_GB2312" w:eastAsia="仿宋_GB2312" w:cs="仿宋_GB2312"/>
          <w:b w:val="0"/>
          <w:bCs w:val="0"/>
          <w:sz w:val="32"/>
          <w:szCs w:val="32"/>
          <w:highlight w:val="none"/>
          <w:lang w:bidi="ar"/>
        </w:rPr>
        <w:t>100%。</w:t>
      </w:r>
      <w:r>
        <w:rPr>
          <w:rFonts w:hint="eastAsia" w:ascii="仿宋_GB2312" w:hAnsi="仿宋_GB2312" w:eastAsia="仿宋_GB2312" w:cs="仿宋_GB2312"/>
          <w:b w:val="0"/>
          <w:bCs w:val="0"/>
          <w:sz w:val="32"/>
          <w:szCs w:val="32"/>
          <w:highlight w:val="none"/>
          <w:lang w:bidi="ar"/>
        </w:rPr>
        <w:t>并于</w:t>
      </w:r>
      <w:r>
        <w:rPr>
          <w:rFonts w:ascii="仿宋_GB2312" w:hAnsi="仿宋_GB2312" w:eastAsia="仿宋_GB2312" w:cs="仿宋_GB2312"/>
          <w:b w:val="0"/>
          <w:bCs w:val="0"/>
          <w:sz w:val="32"/>
          <w:szCs w:val="32"/>
          <w:highlight w:val="none"/>
          <w:lang w:bidi="ar"/>
        </w:rPr>
        <w:t>20</w:t>
      </w:r>
      <w:r>
        <w:rPr>
          <w:rFonts w:hint="eastAsia" w:ascii="仿宋_GB2312" w:hAnsi="仿宋_GB2312" w:eastAsia="仿宋_GB2312" w:cs="仿宋_GB2312"/>
          <w:b w:val="0"/>
          <w:bCs w:val="0"/>
          <w:sz w:val="32"/>
          <w:szCs w:val="32"/>
          <w:highlight w:val="none"/>
          <w:lang w:val="en-US" w:eastAsia="zh-CN" w:bidi="ar"/>
        </w:rPr>
        <w:t>18</w:t>
      </w:r>
      <w:r>
        <w:rPr>
          <w:rFonts w:ascii="仿宋_GB2312" w:hAnsi="仿宋_GB2312" w:eastAsia="仿宋_GB2312" w:cs="仿宋_GB2312"/>
          <w:b w:val="0"/>
          <w:bCs w:val="0"/>
          <w:sz w:val="32"/>
          <w:szCs w:val="32"/>
          <w:highlight w:val="none"/>
          <w:lang w:bidi="ar"/>
        </w:rPr>
        <w:t>年</w:t>
      </w:r>
      <w:r>
        <w:rPr>
          <w:rFonts w:hint="eastAsia" w:ascii="仿宋_GB2312" w:hAnsi="仿宋_GB2312" w:eastAsia="仿宋_GB2312" w:cs="仿宋_GB2312"/>
          <w:b w:val="0"/>
          <w:bCs w:val="0"/>
          <w:sz w:val="32"/>
          <w:szCs w:val="32"/>
          <w:highlight w:val="none"/>
          <w:lang w:val="en-US" w:eastAsia="zh-CN" w:bidi="ar"/>
        </w:rPr>
        <w:t>11</w:t>
      </w:r>
      <w:r>
        <w:rPr>
          <w:rFonts w:ascii="仿宋_GB2312" w:hAnsi="仿宋_GB2312" w:eastAsia="仿宋_GB2312" w:cs="仿宋_GB2312"/>
          <w:b w:val="0"/>
          <w:bCs w:val="0"/>
          <w:sz w:val="32"/>
          <w:szCs w:val="32"/>
          <w:highlight w:val="none"/>
          <w:lang w:bidi="ar"/>
        </w:rPr>
        <w:t>月进行了验收，出具了验收报告</w:t>
      </w:r>
      <w:r>
        <w:rPr>
          <w:rFonts w:hint="eastAsia" w:ascii="仿宋_GB2312" w:hAnsi="仿宋_GB2312" w:eastAsia="仿宋_GB2312" w:cs="仿宋_GB2312"/>
          <w:b w:val="0"/>
          <w:bCs w:val="0"/>
          <w:sz w:val="32"/>
          <w:szCs w:val="32"/>
          <w:highlight w:val="none"/>
          <w:lang w:bidi="ar"/>
        </w:rPr>
        <w:t>，验收合格率100%。</w:t>
      </w:r>
      <w:bookmarkStart w:id="159" w:name="_Toc1697834331_WPSOffice_Level2"/>
      <w:bookmarkStart w:id="160" w:name="_Toc1604993465_WPSOffice_Level2"/>
      <w:bookmarkStart w:id="161" w:name="_Toc568898784_WPSOffice_Level2"/>
    </w:p>
    <w:p>
      <w:pPr>
        <w:keepNext w:val="0"/>
        <w:keepLines w:val="0"/>
        <w:pageBreakBefore w:val="0"/>
        <w:widowControl/>
        <w:kinsoku/>
        <w:wordWrap/>
        <w:overflowPunct w:val="0"/>
        <w:topLinePunct w:val="0"/>
        <w:autoSpaceDE w:val="0"/>
        <w:autoSpaceDN w:val="0"/>
        <w:bidi w:val="0"/>
        <w:adjustRightInd w:val="0"/>
        <w:snapToGrid/>
        <w:spacing w:line="580" w:lineRule="exact"/>
        <w:ind w:firstLine="640" w:firstLineChars="200"/>
        <w:textAlignment w:val="baseline"/>
        <w:rPr>
          <w:rFonts w:hint="default" w:ascii="仿宋_GB2312" w:hAnsi="仿宋_GB2312" w:eastAsia="仿宋_GB2312" w:cs="仿宋_GB2312"/>
          <w:b w:val="0"/>
          <w:bCs w:val="0"/>
          <w:color w:val="000000"/>
          <w:sz w:val="32"/>
          <w:szCs w:val="32"/>
          <w:lang w:val="en-US" w:eastAsia="zh-CN" w:bidi="ar"/>
        </w:rPr>
      </w:pPr>
      <w:r>
        <w:rPr>
          <w:rFonts w:ascii="仿宋_GB2312" w:hAnsi="仿宋_GB2312" w:eastAsia="仿宋_GB2312" w:cs="仿宋_GB2312"/>
          <w:b w:val="0"/>
          <w:bCs w:val="0"/>
          <w:color w:val="000000"/>
          <w:sz w:val="32"/>
          <w:szCs w:val="32"/>
          <w:lang w:bidi="ar"/>
        </w:rPr>
        <w:t>（</w:t>
      </w:r>
      <w:r>
        <w:rPr>
          <w:rFonts w:hint="eastAsia" w:ascii="仿宋_GB2312" w:hAnsi="仿宋_GB2312" w:eastAsia="仿宋_GB2312" w:cs="仿宋_GB2312"/>
          <w:b w:val="0"/>
          <w:bCs w:val="0"/>
          <w:color w:val="000000"/>
          <w:sz w:val="32"/>
          <w:szCs w:val="32"/>
          <w:lang w:val="en-US" w:eastAsia="zh-CN" w:bidi="ar"/>
        </w:rPr>
        <w:t>2</w:t>
      </w:r>
      <w:r>
        <w:rPr>
          <w:rFonts w:ascii="仿宋_GB2312" w:hAnsi="仿宋_GB2312" w:eastAsia="仿宋_GB2312" w:cs="仿宋_GB2312"/>
          <w:b w:val="0"/>
          <w:bCs w:val="0"/>
          <w:color w:val="000000"/>
          <w:sz w:val="32"/>
          <w:szCs w:val="32"/>
          <w:lang w:bidi="ar"/>
        </w:rPr>
        <w:t>）</w:t>
      </w:r>
      <w:r>
        <w:rPr>
          <w:rFonts w:hint="eastAsia" w:ascii="仿宋_GB2312" w:hAnsi="仿宋_GB2312" w:eastAsia="仿宋_GB2312" w:cs="仿宋_GB2312"/>
          <w:b w:val="0"/>
          <w:bCs w:val="0"/>
          <w:color w:val="000000"/>
          <w:sz w:val="32"/>
          <w:szCs w:val="32"/>
          <w:lang w:bidi="ar"/>
        </w:rPr>
        <w:t>产出时效</w:t>
      </w:r>
      <w:bookmarkEnd w:id="159"/>
      <w:bookmarkEnd w:id="160"/>
      <w:bookmarkEnd w:id="161"/>
      <w:r>
        <w:rPr>
          <w:rFonts w:hint="eastAsia" w:ascii="仿宋_GB2312" w:hAnsi="仿宋_GB2312" w:eastAsia="仿宋_GB2312" w:cs="仿宋_GB2312"/>
          <w:b w:val="0"/>
          <w:bCs w:val="0"/>
          <w:color w:val="000000"/>
          <w:sz w:val="32"/>
          <w:szCs w:val="32"/>
          <w:lang w:val="en-US" w:eastAsia="zh-CN" w:bidi="ar"/>
        </w:rPr>
        <w:t>和成本</w:t>
      </w:r>
    </w:p>
    <w:p>
      <w:pPr>
        <w:keepNext w:val="0"/>
        <w:keepLines w:val="0"/>
        <w:pageBreakBefore w:val="0"/>
        <w:widowControl/>
        <w:kinsoku/>
        <w:wordWrap/>
        <w:overflowPunct w:val="0"/>
        <w:topLinePunct w:val="0"/>
        <w:autoSpaceDE w:val="0"/>
        <w:autoSpaceDN w:val="0"/>
        <w:bidi w:val="0"/>
        <w:adjustRightInd w:val="0"/>
        <w:snapToGrid/>
        <w:spacing w:line="580" w:lineRule="exact"/>
        <w:ind w:firstLine="640" w:firstLineChars="200"/>
        <w:textAlignment w:val="baseline"/>
        <w:rPr>
          <w:b w:val="0"/>
          <w:bCs w:val="0"/>
          <w:lang w:bidi="ar"/>
        </w:rPr>
      </w:pPr>
      <w:r>
        <w:rPr>
          <w:rFonts w:ascii="仿宋_GB2312" w:hAnsi="仿宋_GB2312" w:eastAsia="仿宋_GB2312" w:cs="仿宋_GB2312"/>
          <w:b w:val="0"/>
          <w:bCs w:val="0"/>
          <w:sz w:val="32"/>
          <w:szCs w:val="32"/>
          <w:lang w:bidi="ar"/>
        </w:rPr>
        <w:t>评价发现，</w:t>
      </w:r>
      <w:r>
        <w:rPr>
          <w:rFonts w:hint="eastAsia" w:ascii="仿宋_GB2312" w:hAnsi="仿宋_GB2312" w:eastAsia="仿宋_GB2312" w:cs="仿宋_GB2312"/>
          <w:b w:val="0"/>
          <w:bCs w:val="0"/>
          <w:sz w:val="32"/>
          <w:szCs w:val="32"/>
          <w:lang w:bidi="ar"/>
        </w:rPr>
        <w:t>2018年贫困村饮用水水源地保护项目建设单位按照时间要求及时完成</w:t>
      </w:r>
      <w:r>
        <w:rPr>
          <w:rFonts w:ascii="仿宋_GB2312" w:hAnsi="仿宋_GB2312" w:eastAsia="仿宋_GB2312" w:cs="仿宋_GB2312"/>
          <w:b w:val="0"/>
          <w:bCs w:val="0"/>
          <w:sz w:val="32"/>
          <w:szCs w:val="32"/>
          <w:lang w:bidi="ar"/>
        </w:rPr>
        <w:t>年度设定</w:t>
      </w:r>
      <w:r>
        <w:rPr>
          <w:rFonts w:hint="eastAsia" w:ascii="仿宋_GB2312" w:hAnsi="仿宋_GB2312" w:eastAsia="仿宋_GB2312" w:cs="仿宋_GB2312"/>
          <w:b w:val="0"/>
          <w:bCs w:val="0"/>
          <w:sz w:val="32"/>
          <w:szCs w:val="32"/>
          <w:lang w:bidi="ar"/>
        </w:rPr>
        <w:t>建设</w:t>
      </w:r>
      <w:r>
        <w:rPr>
          <w:rFonts w:ascii="仿宋_GB2312" w:hAnsi="仿宋_GB2312" w:eastAsia="仿宋_GB2312" w:cs="仿宋_GB2312"/>
          <w:b w:val="0"/>
          <w:bCs w:val="0"/>
          <w:sz w:val="32"/>
          <w:szCs w:val="32"/>
          <w:lang w:bidi="ar"/>
        </w:rPr>
        <w:t>任务</w:t>
      </w:r>
      <w:r>
        <w:rPr>
          <w:rFonts w:hint="eastAsia" w:ascii="仿宋_GB2312" w:hAnsi="仿宋_GB2312" w:eastAsia="仿宋_GB2312" w:cs="仿宋_GB2312"/>
          <w:b w:val="0"/>
          <w:bCs w:val="0"/>
          <w:sz w:val="32"/>
          <w:szCs w:val="32"/>
          <w:lang w:bidi="ar"/>
        </w:rPr>
        <w:t>。且各项支出均按照合同约定数执行，成本控制有效。</w:t>
      </w:r>
    </w:p>
    <w:p>
      <w:pPr>
        <w:keepNext w:val="0"/>
        <w:keepLines w:val="0"/>
        <w:pageBreakBefore w:val="0"/>
        <w:widowControl/>
        <w:numPr>
          <w:ilvl w:val="255"/>
          <w:numId w:val="0"/>
        </w:numPr>
        <w:kinsoku/>
        <w:wordWrap/>
        <w:overflowPunct w:val="0"/>
        <w:topLinePunct w:val="0"/>
        <w:autoSpaceDE w:val="0"/>
        <w:autoSpaceDN w:val="0"/>
        <w:bidi w:val="0"/>
        <w:adjustRightInd w:val="0"/>
        <w:snapToGrid/>
        <w:spacing w:line="580" w:lineRule="exact"/>
        <w:ind w:firstLine="640" w:firstLineChars="200"/>
        <w:textAlignment w:val="baseline"/>
        <w:rPr>
          <w:rFonts w:ascii="仿宋_GB2312" w:hAnsi="仿宋_GB2312" w:eastAsia="仿宋_GB2312" w:cs="仿宋_GB2312"/>
          <w:b w:val="0"/>
          <w:bCs w:val="0"/>
          <w:color w:val="000000"/>
          <w:sz w:val="32"/>
          <w:szCs w:val="32"/>
          <w:lang w:val="zh-CN" w:bidi="ar"/>
        </w:rPr>
      </w:pPr>
      <w:bookmarkStart w:id="162" w:name="_Toc1247275017_WPSOffice_Level3"/>
      <w:bookmarkStart w:id="163" w:name="_Toc983716265_WPSOffice_Level3"/>
      <w:bookmarkStart w:id="164" w:name="_Toc815486040_WPSOffice_Level3"/>
      <w:bookmarkStart w:id="165" w:name="_Toc1300777895_WPSOffice_Level3"/>
      <w:r>
        <w:rPr>
          <w:rFonts w:ascii="仿宋_GB2312" w:hAnsi="仿宋_GB2312" w:eastAsia="仿宋_GB2312" w:cs="仿宋_GB2312"/>
          <w:b w:val="0"/>
          <w:bCs w:val="0"/>
          <w:color w:val="000000"/>
          <w:sz w:val="32"/>
          <w:szCs w:val="32"/>
          <w:lang w:val="zh-CN" w:bidi="ar"/>
        </w:rPr>
        <w:t>4.效果指标</w:t>
      </w:r>
      <w:bookmarkEnd w:id="162"/>
      <w:bookmarkEnd w:id="163"/>
      <w:bookmarkEnd w:id="164"/>
      <w:bookmarkEnd w:id="165"/>
    </w:p>
    <w:p>
      <w:pPr>
        <w:pStyle w:val="22"/>
        <w:ind w:firstLine="562"/>
        <w:jc w:val="center"/>
        <w:rPr>
          <w:b w:val="0"/>
          <w:bCs w:val="0"/>
        </w:rPr>
      </w:pPr>
      <w:bookmarkStart w:id="166" w:name="_Toc1145193735_WPSOffice_Level2"/>
      <w:bookmarkStart w:id="167" w:name="_Toc795291155_WPSOffice_Level2"/>
      <w:bookmarkStart w:id="168" w:name="_Toc1556274727_WPSOffice_Level2"/>
      <w:r>
        <w:rPr>
          <w:rFonts w:hint="eastAsia" w:asciiTheme="minorEastAsia" w:hAnsiTheme="minorEastAsia" w:eastAsiaTheme="minorEastAsia" w:cstheme="minorEastAsia"/>
          <w:b w:val="0"/>
          <w:bCs w:val="0"/>
          <w:color w:val="000000"/>
          <w:sz w:val="28"/>
          <w:szCs w:val="28"/>
          <w:lang w:bidi="ar"/>
        </w:rPr>
        <w:t>表7</w:t>
      </w:r>
      <w:r>
        <w:rPr>
          <w:rFonts w:asciiTheme="minorEastAsia" w:hAnsiTheme="minorEastAsia" w:eastAsiaTheme="minorEastAsia" w:cstheme="minorEastAsia"/>
          <w:b w:val="0"/>
          <w:bCs w:val="0"/>
          <w:color w:val="000000"/>
          <w:sz w:val="28"/>
          <w:szCs w:val="28"/>
          <w:lang w:bidi="ar"/>
        </w:rPr>
        <w:t>：</w:t>
      </w:r>
      <w:r>
        <w:rPr>
          <w:rFonts w:hint="eastAsia" w:asciiTheme="minorEastAsia" w:hAnsiTheme="minorEastAsia" w:eastAsiaTheme="minorEastAsia" w:cstheme="minorEastAsia"/>
          <w:b w:val="0"/>
          <w:bCs w:val="0"/>
          <w:color w:val="000000"/>
          <w:sz w:val="28"/>
          <w:szCs w:val="28"/>
          <w:lang w:bidi="ar"/>
        </w:rPr>
        <w:t>效果指标得分情况表</w:t>
      </w:r>
      <w:bookmarkEnd w:id="166"/>
      <w:bookmarkEnd w:id="167"/>
      <w:bookmarkEnd w:id="168"/>
    </w:p>
    <w:tbl>
      <w:tblPr>
        <w:tblStyle w:val="15"/>
        <w:tblW w:w="9338" w:type="dxa"/>
        <w:tblInd w:w="0" w:type="dxa"/>
        <w:shd w:val="clear" w:color="auto" w:fill="auto"/>
        <w:tblLayout w:type="fixed"/>
        <w:tblCellMar>
          <w:top w:w="0" w:type="dxa"/>
          <w:left w:w="0" w:type="dxa"/>
          <w:bottom w:w="0" w:type="dxa"/>
          <w:right w:w="0" w:type="dxa"/>
        </w:tblCellMar>
      </w:tblPr>
      <w:tblGrid>
        <w:gridCol w:w="561"/>
        <w:gridCol w:w="636"/>
        <w:gridCol w:w="624"/>
        <w:gridCol w:w="660"/>
        <w:gridCol w:w="1104"/>
        <w:gridCol w:w="593"/>
        <w:gridCol w:w="612"/>
        <w:gridCol w:w="852"/>
        <w:gridCol w:w="1608"/>
        <w:gridCol w:w="624"/>
        <w:gridCol w:w="588"/>
        <w:gridCol w:w="876"/>
      </w:tblGrid>
      <w:tr>
        <w:tblPrEx>
          <w:shd w:val="clear" w:color="auto" w:fill="auto"/>
          <w:tblCellMar>
            <w:top w:w="0" w:type="dxa"/>
            <w:left w:w="0" w:type="dxa"/>
            <w:bottom w:w="0" w:type="dxa"/>
            <w:right w:w="0" w:type="dxa"/>
          </w:tblCellMar>
        </w:tblPrEx>
        <w:trPr>
          <w:trHeight w:val="596"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val="0"/>
                <w:bCs w:val="0"/>
                <w:color w:val="000000"/>
              </w:rPr>
            </w:pPr>
            <w:r>
              <w:rPr>
                <w:rFonts w:hint="eastAsia" w:asciiTheme="minorEastAsia" w:hAnsiTheme="minorEastAsia" w:eastAsiaTheme="minorEastAsia" w:cstheme="minorEastAsia"/>
                <w:b w:val="0"/>
                <w:bCs w:val="0"/>
                <w:color w:val="000000"/>
                <w:lang w:bidi="ar"/>
              </w:rPr>
              <w:t>一级指标</w:t>
            </w: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val="0"/>
                <w:bCs w:val="0"/>
                <w:color w:val="000000"/>
              </w:rPr>
            </w:pPr>
            <w:r>
              <w:rPr>
                <w:rFonts w:hint="eastAsia" w:asciiTheme="minorEastAsia" w:hAnsiTheme="minorEastAsia" w:eastAsiaTheme="minorEastAsia" w:cstheme="minorEastAsia"/>
                <w:b w:val="0"/>
                <w:bCs w:val="0"/>
                <w:color w:val="000000"/>
                <w:lang w:bidi="ar"/>
              </w:rPr>
              <w:t>分值</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val="0"/>
                <w:bCs w:val="0"/>
                <w:color w:val="000000"/>
              </w:rPr>
            </w:pPr>
            <w:r>
              <w:rPr>
                <w:rFonts w:hint="eastAsia" w:asciiTheme="minorEastAsia" w:hAnsiTheme="minorEastAsia" w:eastAsiaTheme="minorEastAsia" w:cstheme="minorEastAsia"/>
                <w:b w:val="0"/>
                <w:bCs w:val="0"/>
                <w:color w:val="000000"/>
                <w:lang w:bidi="ar"/>
              </w:rPr>
              <w:t>得分</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val="0"/>
                <w:bCs w:val="0"/>
                <w:color w:val="000000"/>
              </w:rPr>
            </w:pPr>
            <w:r>
              <w:rPr>
                <w:rFonts w:hint="eastAsia" w:asciiTheme="minorEastAsia" w:hAnsiTheme="minorEastAsia" w:eastAsiaTheme="minorEastAsia" w:cstheme="minorEastAsia"/>
                <w:b w:val="0"/>
                <w:bCs w:val="0"/>
                <w:color w:val="000000"/>
                <w:lang w:bidi="ar"/>
              </w:rPr>
              <w:t>得分率</w:t>
            </w:r>
          </w:p>
        </w:tc>
        <w:tc>
          <w:tcPr>
            <w:tcW w:w="11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val="0"/>
                <w:bCs w:val="0"/>
                <w:color w:val="000000"/>
              </w:rPr>
            </w:pPr>
            <w:r>
              <w:rPr>
                <w:rFonts w:hint="eastAsia" w:asciiTheme="minorEastAsia" w:hAnsiTheme="minorEastAsia" w:eastAsiaTheme="minorEastAsia" w:cstheme="minorEastAsia"/>
                <w:b w:val="0"/>
                <w:bCs w:val="0"/>
                <w:color w:val="000000"/>
                <w:lang w:bidi="ar"/>
              </w:rPr>
              <w:t>二级指标</w:t>
            </w: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val="0"/>
                <w:bCs w:val="0"/>
                <w:color w:val="000000"/>
              </w:rPr>
            </w:pPr>
            <w:r>
              <w:rPr>
                <w:rFonts w:hint="eastAsia" w:asciiTheme="minorEastAsia" w:hAnsiTheme="minorEastAsia" w:eastAsiaTheme="minorEastAsia" w:cstheme="minorEastAsia"/>
                <w:b w:val="0"/>
                <w:bCs w:val="0"/>
                <w:color w:val="000000"/>
                <w:lang w:bidi="ar"/>
              </w:rPr>
              <w:t>分值</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val="0"/>
                <w:bCs w:val="0"/>
                <w:color w:val="000000"/>
              </w:rPr>
            </w:pPr>
            <w:r>
              <w:rPr>
                <w:rFonts w:hint="eastAsia" w:asciiTheme="minorEastAsia" w:hAnsiTheme="minorEastAsia" w:eastAsiaTheme="minorEastAsia" w:cstheme="minorEastAsia"/>
                <w:b w:val="0"/>
                <w:bCs w:val="0"/>
                <w:color w:val="000000"/>
                <w:lang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val="0"/>
                <w:bCs w:val="0"/>
                <w:color w:val="000000"/>
              </w:rPr>
            </w:pPr>
            <w:r>
              <w:rPr>
                <w:rFonts w:hint="eastAsia" w:asciiTheme="minorEastAsia" w:hAnsiTheme="minorEastAsia" w:eastAsiaTheme="minorEastAsia" w:cstheme="minorEastAsia"/>
                <w:b w:val="0"/>
                <w:bCs w:val="0"/>
                <w:color w:val="000000"/>
                <w:lang w:bidi="ar"/>
              </w:rPr>
              <w:t>得分率</w:t>
            </w:r>
          </w:p>
        </w:tc>
        <w:tc>
          <w:tcPr>
            <w:tcW w:w="1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val="0"/>
                <w:bCs w:val="0"/>
                <w:color w:val="000000"/>
              </w:rPr>
            </w:pPr>
            <w:r>
              <w:rPr>
                <w:rFonts w:hint="eastAsia" w:asciiTheme="minorEastAsia" w:hAnsiTheme="minorEastAsia" w:eastAsiaTheme="minorEastAsia" w:cstheme="minorEastAsia"/>
                <w:b w:val="0"/>
                <w:bCs w:val="0"/>
                <w:color w:val="000000"/>
                <w:lang w:bidi="ar"/>
              </w:rPr>
              <w:t>三级指标</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val="0"/>
                <w:bCs w:val="0"/>
                <w:color w:val="000000"/>
              </w:rPr>
            </w:pPr>
            <w:r>
              <w:rPr>
                <w:rFonts w:hint="eastAsia" w:asciiTheme="minorEastAsia" w:hAnsiTheme="minorEastAsia" w:eastAsiaTheme="minorEastAsia" w:cstheme="minorEastAsia"/>
                <w:b w:val="0"/>
                <w:bCs w:val="0"/>
                <w:color w:val="000000"/>
                <w:lang w:bidi="ar"/>
              </w:rPr>
              <w:t>分值</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val="0"/>
                <w:bCs w:val="0"/>
                <w:color w:val="000000"/>
              </w:rPr>
            </w:pPr>
            <w:r>
              <w:rPr>
                <w:rFonts w:hint="eastAsia" w:asciiTheme="minorEastAsia" w:hAnsiTheme="minorEastAsia" w:eastAsiaTheme="minorEastAsia" w:cstheme="minorEastAsia"/>
                <w:b w:val="0"/>
                <w:bCs w:val="0"/>
                <w:color w:val="000000"/>
                <w:lang w:bidi="ar"/>
              </w:rPr>
              <w:t>得分</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val="0"/>
                <w:bCs w:val="0"/>
                <w:color w:val="000000"/>
              </w:rPr>
            </w:pPr>
            <w:r>
              <w:rPr>
                <w:rFonts w:hint="eastAsia" w:asciiTheme="minorEastAsia" w:hAnsiTheme="minorEastAsia" w:eastAsiaTheme="minorEastAsia" w:cstheme="minorEastAsia"/>
                <w:b w:val="0"/>
                <w:bCs w:val="0"/>
                <w:color w:val="000000"/>
                <w:lang w:bidi="ar"/>
              </w:rPr>
              <w:t>得分率</w:t>
            </w:r>
          </w:p>
        </w:tc>
      </w:tr>
      <w:tr>
        <w:tblPrEx>
          <w:tblCellMar>
            <w:top w:w="0" w:type="dxa"/>
            <w:left w:w="0" w:type="dxa"/>
            <w:bottom w:w="0" w:type="dxa"/>
            <w:right w:w="0" w:type="dxa"/>
          </w:tblCellMar>
        </w:tblPrEx>
        <w:trPr>
          <w:trHeight w:val="336" w:hRule="atLeast"/>
        </w:trPr>
        <w:tc>
          <w:tcPr>
            <w:tcW w:w="561"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eastAsia" w:asciiTheme="minorEastAsia" w:hAnsiTheme="minorEastAsia" w:eastAsiaTheme="minorEastAsia" w:cstheme="minorEastAsia"/>
                <w:b w:val="0"/>
                <w:bCs w:val="0"/>
                <w:color w:val="000000"/>
                <w:lang w:eastAsia="zh-CN"/>
              </w:rPr>
            </w:pPr>
            <w:r>
              <w:rPr>
                <w:rFonts w:hint="eastAsia" w:asciiTheme="minorEastAsia" w:hAnsiTheme="minorEastAsia" w:eastAsiaTheme="minorEastAsia" w:cstheme="minorEastAsia"/>
                <w:b w:val="0"/>
                <w:bCs w:val="0"/>
                <w:color w:val="000000"/>
                <w:lang w:val="en-US" w:eastAsia="zh-CN" w:bidi="ar"/>
              </w:rPr>
              <w:t>效益</w:t>
            </w:r>
          </w:p>
        </w:tc>
        <w:tc>
          <w:tcPr>
            <w:tcW w:w="636"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asciiTheme="minorEastAsia" w:hAnsiTheme="minorEastAsia" w:eastAsiaTheme="minorEastAsia" w:cstheme="minorEastAsia"/>
                <w:b w:val="0"/>
                <w:bCs w:val="0"/>
                <w:color w:val="000000"/>
                <w:lang w:val="en-US" w:eastAsia="zh-CN"/>
              </w:rPr>
            </w:pPr>
            <w:r>
              <w:rPr>
                <w:rFonts w:hint="eastAsia" w:asciiTheme="minorEastAsia" w:hAnsiTheme="minorEastAsia" w:eastAsiaTheme="minorEastAsia" w:cstheme="minorEastAsia"/>
                <w:b w:val="0"/>
                <w:bCs w:val="0"/>
                <w:color w:val="000000"/>
                <w:lang w:val="en-US" w:eastAsia="zh-CN" w:bidi="ar"/>
              </w:rPr>
              <w:t>30</w:t>
            </w:r>
          </w:p>
        </w:tc>
        <w:tc>
          <w:tcPr>
            <w:tcW w:w="624"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asciiTheme="minorEastAsia" w:hAnsiTheme="minorEastAsia" w:eastAsiaTheme="minorEastAsia" w:cstheme="minorEastAsia"/>
                <w:b w:val="0"/>
                <w:bCs w:val="0"/>
                <w:color w:val="000000"/>
                <w:lang w:val="en-US" w:eastAsia="zh-CN"/>
              </w:rPr>
            </w:pPr>
            <w:r>
              <w:rPr>
                <w:rFonts w:hint="eastAsia" w:asciiTheme="minorEastAsia" w:hAnsiTheme="minorEastAsia" w:eastAsiaTheme="minorEastAsia" w:cstheme="minorEastAsia"/>
                <w:b w:val="0"/>
                <w:bCs w:val="0"/>
                <w:color w:val="000000"/>
              </w:rPr>
              <w:t>2</w:t>
            </w:r>
            <w:r>
              <w:rPr>
                <w:rFonts w:hint="eastAsia" w:asciiTheme="minorEastAsia" w:hAnsiTheme="minorEastAsia" w:eastAsiaTheme="minorEastAsia" w:cstheme="minorEastAsia"/>
                <w:b w:val="0"/>
                <w:bCs w:val="0"/>
                <w:color w:val="000000"/>
                <w:lang w:val="en-US" w:eastAsia="zh-CN"/>
              </w:rPr>
              <w:t>5.5</w:t>
            </w:r>
          </w:p>
        </w:tc>
        <w:tc>
          <w:tcPr>
            <w:tcW w:w="660"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val="0"/>
                <w:bCs w:val="0"/>
                <w:color w:val="000000"/>
              </w:rPr>
            </w:pPr>
            <w:r>
              <w:rPr>
                <w:rFonts w:hint="eastAsia" w:asciiTheme="minorEastAsia" w:hAnsiTheme="minorEastAsia" w:eastAsiaTheme="minorEastAsia" w:cstheme="minorEastAsia"/>
                <w:b w:val="0"/>
                <w:bCs w:val="0"/>
                <w:color w:val="000000"/>
                <w:lang w:val="en-US" w:eastAsia="zh-CN"/>
              </w:rPr>
              <w:t>85</w:t>
            </w:r>
            <w:r>
              <w:rPr>
                <w:rFonts w:hint="eastAsia" w:asciiTheme="minorEastAsia" w:hAnsiTheme="minorEastAsia" w:eastAsiaTheme="minorEastAsia" w:cstheme="minorEastAsia"/>
                <w:b w:val="0"/>
                <w:bCs w:val="0"/>
                <w:color w:val="000000"/>
              </w:rPr>
              <w:t>%</w:t>
            </w:r>
          </w:p>
        </w:tc>
        <w:tc>
          <w:tcPr>
            <w:tcW w:w="1104"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val="0"/>
                <w:bCs w:val="0"/>
                <w:color w:val="000000"/>
              </w:rPr>
            </w:pPr>
            <w:r>
              <w:rPr>
                <w:rFonts w:hint="eastAsia" w:asciiTheme="minorEastAsia" w:hAnsiTheme="minorEastAsia" w:eastAsiaTheme="minorEastAsia" w:cstheme="minorEastAsia"/>
                <w:b w:val="0"/>
                <w:bCs w:val="0"/>
                <w:color w:val="000000"/>
                <w:lang w:bidi="ar"/>
              </w:rPr>
              <w:t>项目效益</w:t>
            </w:r>
          </w:p>
        </w:tc>
        <w:tc>
          <w:tcPr>
            <w:tcW w:w="593"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asciiTheme="minorEastAsia" w:hAnsiTheme="minorEastAsia" w:eastAsiaTheme="minorEastAsia" w:cstheme="minorEastAsia"/>
                <w:b w:val="0"/>
                <w:bCs w:val="0"/>
                <w:color w:val="000000"/>
                <w:lang w:val="en-US" w:eastAsia="zh-CN"/>
              </w:rPr>
            </w:pPr>
            <w:r>
              <w:rPr>
                <w:rFonts w:hint="eastAsia" w:asciiTheme="minorEastAsia" w:hAnsiTheme="minorEastAsia" w:eastAsiaTheme="minorEastAsia" w:cstheme="minorEastAsia"/>
                <w:b w:val="0"/>
                <w:bCs w:val="0"/>
                <w:color w:val="000000"/>
                <w:lang w:val="en-US" w:eastAsia="zh-CN" w:bidi="ar"/>
              </w:rPr>
              <w:t>30</w:t>
            </w:r>
          </w:p>
        </w:tc>
        <w:tc>
          <w:tcPr>
            <w:tcW w:w="612"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asciiTheme="minorEastAsia" w:hAnsiTheme="minorEastAsia" w:eastAsiaTheme="minorEastAsia" w:cstheme="minorEastAsia"/>
                <w:b w:val="0"/>
                <w:bCs w:val="0"/>
                <w:color w:val="000000"/>
                <w:lang w:val="en-US" w:eastAsia="zh-CN"/>
              </w:rPr>
            </w:pPr>
            <w:r>
              <w:rPr>
                <w:rFonts w:hint="eastAsia" w:asciiTheme="minorEastAsia" w:hAnsiTheme="minorEastAsia" w:eastAsiaTheme="minorEastAsia" w:cstheme="minorEastAsia"/>
                <w:b w:val="0"/>
                <w:bCs w:val="0"/>
                <w:color w:val="000000"/>
              </w:rPr>
              <w:t>2</w:t>
            </w:r>
            <w:r>
              <w:rPr>
                <w:rFonts w:hint="eastAsia" w:asciiTheme="minorEastAsia" w:hAnsiTheme="minorEastAsia" w:eastAsiaTheme="minorEastAsia" w:cstheme="minorEastAsia"/>
                <w:b w:val="0"/>
                <w:bCs w:val="0"/>
                <w:color w:val="000000"/>
                <w:lang w:val="en-US" w:eastAsia="zh-CN"/>
              </w:rPr>
              <w:t>5.5</w:t>
            </w:r>
          </w:p>
        </w:tc>
        <w:tc>
          <w:tcPr>
            <w:tcW w:w="852"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val="0"/>
                <w:bCs w:val="0"/>
                <w:color w:val="000000"/>
              </w:rPr>
            </w:pPr>
            <w:r>
              <w:rPr>
                <w:rFonts w:hint="eastAsia" w:asciiTheme="minorEastAsia" w:hAnsiTheme="minorEastAsia" w:eastAsiaTheme="minorEastAsia" w:cstheme="minorEastAsia"/>
                <w:b w:val="0"/>
                <w:bCs w:val="0"/>
                <w:color w:val="000000"/>
                <w:lang w:val="en-US" w:eastAsia="zh-CN"/>
              </w:rPr>
              <w:t>85</w:t>
            </w:r>
            <w:r>
              <w:rPr>
                <w:rFonts w:hint="eastAsia" w:asciiTheme="minorEastAsia" w:hAnsiTheme="minorEastAsia" w:eastAsiaTheme="minorEastAsia" w:cstheme="minorEastAsia"/>
                <w:b w:val="0"/>
                <w:bCs w:val="0"/>
                <w:color w:val="000000"/>
              </w:rPr>
              <w:t>%</w:t>
            </w:r>
          </w:p>
        </w:tc>
        <w:tc>
          <w:tcPr>
            <w:tcW w:w="1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val="0"/>
                <w:bCs w:val="0"/>
                <w:color w:val="000000"/>
                <w:lang w:bidi="ar"/>
              </w:rPr>
            </w:pPr>
            <w:r>
              <w:rPr>
                <w:rFonts w:hint="eastAsia" w:asciiTheme="minorEastAsia" w:hAnsiTheme="minorEastAsia" w:eastAsiaTheme="minorEastAsia" w:cstheme="minorEastAsia"/>
                <w:b w:val="0"/>
                <w:bCs w:val="0"/>
                <w:color w:val="000000"/>
                <w:lang w:bidi="ar"/>
              </w:rPr>
              <w:t>社会效益</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eastAsia" w:asciiTheme="minorEastAsia" w:hAnsiTheme="minorEastAsia" w:eastAsiaTheme="minorEastAsia" w:cstheme="minorEastAsia"/>
                <w:b w:val="0"/>
                <w:bCs w:val="0"/>
                <w:color w:val="000000"/>
                <w:lang w:eastAsia="zh-CN" w:bidi="ar"/>
              </w:rPr>
            </w:pPr>
            <w:r>
              <w:rPr>
                <w:rFonts w:hint="eastAsia" w:asciiTheme="minorEastAsia" w:hAnsiTheme="minorEastAsia" w:eastAsiaTheme="minorEastAsia" w:cstheme="minorEastAsia"/>
                <w:b w:val="0"/>
                <w:bCs w:val="0"/>
                <w:color w:val="000000"/>
                <w:lang w:val="en-US" w:eastAsia="zh-CN" w:bidi="ar"/>
              </w:rPr>
              <w:t>8</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eastAsia" w:asciiTheme="minorEastAsia" w:hAnsiTheme="minorEastAsia" w:eastAsiaTheme="minorEastAsia" w:cstheme="minorEastAsia"/>
                <w:b w:val="0"/>
                <w:bCs w:val="0"/>
                <w:color w:val="000000"/>
                <w:lang w:eastAsia="zh-CN" w:bidi="ar"/>
              </w:rPr>
            </w:pPr>
            <w:r>
              <w:rPr>
                <w:rFonts w:hint="eastAsia" w:asciiTheme="minorEastAsia" w:hAnsiTheme="minorEastAsia" w:eastAsiaTheme="minorEastAsia" w:cstheme="minorEastAsia"/>
                <w:b w:val="0"/>
                <w:bCs w:val="0"/>
                <w:color w:val="000000"/>
                <w:lang w:val="en-US" w:eastAsia="zh-CN" w:bidi="ar"/>
              </w:rPr>
              <w:t>8</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val="0"/>
                <w:bCs w:val="0"/>
                <w:color w:val="000000"/>
                <w:lang w:bidi="ar"/>
              </w:rPr>
            </w:pPr>
            <w:r>
              <w:rPr>
                <w:rFonts w:hint="eastAsia" w:asciiTheme="minorEastAsia" w:hAnsiTheme="minorEastAsia" w:eastAsiaTheme="minorEastAsia" w:cstheme="minorEastAsia"/>
                <w:b w:val="0"/>
                <w:bCs w:val="0"/>
                <w:color w:val="000000"/>
                <w:lang w:bidi="ar"/>
              </w:rPr>
              <w:t>100%</w:t>
            </w:r>
          </w:p>
        </w:tc>
      </w:tr>
      <w:tr>
        <w:tblPrEx>
          <w:tblCellMar>
            <w:top w:w="0" w:type="dxa"/>
            <w:left w:w="0" w:type="dxa"/>
            <w:bottom w:w="0" w:type="dxa"/>
            <w:right w:w="0" w:type="dxa"/>
          </w:tblCellMar>
        </w:tblPrEx>
        <w:trPr>
          <w:trHeight w:val="310" w:hRule="atLeast"/>
        </w:trPr>
        <w:tc>
          <w:tcPr>
            <w:tcW w:w="561"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val="0"/>
                <w:bCs w:val="0"/>
                <w:color w:val="000000"/>
              </w:rPr>
            </w:pPr>
          </w:p>
        </w:tc>
        <w:tc>
          <w:tcPr>
            <w:tcW w:w="636"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val="0"/>
                <w:bCs w:val="0"/>
                <w:color w:val="000000"/>
              </w:rPr>
            </w:pPr>
          </w:p>
        </w:tc>
        <w:tc>
          <w:tcPr>
            <w:tcW w:w="62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val="0"/>
                <w:bCs w:val="0"/>
                <w:color w:val="000000"/>
              </w:rPr>
            </w:pPr>
          </w:p>
        </w:tc>
        <w:tc>
          <w:tcPr>
            <w:tcW w:w="660"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val="0"/>
                <w:bCs w:val="0"/>
                <w:color w:val="000000"/>
              </w:rPr>
            </w:pPr>
          </w:p>
        </w:tc>
        <w:tc>
          <w:tcPr>
            <w:tcW w:w="11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val="0"/>
                <w:bCs w:val="0"/>
                <w:color w:val="000000"/>
              </w:rPr>
            </w:pPr>
          </w:p>
        </w:tc>
        <w:tc>
          <w:tcPr>
            <w:tcW w:w="593"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val="0"/>
                <w:bCs w:val="0"/>
                <w:color w:val="000000"/>
              </w:rPr>
            </w:pPr>
          </w:p>
        </w:tc>
        <w:tc>
          <w:tcPr>
            <w:tcW w:w="612"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val="0"/>
                <w:bCs w:val="0"/>
                <w:color w:val="000000"/>
              </w:rPr>
            </w:pPr>
          </w:p>
        </w:tc>
        <w:tc>
          <w:tcPr>
            <w:tcW w:w="852"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val="0"/>
                <w:bCs w:val="0"/>
                <w:color w:val="000000"/>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val="0"/>
                <w:bCs w:val="0"/>
                <w:color w:val="000000"/>
              </w:rPr>
            </w:pPr>
            <w:r>
              <w:rPr>
                <w:rFonts w:hint="eastAsia" w:asciiTheme="minorEastAsia" w:hAnsiTheme="minorEastAsia" w:eastAsiaTheme="minorEastAsia" w:cstheme="minorEastAsia"/>
                <w:b w:val="0"/>
                <w:bCs w:val="0"/>
                <w:color w:val="000000"/>
                <w:lang w:val="en-US" w:eastAsia="zh-CN" w:bidi="ar"/>
              </w:rPr>
              <w:t>生态</w:t>
            </w:r>
            <w:r>
              <w:rPr>
                <w:rFonts w:hint="eastAsia" w:asciiTheme="minorEastAsia" w:hAnsiTheme="minorEastAsia" w:eastAsiaTheme="minorEastAsia" w:cstheme="minorEastAsia"/>
                <w:b w:val="0"/>
                <w:bCs w:val="0"/>
                <w:color w:val="000000"/>
                <w:lang w:bidi="ar"/>
              </w:rPr>
              <w:t>效益</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eastAsia" w:asciiTheme="minorEastAsia" w:hAnsiTheme="minorEastAsia" w:eastAsiaTheme="minorEastAsia" w:cstheme="minorEastAsia"/>
                <w:b w:val="0"/>
                <w:bCs w:val="0"/>
                <w:color w:val="000000"/>
                <w:lang w:eastAsia="zh-CN"/>
              </w:rPr>
            </w:pPr>
            <w:r>
              <w:rPr>
                <w:rFonts w:hint="eastAsia" w:asciiTheme="minorEastAsia" w:hAnsiTheme="minorEastAsia" w:eastAsiaTheme="minorEastAsia" w:cstheme="minorEastAsia"/>
                <w:b w:val="0"/>
                <w:bCs w:val="0"/>
                <w:color w:val="000000"/>
                <w:lang w:val="en-US" w:eastAsia="zh-CN" w:bidi="ar"/>
              </w:rPr>
              <w:t>8</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eastAsia" w:asciiTheme="minorEastAsia" w:hAnsiTheme="minorEastAsia" w:eastAsiaTheme="minorEastAsia" w:cstheme="minorEastAsia"/>
                <w:b w:val="0"/>
                <w:bCs w:val="0"/>
                <w:color w:val="000000"/>
                <w:lang w:eastAsia="zh-CN"/>
              </w:rPr>
            </w:pPr>
            <w:r>
              <w:rPr>
                <w:rFonts w:hint="eastAsia" w:asciiTheme="minorEastAsia" w:hAnsiTheme="minorEastAsia" w:eastAsiaTheme="minorEastAsia" w:cstheme="minorEastAsia"/>
                <w:b w:val="0"/>
                <w:bCs w:val="0"/>
                <w:color w:val="000000"/>
                <w:lang w:val="en-US" w:eastAsia="zh-CN" w:bidi="ar"/>
              </w:rPr>
              <w:t>4</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val="0"/>
                <w:bCs w:val="0"/>
                <w:color w:val="000000"/>
              </w:rPr>
            </w:pPr>
            <w:r>
              <w:rPr>
                <w:rFonts w:hint="eastAsia" w:asciiTheme="minorEastAsia" w:hAnsiTheme="minorEastAsia" w:eastAsiaTheme="minorEastAsia" w:cstheme="minorEastAsia"/>
                <w:b w:val="0"/>
                <w:bCs w:val="0"/>
                <w:color w:val="000000"/>
                <w:lang w:val="en-US" w:eastAsia="zh-CN" w:bidi="ar"/>
              </w:rPr>
              <w:t>50</w:t>
            </w:r>
            <w:r>
              <w:rPr>
                <w:rFonts w:hint="eastAsia" w:asciiTheme="minorEastAsia" w:hAnsiTheme="minorEastAsia" w:eastAsiaTheme="minorEastAsia" w:cstheme="minorEastAsia"/>
                <w:b w:val="0"/>
                <w:bCs w:val="0"/>
                <w:color w:val="000000"/>
                <w:lang w:bidi="ar"/>
              </w:rPr>
              <w:t>%</w:t>
            </w:r>
          </w:p>
        </w:tc>
      </w:tr>
      <w:tr>
        <w:tblPrEx>
          <w:shd w:val="clear" w:color="auto" w:fill="auto"/>
          <w:tblCellMar>
            <w:top w:w="0" w:type="dxa"/>
            <w:left w:w="0" w:type="dxa"/>
            <w:bottom w:w="0" w:type="dxa"/>
            <w:right w:w="0" w:type="dxa"/>
          </w:tblCellMar>
        </w:tblPrEx>
        <w:trPr>
          <w:trHeight w:val="358" w:hRule="atLeast"/>
        </w:trPr>
        <w:tc>
          <w:tcPr>
            <w:tcW w:w="561"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b w:val="0"/>
                <w:bCs w:val="0"/>
                <w:color w:val="000000"/>
              </w:rPr>
            </w:pPr>
          </w:p>
        </w:tc>
        <w:tc>
          <w:tcPr>
            <w:tcW w:w="636"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b w:val="0"/>
                <w:bCs w:val="0"/>
                <w:color w:val="000000"/>
              </w:rPr>
            </w:pPr>
          </w:p>
        </w:tc>
        <w:tc>
          <w:tcPr>
            <w:tcW w:w="62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b w:val="0"/>
                <w:bCs w:val="0"/>
                <w:color w:val="000000"/>
              </w:rPr>
            </w:pPr>
          </w:p>
        </w:tc>
        <w:tc>
          <w:tcPr>
            <w:tcW w:w="660"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b w:val="0"/>
                <w:bCs w:val="0"/>
                <w:color w:val="000000"/>
              </w:rPr>
            </w:pPr>
          </w:p>
        </w:tc>
        <w:tc>
          <w:tcPr>
            <w:tcW w:w="11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b w:val="0"/>
                <w:bCs w:val="0"/>
                <w:color w:val="000000"/>
              </w:rPr>
            </w:pPr>
          </w:p>
        </w:tc>
        <w:tc>
          <w:tcPr>
            <w:tcW w:w="593"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b w:val="0"/>
                <w:bCs w:val="0"/>
                <w:color w:val="000000"/>
              </w:rPr>
            </w:pPr>
          </w:p>
        </w:tc>
        <w:tc>
          <w:tcPr>
            <w:tcW w:w="612"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b w:val="0"/>
                <w:bCs w:val="0"/>
                <w:color w:val="000000"/>
              </w:rPr>
            </w:pPr>
          </w:p>
        </w:tc>
        <w:tc>
          <w:tcPr>
            <w:tcW w:w="852"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b w:val="0"/>
                <w:bCs w:val="0"/>
                <w:color w:val="000000"/>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val="0"/>
                <w:bCs w:val="0"/>
                <w:color w:val="000000"/>
              </w:rPr>
            </w:pPr>
            <w:r>
              <w:rPr>
                <w:rFonts w:hint="eastAsia" w:asciiTheme="minorEastAsia" w:hAnsiTheme="minorEastAsia" w:eastAsiaTheme="minorEastAsia" w:cstheme="minorEastAsia"/>
                <w:b w:val="0"/>
                <w:bCs w:val="0"/>
                <w:color w:val="000000"/>
              </w:rPr>
              <w:t>可持续性影响</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eastAsia" w:asciiTheme="minorEastAsia" w:hAnsiTheme="minorEastAsia" w:eastAsiaTheme="minorEastAsia" w:cstheme="minorEastAsia"/>
                <w:b w:val="0"/>
                <w:bCs w:val="0"/>
                <w:color w:val="000000"/>
                <w:lang w:eastAsia="zh-CN"/>
              </w:rPr>
            </w:pPr>
            <w:r>
              <w:rPr>
                <w:rFonts w:hint="eastAsia" w:asciiTheme="minorEastAsia" w:hAnsiTheme="minorEastAsia" w:eastAsiaTheme="minorEastAsia" w:cstheme="minorEastAsia"/>
                <w:b w:val="0"/>
                <w:bCs w:val="0"/>
                <w:color w:val="000000"/>
                <w:lang w:val="en-US" w:eastAsia="zh-CN" w:bidi="ar"/>
              </w:rPr>
              <w:t>6</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eastAsia" w:asciiTheme="minorEastAsia" w:hAnsiTheme="minorEastAsia" w:eastAsiaTheme="minorEastAsia" w:cstheme="minorEastAsia"/>
                <w:b w:val="0"/>
                <w:bCs w:val="0"/>
                <w:color w:val="000000"/>
                <w:lang w:eastAsia="zh-CN"/>
              </w:rPr>
            </w:pPr>
            <w:r>
              <w:rPr>
                <w:rFonts w:hint="eastAsia" w:asciiTheme="minorEastAsia" w:hAnsiTheme="minorEastAsia" w:eastAsiaTheme="minorEastAsia" w:cstheme="minorEastAsia"/>
                <w:b w:val="0"/>
                <w:bCs w:val="0"/>
                <w:color w:val="000000"/>
                <w:lang w:val="en-US" w:eastAsia="zh-CN"/>
              </w:rPr>
              <w:t>6</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val="0"/>
                <w:bCs w:val="0"/>
                <w:color w:val="000000"/>
              </w:rPr>
            </w:pPr>
            <w:r>
              <w:rPr>
                <w:rFonts w:hint="eastAsia" w:asciiTheme="minorEastAsia" w:hAnsiTheme="minorEastAsia" w:eastAsiaTheme="minorEastAsia" w:cstheme="minorEastAsia"/>
                <w:b w:val="0"/>
                <w:bCs w:val="0"/>
                <w:color w:val="000000"/>
                <w:lang w:bidi="ar"/>
              </w:rPr>
              <w:t>100%</w:t>
            </w:r>
          </w:p>
        </w:tc>
      </w:tr>
      <w:tr>
        <w:tblPrEx>
          <w:shd w:val="clear" w:color="auto" w:fill="auto"/>
          <w:tblCellMar>
            <w:top w:w="0" w:type="dxa"/>
            <w:left w:w="0" w:type="dxa"/>
            <w:bottom w:w="0" w:type="dxa"/>
            <w:right w:w="0" w:type="dxa"/>
          </w:tblCellMar>
        </w:tblPrEx>
        <w:trPr>
          <w:trHeight w:val="380" w:hRule="atLeast"/>
        </w:trPr>
        <w:tc>
          <w:tcPr>
            <w:tcW w:w="561"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b w:val="0"/>
                <w:bCs w:val="0"/>
                <w:color w:val="000000"/>
              </w:rPr>
            </w:pPr>
          </w:p>
        </w:tc>
        <w:tc>
          <w:tcPr>
            <w:tcW w:w="636"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b w:val="0"/>
                <w:bCs w:val="0"/>
                <w:color w:val="000000"/>
              </w:rPr>
            </w:pPr>
          </w:p>
        </w:tc>
        <w:tc>
          <w:tcPr>
            <w:tcW w:w="624"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b w:val="0"/>
                <w:bCs w:val="0"/>
                <w:color w:val="000000"/>
              </w:rPr>
            </w:pPr>
          </w:p>
        </w:tc>
        <w:tc>
          <w:tcPr>
            <w:tcW w:w="660"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b w:val="0"/>
                <w:bCs w:val="0"/>
                <w:color w:val="000000"/>
              </w:rPr>
            </w:pPr>
          </w:p>
        </w:tc>
        <w:tc>
          <w:tcPr>
            <w:tcW w:w="1104"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b w:val="0"/>
                <w:bCs w:val="0"/>
                <w:color w:val="000000"/>
              </w:rPr>
            </w:pPr>
          </w:p>
        </w:tc>
        <w:tc>
          <w:tcPr>
            <w:tcW w:w="593"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b w:val="0"/>
                <w:bCs w:val="0"/>
                <w:color w:val="000000"/>
              </w:rPr>
            </w:pPr>
          </w:p>
        </w:tc>
        <w:tc>
          <w:tcPr>
            <w:tcW w:w="612"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b w:val="0"/>
                <w:bCs w:val="0"/>
                <w:color w:val="000000"/>
              </w:rPr>
            </w:pPr>
          </w:p>
        </w:tc>
        <w:tc>
          <w:tcPr>
            <w:tcW w:w="852"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b w:val="0"/>
                <w:bCs w:val="0"/>
                <w:color w:val="000000"/>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val="0"/>
                <w:bCs w:val="0"/>
                <w:color w:val="000000"/>
              </w:rPr>
            </w:pPr>
            <w:r>
              <w:rPr>
                <w:rFonts w:hint="eastAsia" w:asciiTheme="minorEastAsia" w:hAnsiTheme="minorEastAsia" w:eastAsiaTheme="minorEastAsia" w:cstheme="minorEastAsia"/>
                <w:b w:val="0"/>
                <w:bCs w:val="0"/>
                <w:color w:val="000000"/>
                <w:lang w:bidi="ar"/>
              </w:rPr>
              <w:t>服务对象满意度</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eastAsia" w:asciiTheme="minorEastAsia" w:hAnsiTheme="minorEastAsia" w:eastAsiaTheme="minorEastAsia" w:cstheme="minorEastAsia"/>
                <w:b w:val="0"/>
                <w:bCs w:val="0"/>
                <w:color w:val="000000"/>
                <w:lang w:eastAsia="zh-CN"/>
              </w:rPr>
            </w:pPr>
            <w:r>
              <w:rPr>
                <w:rFonts w:hint="eastAsia" w:asciiTheme="minorEastAsia" w:hAnsiTheme="minorEastAsia" w:eastAsiaTheme="minorEastAsia" w:cstheme="minorEastAsia"/>
                <w:b w:val="0"/>
                <w:bCs w:val="0"/>
                <w:color w:val="000000"/>
                <w:lang w:val="en-US" w:eastAsia="zh-CN" w:bidi="ar"/>
              </w:rPr>
              <w:t>8</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asciiTheme="minorEastAsia" w:hAnsiTheme="minorEastAsia" w:eastAsiaTheme="minorEastAsia" w:cstheme="minorEastAsia"/>
                <w:b w:val="0"/>
                <w:bCs w:val="0"/>
                <w:color w:val="000000"/>
                <w:lang w:val="en-US" w:eastAsia="zh-CN"/>
              </w:rPr>
            </w:pPr>
            <w:r>
              <w:rPr>
                <w:rFonts w:hint="eastAsia" w:asciiTheme="minorEastAsia" w:hAnsiTheme="minorEastAsia" w:eastAsiaTheme="minorEastAsia" w:cstheme="minorEastAsia"/>
                <w:b w:val="0"/>
                <w:bCs w:val="0"/>
                <w:color w:val="000000"/>
                <w:lang w:val="en-US" w:eastAsia="zh-CN"/>
              </w:rPr>
              <w:t>7.5</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val="0"/>
                <w:bCs w:val="0"/>
                <w:color w:val="000000"/>
              </w:rPr>
            </w:pPr>
            <w:r>
              <w:rPr>
                <w:rFonts w:hint="eastAsia" w:asciiTheme="minorEastAsia" w:hAnsiTheme="minorEastAsia" w:eastAsiaTheme="minorEastAsia" w:cstheme="minorEastAsia"/>
                <w:b w:val="0"/>
                <w:bCs w:val="0"/>
                <w:color w:val="000000"/>
                <w:lang w:val="en-US" w:eastAsia="zh-CN"/>
              </w:rPr>
              <w:t>93.75</w:t>
            </w:r>
            <w:r>
              <w:rPr>
                <w:rFonts w:asciiTheme="minorEastAsia" w:hAnsiTheme="minorEastAsia" w:eastAsiaTheme="minorEastAsia" w:cstheme="minorEastAsia"/>
                <w:b w:val="0"/>
                <w:bCs w:val="0"/>
                <w:color w:val="000000"/>
              </w:rPr>
              <w:t>%</w:t>
            </w:r>
          </w:p>
        </w:tc>
      </w:tr>
    </w:tbl>
    <w:p>
      <w:pPr>
        <w:keepNext w:val="0"/>
        <w:keepLines w:val="0"/>
        <w:pageBreakBefore w:val="0"/>
        <w:widowControl/>
        <w:numPr>
          <w:ilvl w:val="255"/>
          <w:numId w:val="0"/>
        </w:numPr>
        <w:kinsoku/>
        <w:wordWrap/>
        <w:overflowPunct w:val="0"/>
        <w:topLinePunct w:val="0"/>
        <w:autoSpaceDE w:val="0"/>
        <w:autoSpaceDN w:val="0"/>
        <w:bidi w:val="0"/>
        <w:adjustRightInd w:val="0"/>
        <w:snapToGrid w:val="0"/>
        <w:spacing w:line="580" w:lineRule="exact"/>
        <w:ind w:firstLine="640" w:firstLineChars="200"/>
        <w:textAlignment w:val="baseline"/>
        <w:rPr>
          <w:rFonts w:ascii="仿宋_GB2312" w:hAnsi="仿宋_GB2312" w:eastAsia="仿宋_GB2312" w:cs="仿宋_GB2312"/>
          <w:b w:val="0"/>
          <w:bCs w:val="0"/>
          <w:color w:val="000000"/>
          <w:sz w:val="32"/>
          <w:szCs w:val="32"/>
          <w:lang w:bidi="ar"/>
        </w:rPr>
      </w:pPr>
      <w:bookmarkStart w:id="169" w:name="_Toc1522659731_WPSOffice_Level2"/>
      <w:bookmarkStart w:id="170" w:name="_Toc520223157_WPSOffice_Level2"/>
      <w:bookmarkStart w:id="171" w:name="_Toc2105999876_WPSOffice_Level2"/>
      <w:r>
        <w:rPr>
          <w:rFonts w:hint="eastAsia" w:ascii="仿宋_GB2312" w:hAnsi="仿宋_GB2312" w:eastAsia="仿宋_GB2312" w:cs="仿宋_GB2312"/>
          <w:b w:val="0"/>
          <w:bCs w:val="0"/>
          <w:color w:val="000000"/>
          <w:sz w:val="32"/>
          <w:szCs w:val="32"/>
          <w:lang w:bidi="ar"/>
        </w:rPr>
        <w:t>（1）</w:t>
      </w:r>
      <w:r>
        <w:rPr>
          <w:rFonts w:hint="eastAsia" w:ascii="仿宋_GB2312" w:hAnsi="仿宋_GB2312" w:eastAsia="仿宋_GB2312" w:cs="仿宋_GB2312"/>
          <w:b w:val="0"/>
          <w:bCs w:val="0"/>
          <w:color w:val="000000"/>
          <w:sz w:val="32"/>
          <w:szCs w:val="32"/>
          <w:lang w:val="en-US" w:eastAsia="zh-CN" w:bidi="ar"/>
        </w:rPr>
        <w:t>社会</w:t>
      </w:r>
      <w:r>
        <w:rPr>
          <w:rFonts w:hint="eastAsia" w:ascii="仿宋_GB2312" w:hAnsi="仿宋_GB2312" w:eastAsia="仿宋_GB2312" w:cs="仿宋_GB2312"/>
          <w:b w:val="0"/>
          <w:bCs w:val="0"/>
          <w:color w:val="000000"/>
          <w:sz w:val="32"/>
          <w:szCs w:val="32"/>
          <w:lang w:bidi="ar"/>
        </w:rPr>
        <w:t>效益</w:t>
      </w:r>
      <w:bookmarkEnd w:id="169"/>
      <w:bookmarkEnd w:id="170"/>
      <w:bookmarkEnd w:id="171"/>
    </w:p>
    <w:p>
      <w:pPr>
        <w:keepNext w:val="0"/>
        <w:keepLines w:val="0"/>
        <w:pageBreakBefore w:val="0"/>
        <w:widowControl/>
        <w:kinsoku/>
        <w:wordWrap/>
        <w:overflowPunct w:val="0"/>
        <w:topLinePunct w:val="0"/>
        <w:autoSpaceDE w:val="0"/>
        <w:autoSpaceDN w:val="0"/>
        <w:bidi w:val="0"/>
        <w:adjustRightInd w:val="0"/>
        <w:snapToGrid w:val="0"/>
        <w:spacing w:line="580" w:lineRule="exact"/>
        <w:ind w:firstLine="640" w:firstLineChars="200"/>
        <w:textAlignment w:val="baseline"/>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①</w:t>
      </w:r>
      <w:r>
        <w:rPr>
          <w:rFonts w:hint="eastAsia" w:ascii="仿宋_GB2312" w:eastAsia="仿宋_GB2312" w:cs="仿宋_GB2312"/>
          <w:sz w:val="32"/>
          <w:szCs w:val="32"/>
        </w:rPr>
        <w:t>居民用水更加方便。根据现场调研及项目单位汇报等情况</w:t>
      </w:r>
      <w:r>
        <w:rPr>
          <w:rFonts w:hint="eastAsia" w:ascii="仿宋_GB2312" w:eastAsia="仿宋_GB2312" w:cs="仿宋_GB2312"/>
          <w:sz w:val="32"/>
          <w:szCs w:val="32"/>
          <w:lang w:eastAsia="zh-CN"/>
        </w:rPr>
        <w:t>反映</w:t>
      </w:r>
      <w:r>
        <w:rPr>
          <w:rFonts w:hint="eastAsia" w:ascii="仿宋_GB2312" w:eastAsia="仿宋_GB2312" w:cs="仿宋_GB2312"/>
          <w:sz w:val="32"/>
          <w:szCs w:val="32"/>
        </w:rPr>
        <w:t>，各项目通过水管入户或建立集中供水点（居民取水往返时间不超过10分钟）等措施，提高了居民用水方便程度</w:t>
      </w:r>
      <w:r>
        <w:rPr>
          <w:rFonts w:ascii="仿宋_GB2312" w:hAnsi="仿宋_GB2312" w:eastAsia="仿宋_GB2312" w:cs="仿宋_GB2312"/>
          <w:sz w:val="32"/>
          <w:szCs w:val="32"/>
          <w:lang w:bidi="ar"/>
        </w:rPr>
        <w:t>。</w:t>
      </w:r>
    </w:p>
    <w:p>
      <w:pPr>
        <w:keepNext w:val="0"/>
        <w:keepLines w:val="0"/>
        <w:pageBreakBefore w:val="0"/>
        <w:widowControl/>
        <w:kinsoku/>
        <w:wordWrap/>
        <w:overflowPunct w:val="0"/>
        <w:topLinePunct w:val="0"/>
        <w:autoSpaceDE w:val="0"/>
        <w:autoSpaceDN w:val="0"/>
        <w:bidi w:val="0"/>
        <w:adjustRightInd w:val="0"/>
        <w:snapToGrid w:val="0"/>
        <w:spacing w:line="580" w:lineRule="exact"/>
        <w:ind w:firstLine="640" w:firstLineChars="200"/>
        <w:textAlignment w:val="baseline"/>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②</w:t>
      </w:r>
      <w:r>
        <w:rPr>
          <w:rFonts w:hint="eastAsia" w:ascii="仿宋_GB2312" w:eastAsia="仿宋_GB2312" w:cs="仿宋_GB2312"/>
          <w:sz w:val="32"/>
          <w:szCs w:val="32"/>
        </w:rPr>
        <w:t>提高居民生产生活水平。项目实施为居民生活提供了便利，改善了饮用水水质，提高了供水保障程度，改善了居民生产生活条件</w:t>
      </w:r>
      <w:r>
        <w:rPr>
          <w:rFonts w:ascii="仿宋_GB2312" w:hAnsi="仿宋_GB2312" w:eastAsia="仿宋_GB2312" w:cs="仿宋_GB2312"/>
          <w:sz w:val="32"/>
          <w:szCs w:val="32"/>
          <w:lang w:bidi="ar"/>
        </w:rPr>
        <w:t>。</w:t>
      </w:r>
    </w:p>
    <w:p>
      <w:pPr>
        <w:keepNext w:val="0"/>
        <w:keepLines w:val="0"/>
        <w:pageBreakBefore w:val="0"/>
        <w:widowControl/>
        <w:numPr>
          <w:ilvl w:val="0"/>
          <w:numId w:val="1"/>
        </w:numPr>
        <w:kinsoku/>
        <w:wordWrap/>
        <w:overflowPunct w:val="0"/>
        <w:topLinePunct w:val="0"/>
        <w:autoSpaceDE w:val="0"/>
        <w:autoSpaceDN w:val="0"/>
        <w:bidi w:val="0"/>
        <w:adjustRightInd w:val="0"/>
        <w:snapToGrid w:val="0"/>
        <w:spacing w:line="580" w:lineRule="exact"/>
        <w:ind w:firstLine="640" w:firstLineChars="200"/>
        <w:textAlignment w:val="baseline"/>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val="en-US" w:eastAsia="zh-CN" w:bidi="ar"/>
        </w:rPr>
        <w:t>生态</w:t>
      </w:r>
      <w:r>
        <w:rPr>
          <w:rFonts w:hint="eastAsia" w:ascii="仿宋_GB2312" w:hAnsi="仿宋_GB2312" w:eastAsia="仿宋_GB2312" w:cs="仿宋_GB2312"/>
          <w:color w:val="000000"/>
          <w:sz w:val="32"/>
          <w:szCs w:val="32"/>
          <w:lang w:bidi="ar"/>
        </w:rPr>
        <w:t>效益</w:t>
      </w:r>
    </w:p>
    <w:p>
      <w:pPr>
        <w:keepNext w:val="0"/>
        <w:keepLines w:val="0"/>
        <w:pageBreakBefore w:val="0"/>
        <w:widowControl/>
        <w:kinsoku/>
        <w:wordWrap/>
        <w:overflowPunct w:val="0"/>
        <w:topLinePunct w:val="0"/>
        <w:autoSpaceDE w:val="0"/>
        <w:autoSpaceDN w:val="0"/>
        <w:bidi w:val="0"/>
        <w:adjustRightInd w:val="0"/>
        <w:snapToGrid w:val="0"/>
        <w:spacing w:line="580" w:lineRule="exact"/>
        <w:ind w:firstLine="640" w:firstLineChars="200"/>
        <w:textAlignment w:val="baseline"/>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①</w:t>
      </w:r>
      <w:r>
        <w:rPr>
          <w:rFonts w:hint="eastAsia" w:ascii="仿宋_GB2312" w:eastAsia="仿宋_GB2312" w:cs="仿宋_GB2312"/>
          <w:sz w:val="32"/>
          <w:szCs w:val="32"/>
        </w:rPr>
        <w:t>水质提升程度。</w:t>
      </w:r>
      <w:r>
        <w:rPr>
          <w:rFonts w:hint="eastAsia" w:ascii="仿宋_GB2312" w:eastAsia="仿宋_GB2312" w:cs="仿宋_GB2312"/>
          <w:sz w:val="32"/>
          <w:szCs w:val="32"/>
          <w:lang w:val="en-US" w:eastAsia="zh-CN"/>
        </w:rPr>
        <w:t>通过</w:t>
      </w:r>
      <w:r>
        <w:rPr>
          <w:rFonts w:hint="eastAsia" w:ascii="仿宋_GB2312" w:eastAsia="仿宋_GB2312" w:cs="仿宋_GB2312"/>
          <w:sz w:val="32"/>
          <w:szCs w:val="32"/>
        </w:rPr>
        <w:t>现场调研及项目单位汇报</w:t>
      </w:r>
      <w:r>
        <w:rPr>
          <w:rFonts w:hint="eastAsia" w:ascii="仿宋_GB2312" w:eastAsia="仿宋_GB2312" w:cs="仿宋_GB2312"/>
          <w:sz w:val="32"/>
          <w:szCs w:val="32"/>
          <w:lang w:val="en-US" w:eastAsia="zh-CN"/>
        </w:rPr>
        <w:t>资料</w:t>
      </w:r>
      <w:r>
        <w:rPr>
          <w:rFonts w:hint="eastAsia" w:ascii="仿宋_GB2312" w:eastAsia="仿宋_GB2312" w:cs="仿宋_GB2312"/>
          <w:sz w:val="32"/>
          <w:szCs w:val="32"/>
        </w:rPr>
        <w:t>等情况，</w:t>
      </w:r>
      <w:r>
        <w:rPr>
          <w:rFonts w:hint="eastAsia" w:ascii="仿宋_GB2312" w:eastAsia="仿宋_GB2312" w:cs="仿宋_GB2312"/>
          <w:sz w:val="32"/>
          <w:szCs w:val="32"/>
          <w:lang w:val="en-US" w:eastAsia="zh-CN"/>
        </w:rPr>
        <w:t>项目实施单位未提供相应的水质监测报告</w:t>
      </w:r>
      <w:r>
        <w:rPr>
          <w:rFonts w:ascii="仿宋_GB2312" w:hAnsi="仿宋_GB2312" w:eastAsia="仿宋_GB2312" w:cs="仿宋_GB2312"/>
          <w:sz w:val="32"/>
          <w:szCs w:val="32"/>
          <w:lang w:bidi="ar"/>
        </w:rPr>
        <w:t>。</w:t>
      </w:r>
    </w:p>
    <w:p>
      <w:pPr>
        <w:keepNext w:val="0"/>
        <w:keepLines w:val="0"/>
        <w:pageBreakBefore w:val="0"/>
        <w:widowControl/>
        <w:kinsoku/>
        <w:wordWrap/>
        <w:overflowPunct w:val="0"/>
        <w:topLinePunct w:val="0"/>
        <w:autoSpaceDE w:val="0"/>
        <w:autoSpaceDN w:val="0"/>
        <w:bidi w:val="0"/>
        <w:adjustRightInd w:val="0"/>
        <w:snapToGrid w:val="0"/>
        <w:spacing w:line="580" w:lineRule="exact"/>
        <w:ind w:firstLine="640" w:firstLineChars="200"/>
        <w:textAlignment w:val="baseline"/>
      </w:pPr>
      <w:r>
        <w:rPr>
          <w:rFonts w:hint="eastAsia" w:ascii="仿宋_GB2312" w:hAnsi="仿宋_GB2312" w:eastAsia="仿宋_GB2312" w:cs="仿宋_GB2312"/>
          <w:sz w:val="32"/>
          <w:szCs w:val="32"/>
          <w:lang w:bidi="ar"/>
        </w:rPr>
        <w:t>②</w:t>
      </w:r>
      <w:r>
        <w:rPr>
          <w:rFonts w:hint="eastAsia" w:ascii="仿宋_GB2312" w:eastAsia="仿宋_GB2312" w:cs="仿宋_GB2312"/>
          <w:sz w:val="32"/>
          <w:szCs w:val="32"/>
          <w:highlight w:val="none"/>
        </w:rPr>
        <w:t>水源保护情况良好</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生态环境局山亭分局</w:t>
      </w:r>
      <w:r>
        <w:rPr>
          <w:rFonts w:hint="eastAsia" w:ascii="仿宋_GB2312" w:eastAsia="仿宋_GB2312" w:cs="仿宋_GB2312"/>
          <w:sz w:val="32"/>
          <w:szCs w:val="32"/>
        </w:rPr>
        <w:t>制定</w:t>
      </w:r>
      <w:r>
        <w:rPr>
          <w:rFonts w:hint="eastAsia" w:ascii="仿宋_GB2312" w:eastAsia="仿宋_GB2312" w:cs="仿宋_GB2312"/>
          <w:sz w:val="32"/>
          <w:szCs w:val="32"/>
          <w:lang w:val="en-US" w:eastAsia="zh-CN"/>
        </w:rPr>
        <w:t>颁布</w:t>
      </w:r>
      <w:r>
        <w:rPr>
          <w:rFonts w:hint="eastAsia" w:ascii="仿宋_GB2312" w:eastAsia="仿宋_GB2312" w:cs="仿宋_GB2312"/>
          <w:sz w:val="32"/>
          <w:szCs w:val="32"/>
        </w:rPr>
        <w:t>了</w:t>
      </w:r>
      <w:r>
        <w:rPr>
          <w:rFonts w:hint="eastAsia" w:ascii="仿宋_GB2312" w:eastAsia="仿宋_GB2312" w:cs="仿宋_GB2312"/>
          <w:sz w:val="32"/>
          <w:szCs w:val="32"/>
          <w:lang w:val="en-US" w:eastAsia="zh-CN"/>
        </w:rPr>
        <w:t>《关于建立农村环境综合整治长效管理机制的意见》、《农村环境综合整治长效运行机制》等相关文件，</w:t>
      </w:r>
      <w:r>
        <w:rPr>
          <w:rFonts w:hint="eastAsia" w:ascii="仿宋_GB2312" w:eastAsia="仿宋_GB2312" w:cs="仿宋_GB2312"/>
          <w:sz w:val="32"/>
          <w:szCs w:val="32"/>
        </w:rPr>
        <w:t>明确了保护区的划分原则，采取了设立地理界标、警示标志和隔离设施等保护措施，现场调研时水源周边未发现污染水源等情况，水源保护效果明显。</w:t>
      </w:r>
    </w:p>
    <w:p>
      <w:pPr>
        <w:keepNext w:val="0"/>
        <w:keepLines w:val="0"/>
        <w:pageBreakBefore w:val="0"/>
        <w:widowControl/>
        <w:kinsoku/>
        <w:wordWrap/>
        <w:overflowPunct w:val="0"/>
        <w:topLinePunct w:val="0"/>
        <w:autoSpaceDE w:val="0"/>
        <w:autoSpaceDN w:val="0"/>
        <w:bidi w:val="0"/>
        <w:adjustRightInd w:val="0"/>
        <w:snapToGrid w:val="0"/>
        <w:spacing w:line="580" w:lineRule="exact"/>
        <w:ind w:firstLine="640" w:firstLineChars="200"/>
        <w:textAlignment w:val="baseline"/>
        <w:rPr>
          <w:rFonts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③可持续影响</w:t>
      </w:r>
    </w:p>
    <w:p>
      <w:pPr>
        <w:keepNext w:val="0"/>
        <w:keepLines w:val="0"/>
        <w:pageBreakBefore w:val="0"/>
        <w:widowControl/>
        <w:kinsoku/>
        <w:wordWrap/>
        <w:overflowPunct w:val="0"/>
        <w:topLinePunct w:val="0"/>
        <w:autoSpaceDE w:val="0"/>
        <w:autoSpaceDN w:val="0"/>
        <w:bidi w:val="0"/>
        <w:adjustRightInd w:val="0"/>
        <w:snapToGrid w:val="0"/>
        <w:spacing w:line="580" w:lineRule="exact"/>
        <w:ind w:firstLine="640" w:firstLineChars="200"/>
        <w:textAlignment w:val="baseline"/>
        <w:rPr>
          <w:rFonts w:hint="eastAsia" w:ascii="仿宋_GB2312" w:eastAsia="仿宋_GB2312" w:cs="仿宋_GB2312"/>
          <w:sz w:val="32"/>
          <w:szCs w:val="32"/>
        </w:rPr>
      </w:pPr>
      <w:r>
        <w:rPr>
          <w:rFonts w:hint="eastAsia" w:ascii="仿宋_GB2312" w:eastAsia="仿宋_GB2312" w:cs="仿宋_GB2312"/>
          <w:sz w:val="32"/>
          <w:szCs w:val="32"/>
        </w:rPr>
        <w:t>项目具有良好的可持续性。一方面，</w:t>
      </w:r>
      <w:r>
        <w:rPr>
          <w:rFonts w:hint="eastAsia" w:ascii="仿宋_GB2312" w:eastAsia="仿宋_GB2312" w:cs="仿宋_GB2312"/>
          <w:sz w:val="32"/>
          <w:szCs w:val="32"/>
          <w:lang w:val="en-US" w:eastAsia="zh-CN"/>
        </w:rPr>
        <w:t>生态环境局山亭分局</w:t>
      </w:r>
      <w:r>
        <w:rPr>
          <w:rFonts w:hint="eastAsia" w:ascii="仿宋_GB2312" w:eastAsia="仿宋_GB2312" w:cs="仿宋_GB2312"/>
          <w:sz w:val="32"/>
          <w:szCs w:val="32"/>
        </w:rPr>
        <w:t>制定</w:t>
      </w:r>
      <w:r>
        <w:rPr>
          <w:rFonts w:hint="eastAsia" w:ascii="仿宋_GB2312" w:eastAsia="仿宋_GB2312" w:cs="仿宋_GB2312"/>
          <w:sz w:val="32"/>
          <w:szCs w:val="32"/>
          <w:lang w:val="en-US" w:eastAsia="zh-CN"/>
        </w:rPr>
        <w:t>颁布</w:t>
      </w:r>
      <w:r>
        <w:rPr>
          <w:rFonts w:hint="eastAsia" w:ascii="仿宋_GB2312" w:eastAsia="仿宋_GB2312" w:cs="仿宋_GB2312"/>
          <w:sz w:val="32"/>
          <w:szCs w:val="32"/>
        </w:rPr>
        <w:t>了</w:t>
      </w:r>
      <w:r>
        <w:rPr>
          <w:rFonts w:hint="eastAsia" w:ascii="仿宋_GB2312" w:eastAsia="仿宋_GB2312" w:cs="仿宋_GB2312"/>
          <w:sz w:val="32"/>
          <w:szCs w:val="32"/>
          <w:lang w:val="en-US" w:eastAsia="zh-CN"/>
        </w:rPr>
        <w:t>《关于建立农村环境综合整治长效管理机制的意见》、《农村环境综合整治长效运行机制》等相关文件</w:t>
      </w:r>
      <w:r>
        <w:rPr>
          <w:rFonts w:hint="eastAsia" w:ascii="仿宋_GB2312" w:eastAsia="仿宋_GB2312" w:cs="仿宋_GB2312"/>
          <w:sz w:val="32"/>
          <w:szCs w:val="32"/>
        </w:rPr>
        <w:t>，项目可持续运行长效机制基本健全。另一方面，通过项目实施，水源水质得到</w:t>
      </w:r>
      <w:r>
        <w:rPr>
          <w:rFonts w:hint="eastAsia" w:ascii="仿宋_GB2312" w:eastAsia="仿宋_GB2312" w:cs="仿宋_GB2312"/>
          <w:sz w:val="32"/>
          <w:szCs w:val="32"/>
          <w:lang w:val="en-US" w:eastAsia="zh-CN"/>
        </w:rPr>
        <w:t>了保护</w:t>
      </w:r>
      <w:r>
        <w:rPr>
          <w:rFonts w:hint="eastAsia" w:ascii="仿宋_GB2312" w:eastAsia="仿宋_GB2312" w:cs="仿宋_GB2312"/>
          <w:sz w:val="32"/>
          <w:szCs w:val="32"/>
        </w:rPr>
        <w:t>，减少了居民疾病发生率，提高了居民生活水平；节约了水资源，促进了城乡的社会和谐，预期项目后续运行及效益发挥可持续性较高。</w:t>
      </w:r>
    </w:p>
    <w:p>
      <w:pPr>
        <w:keepNext w:val="0"/>
        <w:keepLines w:val="0"/>
        <w:pageBreakBefore w:val="0"/>
        <w:widowControl/>
        <w:kinsoku/>
        <w:wordWrap/>
        <w:overflowPunct w:val="0"/>
        <w:topLinePunct w:val="0"/>
        <w:autoSpaceDE w:val="0"/>
        <w:autoSpaceDN w:val="0"/>
        <w:bidi w:val="0"/>
        <w:adjustRightInd w:val="0"/>
        <w:snapToGrid w:val="0"/>
        <w:spacing w:line="580" w:lineRule="exact"/>
        <w:ind w:firstLine="640" w:firstLineChars="200"/>
        <w:textAlignment w:val="baseline"/>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④服务对象满意度</w:t>
      </w:r>
    </w:p>
    <w:p>
      <w:pPr>
        <w:keepNext w:val="0"/>
        <w:keepLines w:val="0"/>
        <w:pageBreakBefore w:val="0"/>
        <w:widowControl/>
        <w:kinsoku/>
        <w:wordWrap/>
        <w:overflowPunct w:val="0"/>
        <w:topLinePunct w:val="0"/>
        <w:autoSpaceDE w:val="0"/>
        <w:autoSpaceDN w:val="0"/>
        <w:bidi w:val="0"/>
        <w:adjustRightInd w:val="0"/>
        <w:snapToGrid w:val="0"/>
        <w:spacing w:line="580" w:lineRule="exact"/>
        <w:ind w:firstLine="640" w:firstLineChars="200"/>
        <w:textAlignment w:val="baseline"/>
        <w:rPr>
          <w:lang w:bidi="ar"/>
        </w:rPr>
      </w:pPr>
      <w:r>
        <w:rPr>
          <w:rFonts w:ascii="仿宋_GB2312" w:hAnsi="仿宋_GB2312" w:eastAsia="仿宋_GB2312" w:cs="仿宋_GB2312"/>
          <w:sz w:val="32"/>
          <w:szCs w:val="32"/>
          <w:lang w:bidi="ar"/>
        </w:rPr>
        <w:t>受益群众满意度93.</w:t>
      </w:r>
      <w:r>
        <w:rPr>
          <w:rFonts w:hint="eastAsia" w:ascii="仿宋_GB2312" w:hAnsi="仿宋_GB2312" w:eastAsia="仿宋_GB2312" w:cs="仿宋_GB2312"/>
          <w:sz w:val="32"/>
          <w:szCs w:val="32"/>
          <w:lang w:val="en-US" w:eastAsia="zh-CN" w:bidi="ar"/>
        </w:rPr>
        <w:t>75</w:t>
      </w:r>
      <w:r>
        <w:rPr>
          <w:rFonts w:ascii="仿宋_GB2312" w:hAnsi="仿宋_GB2312" w:eastAsia="仿宋_GB2312" w:cs="仿宋_GB2312"/>
          <w:sz w:val="32"/>
          <w:szCs w:val="32"/>
          <w:lang w:bidi="ar"/>
        </w:rPr>
        <w:t>%。</w:t>
      </w:r>
      <w:r>
        <w:rPr>
          <w:rFonts w:hint="eastAsia" w:ascii="仿宋_GB2312" w:hAnsi="仿宋_GB2312" w:eastAsia="仿宋_GB2312" w:cs="仿宋_GB2312"/>
          <w:sz w:val="32"/>
          <w:szCs w:val="32"/>
          <w:lang w:bidi="ar"/>
        </w:rPr>
        <w:t>此次评价对</w:t>
      </w:r>
      <w:r>
        <w:rPr>
          <w:rFonts w:ascii="仿宋_GB2312" w:hAnsi="仿宋_GB2312" w:eastAsia="仿宋_GB2312" w:cs="仿宋_GB2312"/>
          <w:sz w:val="32"/>
          <w:szCs w:val="32"/>
          <w:lang w:bidi="ar"/>
        </w:rPr>
        <w:t>枣庄市市民共</w:t>
      </w:r>
      <w:r>
        <w:rPr>
          <w:rFonts w:hint="eastAsia" w:ascii="仿宋_GB2312" w:hAnsi="仿宋_GB2312" w:eastAsia="仿宋_GB2312" w:cs="仿宋_GB2312"/>
          <w:sz w:val="32"/>
          <w:szCs w:val="32"/>
          <w:lang w:bidi="ar"/>
        </w:rPr>
        <w:t>发放调查问卷共</w:t>
      </w:r>
      <w:r>
        <w:rPr>
          <w:rFonts w:ascii="仿宋_GB2312" w:hAnsi="仿宋_GB2312" w:eastAsia="仿宋_GB2312" w:cs="仿宋_GB2312"/>
          <w:sz w:val="32"/>
          <w:szCs w:val="32"/>
          <w:lang w:bidi="ar"/>
        </w:rPr>
        <w:t>2</w:t>
      </w:r>
      <w:r>
        <w:rPr>
          <w:rFonts w:hint="eastAsia" w:ascii="仿宋_GB2312" w:hAnsi="仿宋_GB2312" w:eastAsia="仿宋_GB2312" w:cs="仿宋_GB2312"/>
          <w:sz w:val="32"/>
          <w:szCs w:val="32"/>
          <w:lang w:val="en-US" w:eastAsia="zh-CN" w:bidi="ar"/>
        </w:rPr>
        <w:t>0</w:t>
      </w:r>
      <w:r>
        <w:rPr>
          <w:rFonts w:ascii="仿宋_GB2312" w:hAnsi="仿宋_GB2312" w:eastAsia="仿宋_GB2312" w:cs="仿宋_GB2312"/>
          <w:sz w:val="32"/>
          <w:szCs w:val="32"/>
          <w:lang w:bidi="ar"/>
        </w:rPr>
        <w:t>9</w:t>
      </w:r>
      <w:r>
        <w:rPr>
          <w:rFonts w:hint="eastAsia" w:ascii="仿宋_GB2312" w:hAnsi="仿宋_GB2312" w:eastAsia="仿宋_GB2312" w:cs="仿宋_GB2312"/>
          <w:sz w:val="32"/>
          <w:szCs w:val="32"/>
          <w:lang w:bidi="ar"/>
        </w:rPr>
        <w:t>份，</w:t>
      </w:r>
      <w:r>
        <w:rPr>
          <w:rFonts w:hint="eastAsia" w:ascii="仿宋_GB2312" w:eastAsia="仿宋_GB2312" w:cs="仿宋_GB2312"/>
          <w:sz w:val="32"/>
          <w:szCs w:val="32"/>
        </w:rPr>
        <w:t>通过对调查问卷进行统计分析，结果显示，受益群众平均满意度为9</w:t>
      </w:r>
      <w:r>
        <w:rPr>
          <w:rFonts w:hint="eastAsia" w:ascii="仿宋_GB2312" w:eastAsia="仿宋_GB2312" w:cs="仿宋_GB2312"/>
          <w:sz w:val="32"/>
          <w:szCs w:val="32"/>
          <w:lang w:val="en-US" w:eastAsia="zh-CN"/>
        </w:rPr>
        <w:t>3.75</w:t>
      </w:r>
      <w:r>
        <w:rPr>
          <w:rFonts w:hint="eastAsia" w:ascii="仿宋_GB2312" w:eastAsia="仿宋_GB2312" w:cs="仿宋_GB2312"/>
          <w:sz w:val="32"/>
          <w:szCs w:val="32"/>
        </w:rPr>
        <w:t>%。农村饮水安全项目得到了受益群众的肯定。</w:t>
      </w:r>
    </w:p>
    <w:p>
      <w:pPr>
        <w:keepNext w:val="0"/>
        <w:keepLines w:val="0"/>
        <w:pageBreakBefore w:val="0"/>
        <w:widowControl/>
        <w:kinsoku/>
        <w:wordWrap/>
        <w:overflowPunct w:val="0"/>
        <w:topLinePunct w:val="0"/>
        <w:autoSpaceDE w:val="0"/>
        <w:autoSpaceDN w:val="0"/>
        <w:bidi w:val="0"/>
        <w:adjustRightInd w:val="0"/>
        <w:spacing w:line="580" w:lineRule="exact"/>
        <w:ind w:firstLine="640" w:firstLineChars="200"/>
        <w:textAlignment w:val="baseline"/>
        <w:outlineLvl w:val="0"/>
        <w:rPr>
          <w:rFonts w:ascii="黑体" w:hAnsi="黑体" w:eastAsia="黑体" w:cs="黑体"/>
          <w:b w:val="0"/>
          <w:bCs w:val="0"/>
          <w:sz w:val="32"/>
          <w:szCs w:val="32"/>
          <w:lang w:bidi="ar"/>
        </w:rPr>
      </w:pPr>
      <w:bookmarkStart w:id="172" w:name="_Toc1855551514_WPSOffice_Level1"/>
      <w:bookmarkStart w:id="173" w:name="_Toc1298603348_WPSOffice_Level1"/>
      <w:bookmarkStart w:id="174" w:name="_Toc1789799330"/>
      <w:bookmarkStart w:id="175" w:name="_Toc14407"/>
      <w:r>
        <w:rPr>
          <w:rFonts w:ascii="黑体" w:hAnsi="黑体" w:eastAsia="黑体" w:cs="黑体"/>
          <w:b w:val="0"/>
          <w:bCs w:val="0"/>
          <w:sz w:val="32"/>
          <w:szCs w:val="32"/>
          <w:lang w:bidi="ar"/>
        </w:rPr>
        <w:t>五</w:t>
      </w:r>
      <w:r>
        <w:rPr>
          <w:rFonts w:hint="eastAsia" w:ascii="黑体" w:hAnsi="黑体" w:eastAsia="黑体" w:cs="黑体"/>
          <w:b w:val="0"/>
          <w:bCs w:val="0"/>
          <w:sz w:val="32"/>
          <w:szCs w:val="32"/>
          <w:lang w:bidi="ar"/>
        </w:rPr>
        <w:t>、项目主要绩效</w:t>
      </w:r>
      <w:bookmarkEnd w:id="172"/>
      <w:bookmarkEnd w:id="173"/>
      <w:bookmarkEnd w:id="174"/>
      <w:bookmarkEnd w:id="175"/>
    </w:p>
    <w:p>
      <w:pPr>
        <w:keepNext w:val="0"/>
        <w:keepLines w:val="0"/>
        <w:pageBreakBefore w:val="0"/>
        <w:widowControl/>
        <w:kinsoku/>
        <w:wordWrap/>
        <w:overflowPunct w:val="0"/>
        <w:topLinePunct w:val="0"/>
        <w:autoSpaceDE w:val="0"/>
        <w:autoSpaceDN w:val="0"/>
        <w:bidi w:val="0"/>
        <w:adjustRightInd w:val="0"/>
        <w:spacing w:line="580" w:lineRule="exact"/>
        <w:ind w:firstLine="640" w:firstLineChars="200"/>
        <w:textAlignment w:val="baseline"/>
        <w:rPr>
          <w:rFonts w:hint="eastAsia" w:ascii="楷体_GB2312" w:hAnsi="楷体_GB2312" w:eastAsia="楷体_GB2312" w:cs="楷体_GB2312"/>
          <w:b w:val="0"/>
          <w:bCs w:val="0"/>
          <w:sz w:val="32"/>
          <w:szCs w:val="32"/>
          <w:lang w:bidi="ar"/>
        </w:rPr>
      </w:pPr>
      <w:bookmarkStart w:id="176" w:name="_Toc1114162569_WPSOffice_Level2"/>
      <w:bookmarkStart w:id="177" w:name="_Toc1052402166"/>
      <w:bookmarkStart w:id="178" w:name="_Toc1353895781"/>
      <w:bookmarkStart w:id="179" w:name="_Toc1826568268_WPSOffice_Level2"/>
      <w:bookmarkStart w:id="180" w:name="_Toc886127152_WPSOffice_Level2"/>
      <w:bookmarkStart w:id="181" w:name="_Toc237100448_WPSOffice_Level2"/>
      <w:bookmarkStart w:id="182" w:name="_Toc1478230384_WPSOffice_Level2"/>
      <w:bookmarkStart w:id="183" w:name="_Toc175152006_WPSOffice_Level2"/>
      <w:bookmarkStart w:id="184" w:name="_Toc633239126_WPSOffice_Level2"/>
      <w:r>
        <w:rPr>
          <w:rFonts w:hint="eastAsia" w:ascii="楷体_GB2312" w:hAnsi="楷体_GB2312" w:eastAsia="楷体_GB2312" w:cs="楷体_GB2312"/>
          <w:b w:val="0"/>
          <w:bCs w:val="0"/>
          <w:sz w:val="32"/>
          <w:szCs w:val="32"/>
          <w:lang w:val="zh-CN" w:bidi="ar"/>
        </w:rPr>
        <w:t>（一）</w:t>
      </w:r>
      <w:bookmarkEnd w:id="176"/>
      <w:bookmarkEnd w:id="177"/>
      <w:bookmarkEnd w:id="178"/>
      <w:bookmarkEnd w:id="179"/>
      <w:bookmarkEnd w:id="180"/>
      <w:bookmarkEnd w:id="181"/>
      <w:bookmarkEnd w:id="182"/>
      <w:bookmarkEnd w:id="183"/>
      <w:bookmarkEnd w:id="184"/>
      <w:r>
        <w:rPr>
          <w:rFonts w:hint="eastAsia" w:ascii="楷体_GB2312" w:hAnsi="楷体_GB2312" w:eastAsia="楷体_GB2312" w:cs="楷体_GB2312"/>
          <w:b w:val="0"/>
          <w:bCs w:val="0"/>
          <w:sz w:val="32"/>
          <w:szCs w:val="32"/>
          <w:lang w:val="en-US" w:eastAsia="zh-CN" w:bidi="ar"/>
        </w:rPr>
        <w:t>产出绩效显著</w:t>
      </w:r>
    </w:p>
    <w:p>
      <w:pPr>
        <w:keepNext w:val="0"/>
        <w:keepLines w:val="0"/>
        <w:pageBreakBefore w:val="0"/>
        <w:widowControl/>
        <w:kinsoku/>
        <w:wordWrap/>
        <w:overflowPunct w:val="0"/>
        <w:topLinePunct w:val="0"/>
        <w:autoSpaceDE w:val="0"/>
        <w:autoSpaceDN w:val="0"/>
        <w:bidi w:val="0"/>
        <w:adjustRightInd w:val="0"/>
        <w:spacing w:line="580" w:lineRule="exact"/>
        <w:ind w:firstLine="640" w:firstLineChars="200"/>
        <w:textAlignment w:val="baseline"/>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实际完成</w:t>
      </w:r>
      <w:r>
        <w:rPr>
          <w:rFonts w:hint="eastAsia" w:ascii="仿宋_GB2312" w:hAnsi="仿宋_GB2312" w:eastAsia="仿宋_GB2312" w:cs="仿宋_GB2312"/>
          <w:sz w:val="32"/>
          <w:szCs w:val="32"/>
          <w:lang w:bidi="ar"/>
        </w:rPr>
        <w:t>桑村镇、山城办、凫城镇、北庄镇、徐庄镇、水泉镇、城头镇、冯卯镇、店子镇等9个镇街的63个村庄</w:t>
      </w:r>
      <w:r>
        <w:rPr>
          <w:rFonts w:hint="eastAsia" w:ascii="仿宋_GB2312" w:hAnsi="仿宋_GB2312" w:eastAsia="仿宋_GB2312" w:cs="仿宋_GB2312"/>
          <w:sz w:val="32"/>
          <w:szCs w:val="32"/>
          <w:lang w:val="en-US" w:eastAsia="zh-CN" w:bidi="ar"/>
        </w:rPr>
        <w:t>交通警示牌安装252个、界标安装252个、宣传牌安装126个、完善保护区内导流系统63套、清除保护区内杂草草垛63处</w:t>
      </w:r>
      <w:r>
        <w:rPr>
          <w:rFonts w:ascii="仿宋_GB2312" w:hAnsi="仿宋_GB2312" w:eastAsia="仿宋_GB2312" w:cs="仿宋_GB2312"/>
          <w:sz w:val="32"/>
          <w:szCs w:val="32"/>
          <w:lang w:bidi="ar"/>
        </w:rPr>
        <w:t>。</w:t>
      </w:r>
    </w:p>
    <w:p>
      <w:pPr>
        <w:keepNext w:val="0"/>
        <w:keepLines w:val="0"/>
        <w:pageBreakBefore w:val="0"/>
        <w:widowControl/>
        <w:numPr>
          <w:ilvl w:val="0"/>
          <w:numId w:val="2"/>
        </w:numPr>
        <w:kinsoku/>
        <w:wordWrap/>
        <w:overflowPunct w:val="0"/>
        <w:topLinePunct w:val="0"/>
        <w:autoSpaceDE w:val="0"/>
        <w:autoSpaceDN w:val="0"/>
        <w:bidi w:val="0"/>
        <w:adjustRightInd w:val="0"/>
        <w:spacing w:line="580" w:lineRule="exact"/>
        <w:ind w:firstLine="640" w:firstLineChars="200"/>
        <w:textAlignment w:val="baseline"/>
        <w:rPr>
          <w:rFonts w:hint="eastAsia" w:ascii="楷体_GB2312" w:hAnsi="楷体_GB2312" w:eastAsia="楷体_GB2312" w:cs="楷体_GB2312"/>
          <w:b w:val="0"/>
          <w:bCs w:val="0"/>
          <w:sz w:val="32"/>
          <w:szCs w:val="32"/>
          <w:lang w:bidi="ar"/>
        </w:rPr>
      </w:pPr>
      <w:bookmarkStart w:id="185" w:name="_Toc750165375_WPSOffice_Level1"/>
      <w:bookmarkStart w:id="186" w:name="_Toc878545437"/>
      <w:bookmarkStart w:id="187" w:name="_Toc496774064_WPSOffice_Level1"/>
      <w:r>
        <w:rPr>
          <w:rFonts w:hint="eastAsia" w:ascii="楷体_GB2312" w:hAnsi="楷体_GB2312" w:eastAsia="楷体_GB2312" w:cs="楷体_GB2312"/>
          <w:b w:val="0"/>
          <w:bCs w:val="0"/>
          <w:sz w:val="32"/>
          <w:szCs w:val="32"/>
          <w:lang w:val="en-US" w:eastAsia="zh-CN" w:bidi="ar"/>
        </w:rPr>
        <w:t>效益绩效明显</w:t>
      </w:r>
      <w:r>
        <w:rPr>
          <w:rFonts w:hint="eastAsia" w:ascii="楷体_GB2312" w:hAnsi="楷体_GB2312" w:eastAsia="楷体_GB2312" w:cs="楷体_GB2312"/>
          <w:b w:val="0"/>
          <w:bCs w:val="0"/>
          <w:sz w:val="32"/>
          <w:szCs w:val="32"/>
          <w:lang w:bidi="ar"/>
        </w:rPr>
        <w:t>。</w:t>
      </w:r>
    </w:p>
    <w:p>
      <w:pPr>
        <w:keepNext w:val="0"/>
        <w:keepLines w:val="0"/>
        <w:pageBreakBefore w:val="0"/>
        <w:widowControl/>
        <w:kinsoku/>
        <w:wordWrap/>
        <w:overflowPunct w:val="0"/>
        <w:topLinePunct w:val="0"/>
        <w:autoSpaceDE w:val="0"/>
        <w:autoSpaceDN w:val="0"/>
        <w:bidi w:val="0"/>
        <w:adjustRightInd w:val="0"/>
        <w:spacing w:line="580" w:lineRule="exact"/>
        <w:ind w:firstLine="640" w:firstLineChars="200"/>
        <w:textAlignment w:val="baseline"/>
        <w:rPr>
          <w:rFonts w:ascii="仿宋_GB2312" w:hAnsi="仿宋_GB2312" w:eastAsia="仿宋_GB2312" w:cs="仿宋_GB2312"/>
          <w:sz w:val="32"/>
          <w:szCs w:val="32"/>
          <w:lang w:bidi="ar"/>
        </w:rPr>
      </w:pPr>
      <w:bookmarkStart w:id="188" w:name="_Toc15886"/>
      <w:r>
        <w:rPr>
          <w:rFonts w:hint="eastAsia" w:ascii="仿宋_GB2312" w:eastAsia="仿宋_GB2312" w:cs="仿宋_GB2312"/>
          <w:sz w:val="32"/>
          <w:szCs w:val="32"/>
        </w:rPr>
        <w:t>1.社会效益较明显。项目实施为居民生活提供了便利，改善了饮用水水质，提高了供水保障程度，改善了居民生产生活条件</w:t>
      </w:r>
      <w:r>
        <w:rPr>
          <w:rFonts w:ascii="仿宋_GB2312" w:hAnsi="仿宋_GB2312" w:eastAsia="仿宋_GB2312" w:cs="仿宋_GB2312"/>
          <w:sz w:val="32"/>
          <w:szCs w:val="32"/>
          <w:lang w:bidi="ar"/>
        </w:rPr>
        <w:t>。</w:t>
      </w:r>
    </w:p>
    <w:p>
      <w:pPr>
        <w:keepNext w:val="0"/>
        <w:keepLines w:val="0"/>
        <w:pageBreakBefore w:val="0"/>
        <w:widowControl/>
        <w:numPr>
          <w:ilvl w:val="0"/>
          <w:numId w:val="0"/>
        </w:numPr>
        <w:kinsoku/>
        <w:wordWrap/>
        <w:overflowPunct w:val="0"/>
        <w:topLinePunct w:val="0"/>
        <w:autoSpaceDE w:val="0"/>
        <w:autoSpaceDN w:val="0"/>
        <w:bidi w:val="0"/>
        <w:adjustRightInd w:val="0"/>
        <w:spacing w:line="580" w:lineRule="exact"/>
        <w:ind w:firstLine="640" w:firstLineChars="200"/>
        <w:textAlignment w:val="baseline"/>
        <w:rPr>
          <w:rFonts w:hint="eastAsia" w:ascii="仿宋_GB2312" w:eastAsia="仿宋_GB2312" w:cs="仿宋_GB2312"/>
          <w:sz w:val="32"/>
          <w:szCs w:val="32"/>
          <w:lang w:eastAsia="zh-CN"/>
        </w:rPr>
      </w:pPr>
      <w:r>
        <w:rPr>
          <w:rFonts w:hint="eastAsia" w:ascii="仿宋_GB2312" w:eastAsia="仿宋_GB2312" w:cs="仿宋_GB2312"/>
          <w:sz w:val="32"/>
          <w:szCs w:val="32"/>
        </w:rPr>
        <w:t>2.</w:t>
      </w:r>
      <w:r>
        <w:rPr>
          <w:rFonts w:hint="eastAsia" w:ascii="仿宋_GB2312" w:hAnsi="仿宋_GB2312" w:eastAsia="仿宋_GB2312" w:cs="仿宋_GB2312"/>
          <w:color w:val="000000"/>
          <w:sz w:val="32"/>
          <w:szCs w:val="32"/>
          <w:lang w:val="en-US" w:eastAsia="zh-CN" w:bidi="ar"/>
        </w:rPr>
        <w:t>生态</w:t>
      </w:r>
      <w:r>
        <w:rPr>
          <w:rFonts w:hint="eastAsia" w:ascii="仿宋_GB2312" w:hAnsi="仿宋_GB2312" w:eastAsia="仿宋_GB2312" w:cs="仿宋_GB2312"/>
          <w:color w:val="000000"/>
          <w:sz w:val="32"/>
          <w:szCs w:val="32"/>
          <w:lang w:bidi="ar"/>
        </w:rPr>
        <w:t>效益</w:t>
      </w:r>
      <w:r>
        <w:rPr>
          <w:rFonts w:hint="eastAsia" w:ascii="仿宋_GB2312" w:eastAsia="仿宋_GB2312" w:cs="仿宋_GB2312"/>
          <w:sz w:val="32"/>
          <w:szCs w:val="32"/>
        </w:rPr>
        <w:t>较突出。</w:t>
      </w:r>
      <w:r>
        <w:rPr>
          <w:rFonts w:hint="eastAsia" w:ascii="仿宋_GB2312" w:eastAsia="仿宋_GB2312" w:cs="仿宋_GB2312"/>
          <w:sz w:val="32"/>
          <w:szCs w:val="32"/>
          <w:lang w:val="en-US" w:eastAsia="zh-CN"/>
        </w:rPr>
        <w:t>生态环境局山亭分局</w:t>
      </w:r>
      <w:r>
        <w:rPr>
          <w:rFonts w:hint="eastAsia" w:ascii="仿宋_GB2312" w:eastAsia="仿宋_GB2312" w:cs="仿宋_GB2312"/>
          <w:sz w:val="32"/>
          <w:szCs w:val="32"/>
        </w:rPr>
        <w:t>制定</w:t>
      </w:r>
      <w:r>
        <w:rPr>
          <w:rFonts w:hint="eastAsia" w:ascii="仿宋_GB2312" w:eastAsia="仿宋_GB2312" w:cs="仿宋_GB2312"/>
          <w:sz w:val="32"/>
          <w:szCs w:val="32"/>
          <w:lang w:val="en-US" w:eastAsia="zh-CN"/>
        </w:rPr>
        <w:t>颁布</w:t>
      </w:r>
      <w:r>
        <w:rPr>
          <w:rFonts w:hint="eastAsia" w:ascii="仿宋_GB2312" w:eastAsia="仿宋_GB2312" w:cs="仿宋_GB2312"/>
          <w:sz w:val="32"/>
          <w:szCs w:val="32"/>
        </w:rPr>
        <w:t>了</w:t>
      </w:r>
      <w:r>
        <w:rPr>
          <w:rFonts w:hint="eastAsia" w:ascii="仿宋_GB2312" w:eastAsia="仿宋_GB2312" w:cs="仿宋_GB2312"/>
          <w:sz w:val="32"/>
          <w:szCs w:val="32"/>
          <w:lang w:val="en-US" w:eastAsia="zh-CN"/>
        </w:rPr>
        <w:t>《关于建立农村环境综合整治长效管理机制的意见》、《农村环境综合整治长效运行机制》等相关文件，</w:t>
      </w:r>
      <w:r>
        <w:rPr>
          <w:rFonts w:hint="eastAsia" w:ascii="仿宋_GB2312" w:eastAsia="仿宋_GB2312" w:cs="仿宋_GB2312"/>
          <w:sz w:val="32"/>
          <w:szCs w:val="32"/>
        </w:rPr>
        <w:t>明确了保护区的划分原则，采取了设立地理界标、警示标志和隔离设施等保护措施，现场调研时水源周边未发现污染水源等情况，水源保护效果明显</w:t>
      </w:r>
      <w:r>
        <w:rPr>
          <w:rFonts w:hint="eastAsia" w:ascii="仿宋_GB2312" w:eastAsia="仿宋_GB2312" w:cs="仿宋_GB2312"/>
          <w:sz w:val="32"/>
          <w:szCs w:val="32"/>
          <w:lang w:eastAsia="zh-CN"/>
        </w:rPr>
        <w:t>。</w:t>
      </w:r>
    </w:p>
    <w:p>
      <w:pPr>
        <w:keepNext w:val="0"/>
        <w:keepLines w:val="0"/>
        <w:pageBreakBefore w:val="0"/>
        <w:widowControl/>
        <w:kinsoku/>
        <w:wordWrap/>
        <w:overflowPunct w:val="0"/>
        <w:topLinePunct w:val="0"/>
        <w:autoSpaceDE w:val="0"/>
        <w:autoSpaceDN w:val="0"/>
        <w:bidi w:val="0"/>
        <w:adjustRightInd w:val="0"/>
        <w:spacing w:line="580" w:lineRule="exact"/>
        <w:ind w:firstLine="640" w:firstLineChars="200"/>
        <w:textAlignment w:val="baseline"/>
        <w:rPr>
          <w:rFonts w:hint="eastAsia" w:ascii="仿宋_GB2312" w:eastAsia="仿宋_GB2312" w:cs="仿宋_GB2312"/>
          <w:sz w:val="32"/>
          <w:szCs w:val="32"/>
        </w:rPr>
      </w:pPr>
      <w:r>
        <w:rPr>
          <w:rFonts w:hint="eastAsia" w:ascii="仿宋_GB2312" w:eastAsia="仿宋_GB2312" w:cs="仿宋_GB2312"/>
          <w:sz w:val="32"/>
          <w:szCs w:val="32"/>
        </w:rPr>
        <w:t>3.该项目效益可持续影响较显著。一方面，</w:t>
      </w:r>
      <w:r>
        <w:rPr>
          <w:rFonts w:hint="eastAsia" w:ascii="仿宋_GB2312" w:eastAsia="仿宋_GB2312" w:cs="仿宋_GB2312"/>
          <w:sz w:val="32"/>
          <w:szCs w:val="32"/>
          <w:lang w:val="en-US" w:eastAsia="zh-CN"/>
        </w:rPr>
        <w:t>生态环境局山亭分局</w:t>
      </w:r>
      <w:r>
        <w:rPr>
          <w:rFonts w:hint="eastAsia" w:ascii="仿宋_GB2312" w:eastAsia="仿宋_GB2312" w:cs="仿宋_GB2312"/>
          <w:sz w:val="32"/>
          <w:szCs w:val="32"/>
        </w:rPr>
        <w:t>制定</w:t>
      </w:r>
      <w:r>
        <w:rPr>
          <w:rFonts w:hint="eastAsia" w:ascii="仿宋_GB2312" w:eastAsia="仿宋_GB2312" w:cs="仿宋_GB2312"/>
          <w:sz w:val="32"/>
          <w:szCs w:val="32"/>
          <w:lang w:val="en-US" w:eastAsia="zh-CN"/>
        </w:rPr>
        <w:t>颁布</w:t>
      </w:r>
      <w:r>
        <w:rPr>
          <w:rFonts w:hint="eastAsia" w:ascii="仿宋_GB2312" w:eastAsia="仿宋_GB2312" w:cs="仿宋_GB2312"/>
          <w:sz w:val="32"/>
          <w:szCs w:val="32"/>
        </w:rPr>
        <w:t>了</w:t>
      </w:r>
      <w:r>
        <w:rPr>
          <w:rFonts w:hint="eastAsia" w:ascii="仿宋_GB2312" w:eastAsia="仿宋_GB2312" w:cs="仿宋_GB2312"/>
          <w:sz w:val="32"/>
          <w:szCs w:val="32"/>
          <w:lang w:val="en-US" w:eastAsia="zh-CN"/>
        </w:rPr>
        <w:t>《关于建立农村环境综合整治长效管理机制的意见》、《农村环境综合整治长效运行机制》等相关文件</w:t>
      </w:r>
      <w:r>
        <w:rPr>
          <w:rFonts w:hint="eastAsia" w:ascii="仿宋_GB2312" w:eastAsia="仿宋_GB2312" w:cs="仿宋_GB2312"/>
          <w:sz w:val="32"/>
          <w:szCs w:val="32"/>
        </w:rPr>
        <w:t>，项目可持续运行长效机制基本健全。另一方面，通过项目实施，水源水质得到</w:t>
      </w:r>
      <w:r>
        <w:rPr>
          <w:rFonts w:hint="eastAsia" w:ascii="仿宋_GB2312" w:eastAsia="仿宋_GB2312" w:cs="仿宋_GB2312"/>
          <w:sz w:val="32"/>
          <w:szCs w:val="32"/>
          <w:lang w:val="en-US" w:eastAsia="zh-CN"/>
        </w:rPr>
        <w:t>了保护</w:t>
      </w:r>
      <w:r>
        <w:rPr>
          <w:rFonts w:hint="eastAsia" w:ascii="仿宋_GB2312" w:eastAsia="仿宋_GB2312" w:cs="仿宋_GB2312"/>
          <w:sz w:val="32"/>
          <w:szCs w:val="32"/>
        </w:rPr>
        <w:t>，减少了居民疾病发生率，提高了居民生活水平；节约了水资源，促进了城乡的社会和谐，预期项目后续运行及效益发挥可持续性较高。</w:t>
      </w:r>
    </w:p>
    <w:p>
      <w:pPr>
        <w:keepNext w:val="0"/>
        <w:keepLines w:val="0"/>
        <w:pageBreakBefore w:val="0"/>
        <w:widowControl/>
        <w:numPr>
          <w:ilvl w:val="0"/>
          <w:numId w:val="0"/>
        </w:numPr>
        <w:kinsoku/>
        <w:wordWrap/>
        <w:overflowPunct w:val="0"/>
        <w:topLinePunct w:val="0"/>
        <w:autoSpaceDE w:val="0"/>
        <w:autoSpaceDN w:val="0"/>
        <w:bidi w:val="0"/>
        <w:adjustRightInd w:val="0"/>
        <w:spacing w:line="580" w:lineRule="exact"/>
        <w:ind w:firstLine="640" w:firstLineChars="200"/>
        <w:textAlignment w:val="baseline"/>
        <w:outlineLvl w:val="0"/>
        <w:rPr>
          <w:rFonts w:hint="eastAsia" w:ascii="黑体" w:hAnsi="黑体" w:eastAsia="黑体" w:cs="黑体"/>
          <w:color w:val="000000"/>
          <w:sz w:val="32"/>
          <w:szCs w:val="32"/>
          <w:lang w:bidi="ar"/>
        </w:rPr>
      </w:pPr>
      <w:r>
        <w:rPr>
          <w:rFonts w:hint="eastAsia" w:ascii="黑体" w:hAnsi="黑体" w:eastAsia="黑体" w:cs="黑体"/>
          <w:color w:val="000000"/>
          <w:sz w:val="32"/>
          <w:szCs w:val="32"/>
          <w:lang w:val="en-US" w:eastAsia="zh-CN" w:bidi="ar"/>
        </w:rPr>
        <w:t>六、</w:t>
      </w:r>
      <w:r>
        <w:rPr>
          <w:rFonts w:hint="eastAsia" w:ascii="黑体" w:hAnsi="黑体" w:eastAsia="黑体" w:cs="黑体"/>
          <w:color w:val="000000"/>
          <w:sz w:val="32"/>
          <w:szCs w:val="32"/>
          <w:lang w:bidi="ar"/>
        </w:rPr>
        <w:t>存在的问题和</w:t>
      </w:r>
      <w:r>
        <w:rPr>
          <w:rFonts w:ascii="黑体" w:hAnsi="黑体" w:eastAsia="黑体" w:cs="黑体"/>
          <w:color w:val="000000"/>
          <w:sz w:val="32"/>
          <w:szCs w:val="32"/>
          <w:lang w:bidi="ar"/>
        </w:rPr>
        <w:t>建议</w:t>
      </w:r>
      <w:bookmarkEnd w:id="185"/>
      <w:bookmarkEnd w:id="186"/>
      <w:bookmarkEnd w:id="187"/>
      <w:bookmarkEnd w:id="188"/>
    </w:p>
    <w:p>
      <w:pPr>
        <w:keepNext w:val="0"/>
        <w:keepLines w:val="0"/>
        <w:pageBreakBefore w:val="0"/>
        <w:widowControl/>
        <w:kinsoku/>
        <w:wordWrap/>
        <w:overflowPunct w:val="0"/>
        <w:topLinePunct w:val="0"/>
        <w:autoSpaceDE w:val="0"/>
        <w:autoSpaceDN w:val="0"/>
        <w:bidi w:val="0"/>
        <w:adjustRightInd w:val="0"/>
        <w:spacing w:line="580" w:lineRule="exact"/>
        <w:ind w:firstLine="640" w:firstLineChars="200"/>
        <w:textAlignment w:val="baseline"/>
        <w:rPr>
          <w:rFonts w:hint="default" w:ascii="黑体" w:hAnsi="黑体" w:eastAsia="仿宋_GB2312" w:cs="黑体"/>
          <w:color w:val="000000"/>
          <w:sz w:val="32"/>
          <w:szCs w:val="32"/>
          <w:lang w:val="en-US" w:eastAsia="zh-CN" w:bidi="ar"/>
        </w:rPr>
      </w:pPr>
      <w:r>
        <w:rPr>
          <w:rFonts w:hint="eastAsia" w:ascii="仿宋_GB2312" w:hAnsi="仿宋_GB2312" w:eastAsia="仿宋_GB2312" w:cs="仿宋_GB2312"/>
          <w:sz w:val="32"/>
          <w:szCs w:val="32"/>
          <w:lang w:bidi="ar"/>
        </w:rPr>
        <w:t>本次现场评价也发现</w:t>
      </w:r>
      <w:bookmarkStart w:id="189" w:name="_Toc1763086534"/>
      <w:bookmarkStart w:id="190" w:name="_Toc152966088_WPSOffice_Level1"/>
      <w:bookmarkStart w:id="191" w:name="_Toc2012757759_WPSOffice_Level1"/>
      <w:r>
        <w:rPr>
          <w:rFonts w:hint="eastAsia" w:ascii="仿宋_GB2312" w:hAnsi="仿宋_GB2312" w:eastAsia="仿宋_GB2312" w:cs="仿宋_GB2312"/>
          <w:sz w:val="32"/>
          <w:szCs w:val="32"/>
          <w:lang w:val="en-US" w:eastAsia="zh-CN" w:bidi="ar"/>
        </w:rPr>
        <w:t>生态环境局山亭分局在项目实施过程中并未进行详细分工，同时在施工过程中对项目实施的监督检查并未形成有效的过程文件，如会议纪要、监督检查记录等；在进行项目现场调研及资料收集时，项目实施单位并未提供相应的水质检测报告，暂无法确定项目点水质情况。建议项目实施单位在项目执行过程中加强项目实施管理，完善组织管理程序，加强项目信息收集，同时及时对项目点水样进行送检。</w:t>
      </w:r>
    </w:p>
    <w:p>
      <w:pPr>
        <w:keepNext w:val="0"/>
        <w:keepLines w:val="0"/>
        <w:pageBreakBefore w:val="0"/>
        <w:widowControl/>
        <w:kinsoku/>
        <w:wordWrap/>
        <w:overflowPunct w:val="0"/>
        <w:topLinePunct w:val="0"/>
        <w:autoSpaceDE w:val="0"/>
        <w:autoSpaceDN w:val="0"/>
        <w:bidi w:val="0"/>
        <w:adjustRightInd w:val="0"/>
        <w:spacing w:line="580" w:lineRule="exact"/>
        <w:ind w:firstLine="640" w:firstLineChars="200"/>
        <w:textAlignment w:val="baseline"/>
        <w:outlineLvl w:val="0"/>
        <w:rPr>
          <w:rFonts w:ascii="黑体" w:hAnsi="黑体" w:eastAsia="黑体" w:cs="黑体"/>
          <w:color w:val="000000"/>
          <w:sz w:val="32"/>
          <w:szCs w:val="32"/>
          <w:lang w:bidi="ar"/>
        </w:rPr>
      </w:pPr>
      <w:bookmarkStart w:id="192" w:name="_Toc10306"/>
      <w:r>
        <w:rPr>
          <w:rFonts w:hint="eastAsia" w:ascii="黑体" w:hAnsi="黑体" w:eastAsia="黑体" w:cs="黑体"/>
          <w:color w:val="000000"/>
          <w:sz w:val="32"/>
          <w:szCs w:val="32"/>
          <w:lang w:val="en-US" w:eastAsia="zh-CN" w:bidi="ar"/>
        </w:rPr>
        <w:t>七</w:t>
      </w:r>
      <w:r>
        <w:rPr>
          <w:rFonts w:hint="eastAsia" w:ascii="黑体" w:hAnsi="黑体" w:eastAsia="黑体" w:cs="黑体"/>
          <w:color w:val="000000"/>
          <w:sz w:val="32"/>
          <w:szCs w:val="32"/>
          <w:lang w:bidi="ar"/>
        </w:rPr>
        <w:t>、本报告的局限性</w:t>
      </w:r>
      <w:bookmarkEnd w:id="189"/>
      <w:bookmarkEnd w:id="190"/>
      <w:bookmarkEnd w:id="191"/>
      <w:bookmarkEnd w:id="192"/>
    </w:p>
    <w:p>
      <w:pPr>
        <w:keepNext w:val="0"/>
        <w:keepLines w:val="0"/>
        <w:pageBreakBefore w:val="0"/>
        <w:widowControl/>
        <w:kinsoku/>
        <w:wordWrap/>
        <w:overflowPunct w:val="0"/>
        <w:topLinePunct w:val="0"/>
        <w:autoSpaceDE w:val="0"/>
        <w:autoSpaceDN w:val="0"/>
        <w:bidi w:val="0"/>
        <w:adjustRightInd w:val="0"/>
        <w:spacing w:line="580" w:lineRule="exact"/>
        <w:ind w:firstLine="640" w:firstLineChars="200"/>
        <w:textAlignment w:val="baseline"/>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本报告所基于的数据具有一定的局限性，主要体现在以下两个方面：</w:t>
      </w:r>
    </w:p>
    <w:p>
      <w:pPr>
        <w:keepNext w:val="0"/>
        <w:keepLines w:val="0"/>
        <w:pageBreakBefore w:val="0"/>
        <w:widowControl/>
        <w:kinsoku/>
        <w:wordWrap/>
        <w:overflowPunct w:val="0"/>
        <w:topLinePunct w:val="0"/>
        <w:autoSpaceDE w:val="0"/>
        <w:autoSpaceDN w:val="0"/>
        <w:bidi w:val="0"/>
        <w:adjustRightInd w:val="0"/>
        <w:spacing w:line="580" w:lineRule="exact"/>
        <w:ind w:firstLine="640" w:firstLineChars="200"/>
        <w:textAlignment w:val="baseline"/>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一是本次评价所收集数据的真实性是基于各项目单位提供的资料具有真实性和可靠性，数据统计和分析工作是在假设所有信息都是在项目实施过程中实际发生的基础上进行的。</w:t>
      </w:r>
    </w:p>
    <w:p>
      <w:pPr>
        <w:keepNext w:val="0"/>
        <w:keepLines w:val="0"/>
        <w:pageBreakBefore w:val="0"/>
        <w:widowControl/>
        <w:kinsoku/>
        <w:wordWrap/>
        <w:overflowPunct w:val="0"/>
        <w:topLinePunct w:val="0"/>
        <w:autoSpaceDE w:val="0"/>
        <w:autoSpaceDN w:val="0"/>
        <w:bidi w:val="0"/>
        <w:adjustRightInd w:val="0"/>
        <w:spacing w:line="580" w:lineRule="exact"/>
        <w:ind w:firstLine="640" w:firstLineChars="200"/>
        <w:textAlignment w:val="baseline"/>
        <w:rPr>
          <w:rFonts w:ascii="仿宋_GB2312" w:hAnsi="仿宋_GB2312" w:eastAsia="仿宋_GB2312" w:cs="仿宋_GB2312"/>
          <w:color w:val="0000FF"/>
          <w:sz w:val="32"/>
          <w:szCs w:val="32"/>
          <w:lang w:bidi="ar"/>
        </w:rPr>
      </w:pPr>
      <w:r>
        <w:rPr>
          <w:rFonts w:hint="eastAsia" w:ascii="仿宋_GB2312" w:hAnsi="仿宋_GB2312" w:eastAsia="仿宋_GB2312" w:cs="仿宋_GB2312"/>
          <w:color w:val="auto"/>
          <w:sz w:val="32"/>
          <w:szCs w:val="32"/>
          <w:lang w:bidi="ar"/>
        </w:rPr>
        <w:t>二是本报告在对评价结果分析时所陈述的没有提供资料是指，项目单位在评价期间未能及时向评价组提供所需资料，不代表项目单位在项目实施过程中没有收集或整理相关信息。</w:t>
      </w:r>
    </w:p>
    <w:p>
      <w:pPr>
        <w:keepNext w:val="0"/>
        <w:keepLines w:val="0"/>
        <w:pageBreakBefore w:val="0"/>
        <w:widowControl/>
        <w:numPr>
          <w:ilvl w:val="255"/>
          <w:numId w:val="0"/>
        </w:numPr>
        <w:kinsoku/>
        <w:wordWrap/>
        <w:overflowPunct w:val="0"/>
        <w:topLinePunct w:val="0"/>
        <w:autoSpaceDE w:val="0"/>
        <w:autoSpaceDN w:val="0"/>
        <w:bidi w:val="0"/>
        <w:adjustRightInd w:val="0"/>
        <w:spacing w:line="580" w:lineRule="exact"/>
        <w:ind w:firstLine="640" w:firstLineChars="200"/>
        <w:textAlignment w:val="baseline"/>
        <w:outlineLvl w:val="0"/>
        <w:rPr>
          <w:rFonts w:ascii="黑体" w:hAnsi="黑体" w:eastAsia="黑体" w:cs="黑体"/>
          <w:color w:val="000000"/>
          <w:sz w:val="32"/>
          <w:szCs w:val="32"/>
          <w:lang w:bidi="ar"/>
        </w:rPr>
      </w:pPr>
      <w:bookmarkStart w:id="193" w:name="_Toc1216015632"/>
      <w:bookmarkStart w:id="194" w:name="_Toc16635"/>
      <w:bookmarkStart w:id="195" w:name="_Toc1257247969_WPSOffice_Level1"/>
      <w:bookmarkStart w:id="196" w:name="_Toc363115557_WPSOffice_Level1"/>
      <w:r>
        <w:rPr>
          <w:rFonts w:hint="eastAsia" w:ascii="黑体" w:hAnsi="黑体" w:eastAsia="黑体" w:cs="黑体"/>
          <w:color w:val="000000"/>
          <w:sz w:val="32"/>
          <w:szCs w:val="32"/>
          <w:lang w:val="en-US" w:eastAsia="zh-CN" w:bidi="ar"/>
        </w:rPr>
        <w:t>八</w:t>
      </w:r>
      <w:r>
        <w:rPr>
          <w:rFonts w:hint="eastAsia" w:ascii="黑体" w:hAnsi="黑体" w:eastAsia="黑体" w:cs="黑体"/>
          <w:color w:val="000000"/>
          <w:sz w:val="32"/>
          <w:szCs w:val="32"/>
          <w:lang w:bidi="ar"/>
        </w:rPr>
        <w:t>、附件</w:t>
      </w:r>
      <w:bookmarkEnd w:id="193"/>
      <w:bookmarkEnd w:id="194"/>
      <w:bookmarkEnd w:id="195"/>
      <w:bookmarkEnd w:id="196"/>
    </w:p>
    <w:p>
      <w:pPr>
        <w:keepNext w:val="0"/>
        <w:keepLines w:val="0"/>
        <w:pageBreakBefore w:val="0"/>
        <w:widowControl/>
        <w:kinsoku/>
        <w:wordWrap/>
        <w:overflowPunct w:val="0"/>
        <w:topLinePunct w:val="0"/>
        <w:autoSpaceDE w:val="0"/>
        <w:autoSpaceDN w:val="0"/>
        <w:bidi w:val="0"/>
        <w:adjustRightInd w:val="0"/>
        <w:snapToGrid/>
        <w:spacing w:line="580" w:lineRule="exact"/>
        <w:ind w:firstLine="640" w:firstLineChars="200"/>
        <w:textAlignment w:val="baseline"/>
        <w:rPr>
          <w:rFonts w:hint="eastAsia" w:ascii="仿宋_GB2312" w:hAnsi="仿宋_GB2312" w:eastAsia="仿宋_GB2312" w:cs="仿宋_GB2312"/>
          <w:sz w:val="32"/>
          <w:szCs w:val="32"/>
          <w:lang w:val="en-US" w:eastAsia="zh-CN" w:bidi="ar"/>
        </w:rPr>
      </w:pPr>
      <w:bookmarkStart w:id="197" w:name="_Toc1729154765_WPSOffice_Level1"/>
      <w:bookmarkStart w:id="198" w:name="_Toc1935886438_WPSOffice_Level2"/>
      <w:bookmarkStart w:id="199" w:name="_Toc1948441656_WPSOffice_Level2"/>
      <w:bookmarkStart w:id="200" w:name="_Toc1681642071_WPSOffice_Level2"/>
      <w:bookmarkStart w:id="201" w:name="_Toc986019086_WPSOffice_Level2"/>
      <w:bookmarkStart w:id="202" w:name="_Toc1246491259_WPSOffice_Level2"/>
      <w:r>
        <w:rPr>
          <w:rFonts w:ascii="仿宋_GB2312" w:hAnsi="仿宋_GB2312" w:eastAsia="仿宋_GB2312" w:cs="仿宋_GB2312"/>
          <w:sz w:val="32"/>
          <w:szCs w:val="32"/>
          <w:lang w:bidi="ar"/>
        </w:rPr>
        <w:t>1.</w:t>
      </w:r>
      <w:bookmarkEnd w:id="197"/>
      <w:bookmarkEnd w:id="198"/>
      <w:bookmarkEnd w:id="199"/>
      <w:bookmarkEnd w:id="200"/>
      <w:bookmarkEnd w:id="201"/>
      <w:bookmarkEnd w:id="202"/>
      <w:r>
        <w:rPr>
          <w:rFonts w:hint="eastAsia" w:ascii="仿宋_GB2312" w:hAnsi="仿宋_GB2312" w:eastAsia="仿宋_GB2312" w:cs="仿宋_GB2312"/>
          <w:sz w:val="32"/>
          <w:szCs w:val="32"/>
          <w:lang w:bidi="ar"/>
        </w:rPr>
        <w:t>2018年度山亭区贫困村饮用水源地保护提升</w:t>
      </w:r>
      <w:r>
        <w:rPr>
          <w:rFonts w:hint="eastAsia" w:ascii="仿宋_GB2312" w:hAnsi="仿宋_GB2312" w:eastAsia="仿宋_GB2312" w:cs="仿宋_GB2312"/>
          <w:sz w:val="32"/>
          <w:szCs w:val="32"/>
          <w:lang w:val="en-US" w:eastAsia="zh-CN" w:bidi="ar"/>
        </w:rPr>
        <w:t>工程</w:t>
      </w:r>
      <w:r>
        <w:rPr>
          <w:rFonts w:hint="eastAsia" w:ascii="仿宋_GB2312" w:hAnsi="仿宋_GB2312" w:eastAsia="仿宋_GB2312" w:cs="仿宋_GB2312"/>
          <w:sz w:val="32"/>
          <w:szCs w:val="32"/>
          <w:lang w:bidi="ar"/>
        </w:rPr>
        <w:t>项目</w:t>
      </w:r>
      <w:r>
        <w:rPr>
          <w:rFonts w:hint="eastAsia" w:ascii="仿宋_GB2312" w:hAnsi="仿宋_GB2312" w:eastAsia="仿宋_GB2312" w:cs="仿宋_GB2312"/>
          <w:sz w:val="32"/>
          <w:szCs w:val="32"/>
          <w:lang w:val="en-US" w:eastAsia="zh-CN" w:bidi="ar"/>
        </w:rPr>
        <w:t>绩效评价指标体系</w:t>
      </w:r>
    </w:p>
    <w:p>
      <w:pPr>
        <w:keepNext w:val="0"/>
        <w:keepLines w:val="0"/>
        <w:pageBreakBefore w:val="0"/>
        <w:widowControl/>
        <w:kinsoku/>
        <w:wordWrap/>
        <w:overflowPunct w:val="0"/>
        <w:topLinePunct w:val="0"/>
        <w:autoSpaceDE w:val="0"/>
        <w:autoSpaceDN w:val="0"/>
        <w:bidi w:val="0"/>
        <w:adjustRightInd w:val="0"/>
        <w:snapToGrid/>
        <w:spacing w:line="580" w:lineRule="exact"/>
        <w:ind w:firstLine="640" w:firstLineChars="200"/>
        <w:textAlignment w:val="baseline"/>
        <w:rPr>
          <w:rFonts w:hint="default"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2.</w:t>
      </w:r>
      <w:r>
        <w:rPr>
          <w:rFonts w:hint="eastAsia" w:ascii="仿宋_GB2312" w:hAnsi="仿宋_GB2312" w:eastAsia="仿宋_GB2312" w:cs="仿宋_GB2312"/>
          <w:sz w:val="32"/>
          <w:szCs w:val="32"/>
          <w:lang w:bidi="ar"/>
        </w:rPr>
        <w:t>2018年度山亭区贫困村饮用水源地保护提升</w:t>
      </w:r>
      <w:r>
        <w:rPr>
          <w:rFonts w:hint="eastAsia" w:ascii="仿宋_GB2312" w:hAnsi="仿宋_GB2312" w:eastAsia="仿宋_GB2312" w:cs="仿宋_GB2312"/>
          <w:sz w:val="32"/>
          <w:szCs w:val="32"/>
          <w:lang w:val="en-US" w:eastAsia="zh-CN" w:bidi="ar"/>
        </w:rPr>
        <w:t>工程</w:t>
      </w:r>
      <w:r>
        <w:rPr>
          <w:rFonts w:hint="eastAsia" w:ascii="仿宋_GB2312" w:hAnsi="仿宋_GB2312" w:eastAsia="仿宋_GB2312" w:cs="仿宋_GB2312"/>
          <w:sz w:val="32"/>
          <w:szCs w:val="32"/>
          <w:lang w:bidi="ar"/>
        </w:rPr>
        <w:t>项目</w:t>
      </w:r>
      <w:r>
        <w:rPr>
          <w:rFonts w:hint="eastAsia" w:ascii="仿宋_GB2312" w:hAnsi="仿宋_GB2312" w:eastAsia="仿宋_GB2312" w:cs="仿宋_GB2312"/>
          <w:sz w:val="32"/>
          <w:szCs w:val="32"/>
          <w:lang w:val="en-US" w:eastAsia="zh-CN" w:bidi="ar"/>
        </w:rPr>
        <w:t>绩效评价评分意见表</w:t>
      </w:r>
    </w:p>
    <w:p>
      <w:pPr>
        <w:pStyle w:val="2"/>
        <w:keepNext w:val="0"/>
        <w:keepLines w:val="0"/>
        <w:pageBreakBefore w:val="0"/>
        <w:widowControl/>
        <w:kinsoku/>
        <w:wordWrap/>
        <w:overflowPunct w:val="0"/>
        <w:topLinePunct w:val="0"/>
        <w:autoSpaceDE w:val="0"/>
        <w:autoSpaceDN w:val="0"/>
        <w:bidi w:val="0"/>
        <w:adjustRightInd w:val="0"/>
        <w:snapToGrid/>
        <w:spacing w:line="580" w:lineRule="exact"/>
        <w:ind w:firstLine="420" w:firstLineChars="200"/>
        <w:textAlignment w:val="baseline"/>
        <w:rPr>
          <w:rFonts w:hint="default"/>
          <w:lang w:val="en-US" w:eastAsia="zh-CN"/>
        </w:rPr>
      </w:pPr>
    </w:p>
    <w:sectPr>
      <w:footerReference r:id="rId5" w:type="first"/>
      <w:footerReference r:id="rId4" w:type="default"/>
      <w:pgSz w:w="11907" w:h="16840"/>
      <w:pgMar w:top="2098" w:right="1418" w:bottom="1871" w:left="1531" w:header="851" w:footer="680" w:gutter="0"/>
      <w:pgNumType w:start="1"/>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FC32FF9-F702-406B-8AD5-02B344463E0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1F76BE05-B404-401A-864A-964C179A8674}"/>
  </w:font>
  <w:font w:name="文星简黑体">
    <w:altName w:val="黑体"/>
    <w:panose1 w:val="00000000000000000000"/>
    <w:charset w:val="86"/>
    <w:family w:val="auto"/>
    <w:pitch w:val="default"/>
    <w:sig w:usb0="00000000" w:usb1="00000000" w:usb2="00000000" w:usb3="00000000" w:csb0="00000000" w:csb1="00000000"/>
    <w:embedRegular r:id="rId3" w:fontKey="{B9AD8489-7A96-4369-8967-26173C23AE47}"/>
  </w:font>
  <w:font w:name="方正小标宋简体">
    <w:panose1 w:val="02000000000000000000"/>
    <w:charset w:val="86"/>
    <w:family w:val="script"/>
    <w:pitch w:val="default"/>
    <w:sig w:usb0="00000000" w:usb1="00000000" w:usb2="00000000" w:usb3="00000000" w:csb0="00000000" w:csb1="00000000"/>
    <w:embedRegular r:id="rId4" w:fontKey="{E879F238-FAAB-4AAA-A0C8-C86626F955B3}"/>
  </w:font>
  <w:font w:name="Microsoft YaHei UI">
    <w:panose1 w:val="020B0503020204020204"/>
    <w:charset w:val="86"/>
    <w:family w:val="swiss"/>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embedRegular r:id="rId5" w:fontKey="{7E63AE0F-C75D-4F0D-BEA6-51C701FE38C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jc w:val="center"/>
                          </w:pP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61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9"/>
                      <w:jc w:val="center"/>
                    </w:pPr>
                  </w:p>
                  <w:p/>
                </w:txbxContent>
              </v:textbox>
            </v:shape>
          </w:pict>
        </mc:Fallback>
      </mc:AlternateContent>
    </w:r>
    <w:r>
      <mc:AlternateContent>
        <mc:Choice Requires="wps">
          <w:drawing>
            <wp:anchor distT="0" distB="0" distL="114300" distR="114300" simplePos="0" relativeHeight="2516551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10421702"/>
                          </w:sdtPr>
                          <w:sdtContent>
                            <w:p>
                              <w:pPr>
                                <w:pStyle w:val="9"/>
                                <w:jc w:val="center"/>
                              </w:pP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51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sdt>
                    <w:sdtPr>
                      <w:id w:val="910421702"/>
                    </w:sdtPr>
                    <w:sdtContent>
                      <w:p>
                        <w:pPr>
                          <w:pStyle w:val="9"/>
                          <w:jc w:val="center"/>
                        </w:pPr>
                      </w:p>
                    </w:sdtContent>
                  </w:sdt>
                  <w:p/>
                </w:txbxContent>
              </v:textbox>
            </v:shape>
          </w:pict>
        </mc:Fallback>
      </mc:AlternateContent>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26</w:t>
                          </w:r>
                          <w:r>
                            <w:rPr>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26</w:t>
                    </w:r>
                    <w:r>
                      <w:rPr>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jc w:val="center"/>
                          </w:pP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9"/>
                      <w:jc w:val="center"/>
                    </w:pPr>
                  </w:p>
                  <w:p/>
                </w:txbxContent>
              </v:textbox>
            </v:shape>
          </w:pict>
        </mc:Fallback>
      </mc:AlternateContent>
    </w: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12843204"/>
                          </w:sdtPr>
                          <w:sdtContent>
                            <w:p>
                              <w:pPr>
                                <w:pStyle w:val="9"/>
                                <w:jc w:val="center"/>
                              </w:pP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72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id w:val="1212843204"/>
                    </w:sdtPr>
                    <w:sdtContent>
                      <w:p>
                        <w:pPr>
                          <w:pStyle w:val="9"/>
                          <w:jc w:val="center"/>
                        </w:pPr>
                      </w:p>
                    </w:sdtContent>
                  </w:sdt>
                  <w:p/>
                </w:txbxContent>
              </v:textbox>
            </v:shape>
          </w:pict>
        </mc:Fallback>
      </mc:AlternateContent>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C667618"/>
    <w:multiLevelType w:val="singleLevel"/>
    <w:tmpl w:val="DC667618"/>
    <w:lvl w:ilvl="0" w:tentative="0">
      <w:start w:val="2"/>
      <w:numFmt w:val="decimal"/>
      <w:suff w:val="nothing"/>
      <w:lvlText w:val="（%1）"/>
      <w:lvlJc w:val="left"/>
    </w:lvl>
  </w:abstractNum>
  <w:abstractNum w:abstractNumId="1">
    <w:nsid w:val="F46F0A0B"/>
    <w:multiLevelType w:val="singleLevel"/>
    <w:tmpl w:val="F46F0A0B"/>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8A8"/>
    <w:rsid w:val="00003A81"/>
    <w:rsid w:val="00006C80"/>
    <w:rsid w:val="00010B9F"/>
    <w:rsid w:val="00016160"/>
    <w:rsid w:val="00017238"/>
    <w:rsid w:val="00017335"/>
    <w:rsid w:val="000178FE"/>
    <w:rsid w:val="00020891"/>
    <w:rsid w:val="00020B04"/>
    <w:rsid w:val="00021F4D"/>
    <w:rsid w:val="00022DE9"/>
    <w:rsid w:val="00025FB7"/>
    <w:rsid w:val="000265B7"/>
    <w:rsid w:val="00027070"/>
    <w:rsid w:val="00032740"/>
    <w:rsid w:val="000357FF"/>
    <w:rsid w:val="00036AC1"/>
    <w:rsid w:val="00037366"/>
    <w:rsid w:val="0003786F"/>
    <w:rsid w:val="0004093C"/>
    <w:rsid w:val="000428A1"/>
    <w:rsid w:val="00042995"/>
    <w:rsid w:val="00042C08"/>
    <w:rsid w:val="0004428D"/>
    <w:rsid w:val="000468BD"/>
    <w:rsid w:val="0004794C"/>
    <w:rsid w:val="000538FA"/>
    <w:rsid w:val="000565DB"/>
    <w:rsid w:val="00057627"/>
    <w:rsid w:val="00057E80"/>
    <w:rsid w:val="00060C50"/>
    <w:rsid w:val="00062660"/>
    <w:rsid w:val="00062DF7"/>
    <w:rsid w:val="00063D53"/>
    <w:rsid w:val="00063DF6"/>
    <w:rsid w:val="00071B6A"/>
    <w:rsid w:val="000720AC"/>
    <w:rsid w:val="000740E7"/>
    <w:rsid w:val="00074610"/>
    <w:rsid w:val="000758BC"/>
    <w:rsid w:val="00076701"/>
    <w:rsid w:val="00077761"/>
    <w:rsid w:val="00077CBF"/>
    <w:rsid w:val="0008015F"/>
    <w:rsid w:val="00080F5A"/>
    <w:rsid w:val="00083E60"/>
    <w:rsid w:val="00085A33"/>
    <w:rsid w:val="00085A9D"/>
    <w:rsid w:val="000924A3"/>
    <w:rsid w:val="00092C14"/>
    <w:rsid w:val="00092F7A"/>
    <w:rsid w:val="00094FAB"/>
    <w:rsid w:val="00095547"/>
    <w:rsid w:val="000A032E"/>
    <w:rsid w:val="000A1578"/>
    <w:rsid w:val="000A1DAC"/>
    <w:rsid w:val="000A1F74"/>
    <w:rsid w:val="000A27DF"/>
    <w:rsid w:val="000A2932"/>
    <w:rsid w:val="000A4196"/>
    <w:rsid w:val="000A4B61"/>
    <w:rsid w:val="000A5862"/>
    <w:rsid w:val="000A71C9"/>
    <w:rsid w:val="000B0C99"/>
    <w:rsid w:val="000B0FF1"/>
    <w:rsid w:val="000B12F8"/>
    <w:rsid w:val="000B2E1F"/>
    <w:rsid w:val="000B671A"/>
    <w:rsid w:val="000B69ED"/>
    <w:rsid w:val="000B7829"/>
    <w:rsid w:val="000C05A8"/>
    <w:rsid w:val="000C3A7F"/>
    <w:rsid w:val="000C48F6"/>
    <w:rsid w:val="000C622D"/>
    <w:rsid w:val="000C7093"/>
    <w:rsid w:val="000C71A0"/>
    <w:rsid w:val="000C7CB5"/>
    <w:rsid w:val="000D0D07"/>
    <w:rsid w:val="000D47AD"/>
    <w:rsid w:val="000D7640"/>
    <w:rsid w:val="000D7C21"/>
    <w:rsid w:val="000E2AC9"/>
    <w:rsid w:val="000E2C0A"/>
    <w:rsid w:val="000E3DF4"/>
    <w:rsid w:val="000E49C8"/>
    <w:rsid w:val="000F4349"/>
    <w:rsid w:val="000F4814"/>
    <w:rsid w:val="000F5343"/>
    <w:rsid w:val="00103D14"/>
    <w:rsid w:val="00105B50"/>
    <w:rsid w:val="0011116A"/>
    <w:rsid w:val="0012101B"/>
    <w:rsid w:val="00123101"/>
    <w:rsid w:val="00123616"/>
    <w:rsid w:val="0012483E"/>
    <w:rsid w:val="0012708C"/>
    <w:rsid w:val="00130049"/>
    <w:rsid w:val="001302F7"/>
    <w:rsid w:val="0013091C"/>
    <w:rsid w:val="00132FD1"/>
    <w:rsid w:val="001376AE"/>
    <w:rsid w:val="00137747"/>
    <w:rsid w:val="00140C87"/>
    <w:rsid w:val="00140E41"/>
    <w:rsid w:val="00141415"/>
    <w:rsid w:val="00141C1B"/>
    <w:rsid w:val="001426D9"/>
    <w:rsid w:val="00142AAB"/>
    <w:rsid w:val="001439C9"/>
    <w:rsid w:val="001443C3"/>
    <w:rsid w:val="00150328"/>
    <w:rsid w:val="0015713C"/>
    <w:rsid w:val="0016124D"/>
    <w:rsid w:val="00164832"/>
    <w:rsid w:val="00165064"/>
    <w:rsid w:val="00166E7D"/>
    <w:rsid w:val="00167E13"/>
    <w:rsid w:val="0017043E"/>
    <w:rsid w:val="00172A27"/>
    <w:rsid w:val="001733DE"/>
    <w:rsid w:val="00176922"/>
    <w:rsid w:val="0017751B"/>
    <w:rsid w:val="001776F0"/>
    <w:rsid w:val="00177C6F"/>
    <w:rsid w:val="00181FD4"/>
    <w:rsid w:val="00182EF0"/>
    <w:rsid w:val="0018479E"/>
    <w:rsid w:val="00185451"/>
    <w:rsid w:val="00191001"/>
    <w:rsid w:val="00193D81"/>
    <w:rsid w:val="0019429F"/>
    <w:rsid w:val="00194841"/>
    <w:rsid w:val="00195D07"/>
    <w:rsid w:val="00196241"/>
    <w:rsid w:val="001970A5"/>
    <w:rsid w:val="001A0C94"/>
    <w:rsid w:val="001A15B3"/>
    <w:rsid w:val="001A2958"/>
    <w:rsid w:val="001A2B31"/>
    <w:rsid w:val="001A3E94"/>
    <w:rsid w:val="001A3FEB"/>
    <w:rsid w:val="001A6DCB"/>
    <w:rsid w:val="001B0160"/>
    <w:rsid w:val="001B23A1"/>
    <w:rsid w:val="001B2985"/>
    <w:rsid w:val="001B5A0E"/>
    <w:rsid w:val="001C1897"/>
    <w:rsid w:val="001C1C5E"/>
    <w:rsid w:val="001C22FE"/>
    <w:rsid w:val="001C2433"/>
    <w:rsid w:val="001C3994"/>
    <w:rsid w:val="001C45FA"/>
    <w:rsid w:val="001C524C"/>
    <w:rsid w:val="001C7CE2"/>
    <w:rsid w:val="001D3AD7"/>
    <w:rsid w:val="001D432F"/>
    <w:rsid w:val="001D5B26"/>
    <w:rsid w:val="001E1A16"/>
    <w:rsid w:val="001E355B"/>
    <w:rsid w:val="001F04AC"/>
    <w:rsid w:val="001F2CA3"/>
    <w:rsid w:val="001F3AA1"/>
    <w:rsid w:val="001F442B"/>
    <w:rsid w:val="001F7E49"/>
    <w:rsid w:val="00200896"/>
    <w:rsid w:val="002009A3"/>
    <w:rsid w:val="00205097"/>
    <w:rsid w:val="0020789A"/>
    <w:rsid w:val="00207F79"/>
    <w:rsid w:val="00210CD0"/>
    <w:rsid w:val="002117FD"/>
    <w:rsid w:val="00212C0F"/>
    <w:rsid w:val="00213469"/>
    <w:rsid w:val="00213AE2"/>
    <w:rsid w:val="002165E8"/>
    <w:rsid w:val="0022029E"/>
    <w:rsid w:val="00222512"/>
    <w:rsid w:val="0022626C"/>
    <w:rsid w:val="002330EB"/>
    <w:rsid w:val="00234806"/>
    <w:rsid w:val="00234DFD"/>
    <w:rsid w:val="00235B10"/>
    <w:rsid w:val="00236646"/>
    <w:rsid w:val="00241D76"/>
    <w:rsid w:val="00244119"/>
    <w:rsid w:val="00244CEE"/>
    <w:rsid w:val="0024568A"/>
    <w:rsid w:val="00245E70"/>
    <w:rsid w:val="00250BF2"/>
    <w:rsid w:val="0025332D"/>
    <w:rsid w:val="002565EA"/>
    <w:rsid w:val="002627B2"/>
    <w:rsid w:val="002658EB"/>
    <w:rsid w:val="00265C13"/>
    <w:rsid w:val="002713F9"/>
    <w:rsid w:val="00271F83"/>
    <w:rsid w:val="002831EF"/>
    <w:rsid w:val="002840E1"/>
    <w:rsid w:val="00284482"/>
    <w:rsid w:val="00284C1D"/>
    <w:rsid w:val="00287724"/>
    <w:rsid w:val="00292302"/>
    <w:rsid w:val="002939B8"/>
    <w:rsid w:val="00296033"/>
    <w:rsid w:val="002A022C"/>
    <w:rsid w:val="002A23AB"/>
    <w:rsid w:val="002A650B"/>
    <w:rsid w:val="002B0770"/>
    <w:rsid w:val="002B1371"/>
    <w:rsid w:val="002B166B"/>
    <w:rsid w:val="002B2673"/>
    <w:rsid w:val="002B7E2C"/>
    <w:rsid w:val="002C0448"/>
    <w:rsid w:val="002C16BE"/>
    <w:rsid w:val="002C56FC"/>
    <w:rsid w:val="002C7A15"/>
    <w:rsid w:val="002C7C19"/>
    <w:rsid w:val="002D5826"/>
    <w:rsid w:val="002D61BF"/>
    <w:rsid w:val="002E1CC8"/>
    <w:rsid w:val="002E45CE"/>
    <w:rsid w:val="002E5152"/>
    <w:rsid w:val="002E5EEA"/>
    <w:rsid w:val="002E64AA"/>
    <w:rsid w:val="002F26B6"/>
    <w:rsid w:val="002F3CE4"/>
    <w:rsid w:val="002F467D"/>
    <w:rsid w:val="002F6C38"/>
    <w:rsid w:val="002F76EF"/>
    <w:rsid w:val="00301E70"/>
    <w:rsid w:val="00302ED4"/>
    <w:rsid w:val="00304112"/>
    <w:rsid w:val="00313053"/>
    <w:rsid w:val="0031444E"/>
    <w:rsid w:val="003153B0"/>
    <w:rsid w:val="00322409"/>
    <w:rsid w:val="00322BFC"/>
    <w:rsid w:val="0032307F"/>
    <w:rsid w:val="00323801"/>
    <w:rsid w:val="0032396D"/>
    <w:rsid w:val="003242D6"/>
    <w:rsid w:val="00325618"/>
    <w:rsid w:val="0032603B"/>
    <w:rsid w:val="00326298"/>
    <w:rsid w:val="00326A32"/>
    <w:rsid w:val="00327C0A"/>
    <w:rsid w:val="00330D9C"/>
    <w:rsid w:val="003339B1"/>
    <w:rsid w:val="00335154"/>
    <w:rsid w:val="0033515F"/>
    <w:rsid w:val="0033621B"/>
    <w:rsid w:val="00340FDF"/>
    <w:rsid w:val="00342251"/>
    <w:rsid w:val="00342416"/>
    <w:rsid w:val="00343611"/>
    <w:rsid w:val="003454B2"/>
    <w:rsid w:val="00345C1D"/>
    <w:rsid w:val="00347666"/>
    <w:rsid w:val="00347EE8"/>
    <w:rsid w:val="00350793"/>
    <w:rsid w:val="00352FCF"/>
    <w:rsid w:val="0035359C"/>
    <w:rsid w:val="0036089C"/>
    <w:rsid w:val="0036524E"/>
    <w:rsid w:val="00366FA2"/>
    <w:rsid w:val="00370318"/>
    <w:rsid w:val="003703ED"/>
    <w:rsid w:val="003718BD"/>
    <w:rsid w:val="00372852"/>
    <w:rsid w:val="003729B9"/>
    <w:rsid w:val="00374729"/>
    <w:rsid w:val="003811C5"/>
    <w:rsid w:val="00385965"/>
    <w:rsid w:val="00387DEB"/>
    <w:rsid w:val="00387E88"/>
    <w:rsid w:val="0039000B"/>
    <w:rsid w:val="00397ABE"/>
    <w:rsid w:val="003A0ACF"/>
    <w:rsid w:val="003A35A5"/>
    <w:rsid w:val="003A3B24"/>
    <w:rsid w:val="003A4E41"/>
    <w:rsid w:val="003A584C"/>
    <w:rsid w:val="003A608F"/>
    <w:rsid w:val="003A6C27"/>
    <w:rsid w:val="003B2608"/>
    <w:rsid w:val="003B5AEE"/>
    <w:rsid w:val="003B5F6F"/>
    <w:rsid w:val="003B7ED0"/>
    <w:rsid w:val="003C4647"/>
    <w:rsid w:val="003C7A6B"/>
    <w:rsid w:val="003D2B75"/>
    <w:rsid w:val="003D4453"/>
    <w:rsid w:val="003D5E12"/>
    <w:rsid w:val="003D7A09"/>
    <w:rsid w:val="003E201A"/>
    <w:rsid w:val="003E2791"/>
    <w:rsid w:val="003E2B69"/>
    <w:rsid w:val="003E3E40"/>
    <w:rsid w:val="003E3FFE"/>
    <w:rsid w:val="003E5C3D"/>
    <w:rsid w:val="003E685D"/>
    <w:rsid w:val="003E6B70"/>
    <w:rsid w:val="003F2C23"/>
    <w:rsid w:val="003F5F64"/>
    <w:rsid w:val="003F6DBE"/>
    <w:rsid w:val="003F7525"/>
    <w:rsid w:val="003F7A7F"/>
    <w:rsid w:val="004026F6"/>
    <w:rsid w:val="004040EF"/>
    <w:rsid w:val="00406BF7"/>
    <w:rsid w:val="004129FA"/>
    <w:rsid w:val="004136F6"/>
    <w:rsid w:val="00414F34"/>
    <w:rsid w:val="004163EB"/>
    <w:rsid w:val="00417926"/>
    <w:rsid w:val="004229B4"/>
    <w:rsid w:val="004245EF"/>
    <w:rsid w:val="00425036"/>
    <w:rsid w:val="00425521"/>
    <w:rsid w:val="00426682"/>
    <w:rsid w:val="00430AF9"/>
    <w:rsid w:val="004311D0"/>
    <w:rsid w:val="0043237C"/>
    <w:rsid w:val="0043351B"/>
    <w:rsid w:val="00433679"/>
    <w:rsid w:val="004348F4"/>
    <w:rsid w:val="00436D0F"/>
    <w:rsid w:val="00441ACC"/>
    <w:rsid w:val="0044531B"/>
    <w:rsid w:val="00446A20"/>
    <w:rsid w:val="004479C4"/>
    <w:rsid w:val="00447DEA"/>
    <w:rsid w:val="00451A96"/>
    <w:rsid w:val="004553B8"/>
    <w:rsid w:val="0045624D"/>
    <w:rsid w:val="00457E1D"/>
    <w:rsid w:val="0046063A"/>
    <w:rsid w:val="00467515"/>
    <w:rsid w:val="0047479D"/>
    <w:rsid w:val="00477E81"/>
    <w:rsid w:val="00477FC8"/>
    <w:rsid w:val="00482C99"/>
    <w:rsid w:val="004840F4"/>
    <w:rsid w:val="004848E7"/>
    <w:rsid w:val="004857E6"/>
    <w:rsid w:val="004861A7"/>
    <w:rsid w:val="00486B44"/>
    <w:rsid w:val="00486E6F"/>
    <w:rsid w:val="0049076C"/>
    <w:rsid w:val="00491102"/>
    <w:rsid w:val="00493812"/>
    <w:rsid w:val="00495A12"/>
    <w:rsid w:val="00496234"/>
    <w:rsid w:val="0049702C"/>
    <w:rsid w:val="00497FBA"/>
    <w:rsid w:val="004A59B2"/>
    <w:rsid w:val="004A7120"/>
    <w:rsid w:val="004A7DFB"/>
    <w:rsid w:val="004B0E82"/>
    <w:rsid w:val="004B1063"/>
    <w:rsid w:val="004B372C"/>
    <w:rsid w:val="004B5DCA"/>
    <w:rsid w:val="004B63B2"/>
    <w:rsid w:val="004B69A8"/>
    <w:rsid w:val="004B7955"/>
    <w:rsid w:val="004C1946"/>
    <w:rsid w:val="004C2A62"/>
    <w:rsid w:val="004C3ED0"/>
    <w:rsid w:val="004C41AC"/>
    <w:rsid w:val="004C52F5"/>
    <w:rsid w:val="004C6CE0"/>
    <w:rsid w:val="004C770B"/>
    <w:rsid w:val="004D275D"/>
    <w:rsid w:val="004E0647"/>
    <w:rsid w:val="004E148C"/>
    <w:rsid w:val="004E44A9"/>
    <w:rsid w:val="004E472D"/>
    <w:rsid w:val="004E65A4"/>
    <w:rsid w:val="004F05AE"/>
    <w:rsid w:val="004F1920"/>
    <w:rsid w:val="004F1E58"/>
    <w:rsid w:val="004F450F"/>
    <w:rsid w:val="004F4EA5"/>
    <w:rsid w:val="004F5F59"/>
    <w:rsid w:val="004F6BC3"/>
    <w:rsid w:val="00500E58"/>
    <w:rsid w:val="00501461"/>
    <w:rsid w:val="00502E88"/>
    <w:rsid w:val="0050391A"/>
    <w:rsid w:val="00506514"/>
    <w:rsid w:val="00512737"/>
    <w:rsid w:val="00512845"/>
    <w:rsid w:val="00513620"/>
    <w:rsid w:val="005140E7"/>
    <w:rsid w:val="00514D00"/>
    <w:rsid w:val="005160EA"/>
    <w:rsid w:val="00520B24"/>
    <w:rsid w:val="00522135"/>
    <w:rsid w:val="00522218"/>
    <w:rsid w:val="00523EF3"/>
    <w:rsid w:val="00526A59"/>
    <w:rsid w:val="00527250"/>
    <w:rsid w:val="005328CA"/>
    <w:rsid w:val="005331CC"/>
    <w:rsid w:val="00535DFF"/>
    <w:rsid w:val="005364B9"/>
    <w:rsid w:val="00537406"/>
    <w:rsid w:val="00537ADA"/>
    <w:rsid w:val="00540D63"/>
    <w:rsid w:val="00542BA7"/>
    <w:rsid w:val="00544A06"/>
    <w:rsid w:val="005472E7"/>
    <w:rsid w:val="005506B4"/>
    <w:rsid w:val="00550F45"/>
    <w:rsid w:val="00552727"/>
    <w:rsid w:val="00554249"/>
    <w:rsid w:val="005545DC"/>
    <w:rsid w:val="00557A56"/>
    <w:rsid w:val="0056062E"/>
    <w:rsid w:val="00563D48"/>
    <w:rsid w:val="0056439C"/>
    <w:rsid w:val="0056749B"/>
    <w:rsid w:val="00570114"/>
    <w:rsid w:val="005710B1"/>
    <w:rsid w:val="00572C01"/>
    <w:rsid w:val="00572F7E"/>
    <w:rsid w:val="0057306D"/>
    <w:rsid w:val="00575858"/>
    <w:rsid w:val="005763F4"/>
    <w:rsid w:val="00576BD7"/>
    <w:rsid w:val="0058234F"/>
    <w:rsid w:val="00582505"/>
    <w:rsid w:val="00584CB9"/>
    <w:rsid w:val="00591280"/>
    <w:rsid w:val="00591C6D"/>
    <w:rsid w:val="00593007"/>
    <w:rsid w:val="00595EC5"/>
    <w:rsid w:val="005977D3"/>
    <w:rsid w:val="005A013B"/>
    <w:rsid w:val="005A0396"/>
    <w:rsid w:val="005A1986"/>
    <w:rsid w:val="005A3B77"/>
    <w:rsid w:val="005A71F1"/>
    <w:rsid w:val="005A7921"/>
    <w:rsid w:val="005B060A"/>
    <w:rsid w:val="005B0EA3"/>
    <w:rsid w:val="005B1179"/>
    <w:rsid w:val="005B17BF"/>
    <w:rsid w:val="005B1824"/>
    <w:rsid w:val="005B1A28"/>
    <w:rsid w:val="005B2784"/>
    <w:rsid w:val="005B7938"/>
    <w:rsid w:val="005C0E59"/>
    <w:rsid w:val="005C2E4B"/>
    <w:rsid w:val="005C32EC"/>
    <w:rsid w:val="005C491D"/>
    <w:rsid w:val="005C67BC"/>
    <w:rsid w:val="005C6C96"/>
    <w:rsid w:val="005D0720"/>
    <w:rsid w:val="005D3169"/>
    <w:rsid w:val="005E1A9F"/>
    <w:rsid w:val="005E2270"/>
    <w:rsid w:val="005E24FB"/>
    <w:rsid w:val="005E2BD4"/>
    <w:rsid w:val="005E4FBD"/>
    <w:rsid w:val="005E502C"/>
    <w:rsid w:val="005E51D7"/>
    <w:rsid w:val="005E7E73"/>
    <w:rsid w:val="005F154D"/>
    <w:rsid w:val="005F16D4"/>
    <w:rsid w:val="005F31D5"/>
    <w:rsid w:val="005F47E0"/>
    <w:rsid w:val="005F4829"/>
    <w:rsid w:val="005F5CBB"/>
    <w:rsid w:val="00600C1C"/>
    <w:rsid w:val="006073E2"/>
    <w:rsid w:val="00607627"/>
    <w:rsid w:val="00607A79"/>
    <w:rsid w:val="00612651"/>
    <w:rsid w:val="00612A02"/>
    <w:rsid w:val="0061687F"/>
    <w:rsid w:val="006174D1"/>
    <w:rsid w:val="00617B99"/>
    <w:rsid w:val="0062052F"/>
    <w:rsid w:val="00622A44"/>
    <w:rsid w:val="00622DD2"/>
    <w:rsid w:val="00623B1E"/>
    <w:rsid w:val="00625D15"/>
    <w:rsid w:val="00626613"/>
    <w:rsid w:val="00631D77"/>
    <w:rsid w:val="00632D04"/>
    <w:rsid w:val="00633D6D"/>
    <w:rsid w:val="006362E4"/>
    <w:rsid w:val="006366BE"/>
    <w:rsid w:val="00636768"/>
    <w:rsid w:val="006402CA"/>
    <w:rsid w:val="006426DE"/>
    <w:rsid w:val="006460D1"/>
    <w:rsid w:val="00646900"/>
    <w:rsid w:val="00651A96"/>
    <w:rsid w:val="00651ECF"/>
    <w:rsid w:val="0065327A"/>
    <w:rsid w:val="006539A6"/>
    <w:rsid w:val="00653DB5"/>
    <w:rsid w:val="00654E6B"/>
    <w:rsid w:val="0065576E"/>
    <w:rsid w:val="00657CB3"/>
    <w:rsid w:val="00661251"/>
    <w:rsid w:val="0066183C"/>
    <w:rsid w:val="006649F4"/>
    <w:rsid w:val="00665B70"/>
    <w:rsid w:val="006675A6"/>
    <w:rsid w:val="00667794"/>
    <w:rsid w:val="00671704"/>
    <w:rsid w:val="006717DC"/>
    <w:rsid w:val="00673482"/>
    <w:rsid w:val="006759D2"/>
    <w:rsid w:val="00681FB3"/>
    <w:rsid w:val="006833AA"/>
    <w:rsid w:val="00687C6A"/>
    <w:rsid w:val="00690148"/>
    <w:rsid w:val="0069064C"/>
    <w:rsid w:val="00691CEB"/>
    <w:rsid w:val="0069291E"/>
    <w:rsid w:val="00693C03"/>
    <w:rsid w:val="006949F7"/>
    <w:rsid w:val="0069712F"/>
    <w:rsid w:val="006A0320"/>
    <w:rsid w:val="006A0ECE"/>
    <w:rsid w:val="006A2A8F"/>
    <w:rsid w:val="006A5F2A"/>
    <w:rsid w:val="006B1BAA"/>
    <w:rsid w:val="006B5319"/>
    <w:rsid w:val="006B6FB7"/>
    <w:rsid w:val="006C06E4"/>
    <w:rsid w:val="006C4FEE"/>
    <w:rsid w:val="006C5508"/>
    <w:rsid w:val="006C6300"/>
    <w:rsid w:val="006D1028"/>
    <w:rsid w:val="006D1D03"/>
    <w:rsid w:val="006E05B6"/>
    <w:rsid w:val="006E07B1"/>
    <w:rsid w:val="006E3139"/>
    <w:rsid w:val="006E49AE"/>
    <w:rsid w:val="006E59C7"/>
    <w:rsid w:val="006F08A3"/>
    <w:rsid w:val="006F4769"/>
    <w:rsid w:val="006F4CC4"/>
    <w:rsid w:val="006F61AE"/>
    <w:rsid w:val="006F6BC5"/>
    <w:rsid w:val="0070030B"/>
    <w:rsid w:val="00704EC8"/>
    <w:rsid w:val="0070602B"/>
    <w:rsid w:val="0070613B"/>
    <w:rsid w:val="007065E6"/>
    <w:rsid w:val="007070DA"/>
    <w:rsid w:val="007116A9"/>
    <w:rsid w:val="00712021"/>
    <w:rsid w:val="00713883"/>
    <w:rsid w:val="00713DAA"/>
    <w:rsid w:val="00715762"/>
    <w:rsid w:val="00720E6F"/>
    <w:rsid w:val="007226AA"/>
    <w:rsid w:val="007231F4"/>
    <w:rsid w:val="00724406"/>
    <w:rsid w:val="00724C82"/>
    <w:rsid w:val="00724CAB"/>
    <w:rsid w:val="00726ABB"/>
    <w:rsid w:val="00726C56"/>
    <w:rsid w:val="00727A2E"/>
    <w:rsid w:val="00730717"/>
    <w:rsid w:val="00730918"/>
    <w:rsid w:val="00731617"/>
    <w:rsid w:val="00732CAE"/>
    <w:rsid w:val="00733772"/>
    <w:rsid w:val="00733E28"/>
    <w:rsid w:val="007341E0"/>
    <w:rsid w:val="00734CB5"/>
    <w:rsid w:val="00742B2D"/>
    <w:rsid w:val="00743302"/>
    <w:rsid w:val="00743BDB"/>
    <w:rsid w:val="00745E56"/>
    <w:rsid w:val="00747567"/>
    <w:rsid w:val="00751480"/>
    <w:rsid w:val="00751811"/>
    <w:rsid w:val="0075226B"/>
    <w:rsid w:val="0075303F"/>
    <w:rsid w:val="0075376F"/>
    <w:rsid w:val="00754730"/>
    <w:rsid w:val="00756CFE"/>
    <w:rsid w:val="007606E1"/>
    <w:rsid w:val="007607C1"/>
    <w:rsid w:val="0076322B"/>
    <w:rsid w:val="00764397"/>
    <w:rsid w:val="007666A9"/>
    <w:rsid w:val="00770551"/>
    <w:rsid w:val="00770A89"/>
    <w:rsid w:val="00773CED"/>
    <w:rsid w:val="007803A8"/>
    <w:rsid w:val="007826D0"/>
    <w:rsid w:val="00783B6E"/>
    <w:rsid w:val="007843D2"/>
    <w:rsid w:val="007868C3"/>
    <w:rsid w:val="00786A27"/>
    <w:rsid w:val="007873A0"/>
    <w:rsid w:val="00787770"/>
    <w:rsid w:val="00790620"/>
    <w:rsid w:val="00791640"/>
    <w:rsid w:val="00792B8C"/>
    <w:rsid w:val="007955D5"/>
    <w:rsid w:val="007A039A"/>
    <w:rsid w:val="007A0CFB"/>
    <w:rsid w:val="007A40AF"/>
    <w:rsid w:val="007A6FE0"/>
    <w:rsid w:val="007A7C80"/>
    <w:rsid w:val="007B122E"/>
    <w:rsid w:val="007B3DF5"/>
    <w:rsid w:val="007B43F5"/>
    <w:rsid w:val="007B4F94"/>
    <w:rsid w:val="007B6606"/>
    <w:rsid w:val="007B6694"/>
    <w:rsid w:val="007B6FA4"/>
    <w:rsid w:val="007C0AB3"/>
    <w:rsid w:val="007C5711"/>
    <w:rsid w:val="007C5D57"/>
    <w:rsid w:val="007C7C04"/>
    <w:rsid w:val="007C7E83"/>
    <w:rsid w:val="007D2DB7"/>
    <w:rsid w:val="007D5817"/>
    <w:rsid w:val="007D622C"/>
    <w:rsid w:val="007D696F"/>
    <w:rsid w:val="007E0CAB"/>
    <w:rsid w:val="007E2ABD"/>
    <w:rsid w:val="007E49EA"/>
    <w:rsid w:val="007E50AA"/>
    <w:rsid w:val="007E6023"/>
    <w:rsid w:val="007F0BBD"/>
    <w:rsid w:val="007F210E"/>
    <w:rsid w:val="007F378C"/>
    <w:rsid w:val="007F411D"/>
    <w:rsid w:val="007F420C"/>
    <w:rsid w:val="007F4F08"/>
    <w:rsid w:val="00805400"/>
    <w:rsid w:val="00806428"/>
    <w:rsid w:val="00807206"/>
    <w:rsid w:val="00812F4B"/>
    <w:rsid w:val="008140B1"/>
    <w:rsid w:val="0081578F"/>
    <w:rsid w:val="00815A18"/>
    <w:rsid w:val="008165F8"/>
    <w:rsid w:val="0081772B"/>
    <w:rsid w:val="00817E6F"/>
    <w:rsid w:val="008206D5"/>
    <w:rsid w:val="00821F83"/>
    <w:rsid w:val="00821FFD"/>
    <w:rsid w:val="008224AC"/>
    <w:rsid w:val="00823C32"/>
    <w:rsid w:val="00825EB5"/>
    <w:rsid w:val="0082752B"/>
    <w:rsid w:val="00831ABC"/>
    <w:rsid w:val="008351D9"/>
    <w:rsid w:val="008378AC"/>
    <w:rsid w:val="00837D20"/>
    <w:rsid w:val="0084034B"/>
    <w:rsid w:val="00840EBF"/>
    <w:rsid w:val="008457C3"/>
    <w:rsid w:val="00845BB7"/>
    <w:rsid w:val="00846253"/>
    <w:rsid w:val="008465E6"/>
    <w:rsid w:val="00846FB4"/>
    <w:rsid w:val="0084793A"/>
    <w:rsid w:val="008548CE"/>
    <w:rsid w:val="0085544C"/>
    <w:rsid w:val="00855D96"/>
    <w:rsid w:val="00855EF3"/>
    <w:rsid w:val="00856CBA"/>
    <w:rsid w:val="0086239D"/>
    <w:rsid w:val="00864945"/>
    <w:rsid w:val="008744CE"/>
    <w:rsid w:val="0087635C"/>
    <w:rsid w:val="00880942"/>
    <w:rsid w:val="00880D2F"/>
    <w:rsid w:val="008826D4"/>
    <w:rsid w:val="00883CAB"/>
    <w:rsid w:val="0088416B"/>
    <w:rsid w:val="0088489E"/>
    <w:rsid w:val="00890291"/>
    <w:rsid w:val="008937EC"/>
    <w:rsid w:val="0089573B"/>
    <w:rsid w:val="00897A71"/>
    <w:rsid w:val="008A7CB6"/>
    <w:rsid w:val="008B3324"/>
    <w:rsid w:val="008B3BCE"/>
    <w:rsid w:val="008B42EF"/>
    <w:rsid w:val="008B7069"/>
    <w:rsid w:val="008B7983"/>
    <w:rsid w:val="008C1698"/>
    <w:rsid w:val="008C186F"/>
    <w:rsid w:val="008C2274"/>
    <w:rsid w:val="008C2E34"/>
    <w:rsid w:val="008C4C28"/>
    <w:rsid w:val="008C4CF8"/>
    <w:rsid w:val="008C6C22"/>
    <w:rsid w:val="008D0166"/>
    <w:rsid w:val="008D20BD"/>
    <w:rsid w:val="008D3A10"/>
    <w:rsid w:val="008D48FB"/>
    <w:rsid w:val="008D4D9F"/>
    <w:rsid w:val="008D5A38"/>
    <w:rsid w:val="008D720C"/>
    <w:rsid w:val="008D7DE6"/>
    <w:rsid w:val="008E182C"/>
    <w:rsid w:val="008E245B"/>
    <w:rsid w:val="008E2AD1"/>
    <w:rsid w:val="008E4677"/>
    <w:rsid w:val="008E4EAE"/>
    <w:rsid w:val="008E5D18"/>
    <w:rsid w:val="008F1A87"/>
    <w:rsid w:val="008F21C7"/>
    <w:rsid w:val="009001C0"/>
    <w:rsid w:val="00902E1A"/>
    <w:rsid w:val="00903382"/>
    <w:rsid w:val="009076EA"/>
    <w:rsid w:val="009111EA"/>
    <w:rsid w:val="00913D4E"/>
    <w:rsid w:val="0091463B"/>
    <w:rsid w:val="00916724"/>
    <w:rsid w:val="00917D68"/>
    <w:rsid w:val="00917F8D"/>
    <w:rsid w:val="009210A9"/>
    <w:rsid w:val="00921473"/>
    <w:rsid w:val="00925A4D"/>
    <w:rsid w:val="009263D0"/>
    <w:rsid w:val="00926818"/>
    <w:rsid w:val="00927ECA"/>
    <w:rsid w:val="009307FB"/>
    <w:rsid w:val="009309AC"/>
    <w:rsid w:val="00931FD4"/>
    <w:rsid w:val="00936C66"/>
    <w:rsid w:val="0094450A"/>
    <w:rsid w:val="00945110"/>
    <w:rsid w:val="00945B9E"/>
    <w:rsid w:val="00950B04"/>
    <w:rsid w:val="00951B8A"/>
    <w:rsid w:val="00953699"/>
    <w:rsid w:val="0095403B"/>
    <w:rsid w:val="009547E1"/>
    <w:rsid w:val="009550A6"/>
    <w:rsid w:val="0095609F"/>
    <w:rsid w:val="00957ACE"/>
    <w:rsid w:val="00960727"/>
    <w:rsid w:val="00960811"/>
    <w:rsid w:val="009610C4"/>
    <w:rsid w:val="00964CE5"/>
    <w:rsid w:val="00967E2F"/>
    <w:rsid w:val="00970BC1"/>
    <w:rsid w:val="0097233F"/>
    <w:rsid w:val="00973593"/>
    <w:rsid w:val="00975440"/>
    <w:rsid w:val="009766A8"/>
    <w:rsid w:val="00977D79"/>
    <w:rsid w:val="009825BC"/>
    <w:rsid w:val="009841E3"/>
    <w:rsid w:val="009849BD"/>
    <w:rsid w:val="0098636B"/>
    <w:rsid w:val="00990A65"/>
    <w:rsid w:val="0099212D"/>
    <w:rsid w:val="00992389"/>
    <w:rsid w:val="00992CF4"/>
    <w:rsid w:val="0099497C"/>
    <w:rsid w:val="00994C75"/>
    <w:rsid w:val="0099546E"/>
    <w:rsid w:val="00995546"/>
    <w:rsid w:val="009961FE"/>
    <w:rsid w:val="0099685D"/>
    <w:rsid w:val="009A3482"/>
    <w:rsid w:val="009A3CD3"/>
    <w:rsid w:val="009A4952"/>
    <w:rsid w:val="009A6628"/>
    <w:rsid w:val="009A66D9"/>
    <w:rsid w:val="009B1446"/>
    <w:rsid w:val="009B206C"/>
    <w:rsid w:val="009B7F07"/>
    <w:rsid w:val="009C24CE"/>
    <w:rsid w:val="009C2A06"/>
    <w:rsid w:val="009C44C3"/>
    <w:rsid w:val="009C515A"/>
    <w:rsid w:val="009D08F2"/>
    <w:rsid w:val="009D1415"/>
    <w:rsid w:val="009D2235"/>
    <w:rsid w:val="009D26EE"/>
    <w:rsid w:val="009D2A19"/>
    <w:rsid w:val="009D3285"/>
    <w:rsid w:val="009D3D40"/>
    <w:rsid w:val="009D5A53"/>
    <w:rsid w:val="009D613C"/>
    <w:rsid w:val="009D6DE2"/>
    <w:rsid w:val="009D6F74"/>
    <w:rsid w:val="009D76D1"/>
    <w:rsid w:val="009E0CDA"/>
    <w:rsid w:val="009E2AEA"/>
    <w:rsid w:val="009E3A5D"/>
    <w:rsid w:val="009E605F"/>
    <w:rsid w:val="009E724D"/>
    <w:rsid w:val="009F1BDA"/>
    <w:rsid w:val="009F1F69"/>
    <w:rsid w:val="009F324F"/>
    <w:rsid w:val="009F5E24"/>
    <w:rsid w:val="009F69C6"/>
    <w:rsid w:val="009F7B6C"/>
    <w:rsid w:val="00A0076F"/>
    <w:rsid w:val="00A01BF2"/>
    <w:rsid w:val="00A0220D"/>
    <w:rsid w:val="00A0400E"/>
    <w:rsid w:val="00A04B2E"/>
    <w:rsid w:val="00A05679"/>
    <w:rsid w:val="00A05999"/>
    <w:rsid w:val="00A12049"/>
    <w:rsid w:val="00A128C0"/>
    <w:rsid w:val="00A13888"/>
    <w:rsid w:val="00A159ED"/>
    <w:rsid w:val="00A16905"/>
    <w:rsid w:val="00A169CF"/>
    <w:rsid w:val="00A17F2B"/>
    <w:rsid w:val="00A20855"/>
    <w:rsid w:val="00A21545"/>
    <w:rsid w:val="00A22A56"/>
    <w:rsid w:val="00A23710"/>
    <w:rsid w:val="00A24064"/>
    <w:rsid w:val="00A266E2"/>
    <w:rsid w:val="00A26744"/>
    <w:rsid w:val="00A30FF7"/>
    <w:rsid w:val="00A32B01"/>
    <w:rsid w:val="00A3332E"/>
    <w:rsid w:val="00A34981"/>
    <w:rsid w:val="00A3782D"/>
    <w:rsid w:val="00A447DC"/>
    <w:rsid w:val="00A44997"/>
    <w:rsid w:val="00A450B0"/>
    <w:rsid w:val="00A45298"/>
    <w:rsid w:val="00A454C6"/>
    <w:rsid w:val="00A4550B"/>
    <w:rsid w:val="00A46279"/>
    <w:rsid w:val="00A46AAD"/>
    <w:rsid w:val="00A46B0B"/>
    <w:rsid w:val="00A51D70"/>
    <w:rsid w:val="00A52057"/>
    <w:rsid w:val="00A524EC"/>
    <w:rsid w:val="00A528CB"/>
    <w:rsid w:val="00A55D00"/>
    <w:rsid w:val="00A5720A"/>
    <w:rsid w:val="00A57368"/>
    <w:rsid w:val="00A64F2B"/>
    <w:rsid w:val="00A67F92"/>
    <w:rsid w:val="00A70FE8"/>
    <w:rsid w:val="00A7277E"/>
    <w:rsid w:val="00A72852"/>
    <w:rsid w:val="00A778F1"/>
    <w:rsid w:val="00A822A9"/>
    <w:rsid w:val="00A83ACA"/>
    <w:rsid w:val="00A83D1F"/>
    <w:rsid w:val="00A8579D"/>
    <w:rsid w:val="00A90A97"/>
    <w:rsid w:val="00A91262"/>
    <w:rsid w:val="00A9195F"/>
    <w:rsid w:val="00A9212A"/>
    <w:rsid w:val="00A9645B"/>
    <w:rsid w:val="00AA1014"/>
    <w:rsid w:val="00AA1545"/>
    <w:rsid w:val="00AA32BC"/>
    <w:rsid w:val="00AA36A0"/>
    <w:rsid w:val="00AA64BF"/>
    <w:rsid w:val="00AA6B27"/>
    <w:rsid w:val="00AA74B8"/>
    <w:rsid w:val="00AB018E"/>
    <w:rsid w:val="00AB1642"/>
    <w:rsid w:val="00AB3A42"/>
    <w:rsid w:val="00AB3EAC"/>
    <w:rsid w:val="00AB57A0"/>
    <w:rsid w:val="00AC096C"/>
    <w:rsid w:val="00AC1A30"/>
    <w:rsid w:val="00AC3121"/>
    <w:rsid w:val="00AC3571"/>
    <w:rsid w:val="00AC3CBE"/>
    <w:rsid w:val="00AC46B0"/>
    <w:rsid w:val="00AC647C"/>
    <w:rsid w:val="00AD0692"/>
    <w:rsid w:val="00AD4942"/>
    <w:rsid w:val="00AD66B5"/>
    <w:rsid w:val="00AD67F4"/>
    <w:rsid w:val="00AD7FCE"/>
    <w:rsid w:val="00AE6560"/>
    <w:rsid w:val="00AE6D13"/>
    <w:rsid w:val="00AE6FDC"/>
    <w:rsid w:val="00AF1B25"/>
    <w:rsid w:val="00AF25B2"/>
    <w:rsid w:val="00B01C35"/>
    <w:rsid w:val="00B01EDA"/>
    <w:rsid w:val="00B07403"/>
    <w:rsid w:val="00B105A1"/>
    <w:rsid w:val="00B112B0"/>
    <w:rsid w:val="00B1169F"/>
    <w:rsid w:val="00B121A8"/>
    <w:rsid w:val="00B13C73"/>
    <w:rsid w:val="00B1408D"/>
    <w:rsid w:val="00B150F9"/>
    <w:rsid w:val="00B151A7"/>
    <w:rsid w:val="00B155F2"/>
    <w:rsid w:val="00B16991"/>
    <w:rsid w:val="00B1734E"/>
    <w:rsid w:val="00B1784E"/>
    <w:rsid w:val="00B2001E"/>
    <w:rsid w:val="00B229D4"/>
    <w:rsid w:val="00B2635C"/>
    <w:rsid w:val="00B265D5"/>
    <w:rsid w:val="00B272E3"/>
    <w:rsid w:val="00B27350"/>
    <w:rsid w:val="00B27794"/>
    <w:rsid w:val="00B3342F"/>
    <w:rsid w:val="00B33779"/>
    <w:rsid w:val="00B33784"/>
    <w:rsid w:val="00B33959"/>
    <w:rsid w:val="00B341C5"/>
    <w:rsid w:val="00B3466B"/>
    <w:rsid w:val="00B379FE"/>
    <w:rsid w:val="00B43F8A"/>
    <w:rsid w:val="00B44254"/>
    <w:rsid w:val="00B44F93"/>
    <w:rsid w:val="00B45337"/>
    <w:rsid w:val="00B45A50"/>
    <w:rsid w:val="00B47CCC"/>
    <w:rsid w:val="00B50722"/>
    <w:rsid w:val="00B54BA6"/>
    <w:rsid w:val="00B54F5C"/>
    <w:rsid w:val="00B5513C"/>
    <w:rsid w:val="00B55683"/>
    <w:rsid w:val="00B62E85"/>
    <w:rsid w:val="00B63019"/>
    <w:rsid w:val="00B6502C"/>
    <w:rsid w:val="00B65F69"/>
    <w:rsid w:val="00B6674D"/>
    <w:rsid w:val="00B71637"/>
    <w:rsid w:val="00B7288F"/>
    <w:rsid w:val="00B74203"/>
    <w:rsid w:val="00B77DE0"/>
    <w:rsid w:val="00B826B9"/>
    <w:rsid w:val="00B857EA"/>
    <w:rsid w:val="00B85EF1"/>
    <w:rsid w:val="00B86923"/>
    <w:rsid w:val="00B90988"/>
    <w:rsid w:val="00B91228"/>
    <w:rsid w:val="00B91ED1"/>
    <w:rsid w:val="00B92E98"/>
    <w:rsid w:val="00B94619"/>
    <w:rsid w:val="00B96962"/>
    <w:rsid w:val="00B96991"/>
    <w:rsid w:val="00BA120D"/>
    <w:rsid w:val="00BA2AA4"/>
    <w:rsid w:val="00BA427F"/>
    <w:rsid w:val="00BA4C3D"/>
    <w:rsid w:val="00BA7CF1"/>
    <w:rsid w:val="00BB03C2"/>
    <w:rsid w:val="00BB223D"/>
    <w:rsid w:val="00BB258A"/>
    <w:rsid w:val="00BB3689"/>
    <w:rsid w:val="00BB3C2F"/>
    <w:rsid w:val="00BB43D3"/>
    <w:rsid w:val="00BB5437"/>
    <w:rsid w:val="00BC448D"/>
    <w:rsid w:val="00BC5AAB"/>
    <w:rsid w:val="00BC7112"/>
    <w:rsid w:val="00BC7A7F"/>
    <w:rsid w:val="00BD2050"/>
    <w:rsid w:val="00BD2D18"/>
    <w:rsid w:val="00BD384E"/>
    <w:rsid w:val="00BD474E"/>
    <w:rsid w:val="00BE3D90"/>
    <w:rsid w:val="00BE530B"/>
    <w:rsid w:val="00BE6076"/>
    <w:rsid w:val="00BE793E"/>
    <w:rsid w:val="00BF0763"/>
    <w:rsid w:val="00BF27F6"/>
    <w:rsid w:val="00BF3B9D"/>
    <w:rsid w:val="00BF75C5"/>
    <w:rsid w:val="00BF775B"/>
    <w:rsid w:val="00C00669"/>
    <w:rsid w:val="00C02C98"/>
    <w:rsid w:val="00C061C8"/>
    <w:rsid w:val="00C07E1E"/>
    <w:rsid w:val="00C162E6"/>
    <w:rsid w:val="00C21216"/>
    <w:rsid w:val="00C2134F"/>
    <w:rsid w:val="00C22FF5"/>
    <w:rsid w:val="00C2360E"/>
    <w:rsid w:val="00C250FB"/>
    <w:rsid w:val="00C26519"/>
    <w:rsid w:val="00C26C5D"/>
    <w:rsid w:val="00C271FF"/>
    <w:rsid w:val="00C30B0B"/>
    <w:rsid w:val="00C311CE"/>
    <w:rsid w:val="00C33387"/>
    <w:rsid w:val="00C34B13"/>
    <w:rsid w:val="00C350EB"/>
    <w:rsid w:val="00C35329"/>
    <w:rsid w:val="00C374B0"/>
    <w:rsid w:val="00C43757"/>
    <w:rsid w:val="00C468DD"/>
    <w:rsid w:val="00C50932"/>
    <w:rsid w:val="00C50A26"/>
    <w:rsid w:val="00C51F65"/>
    <w:rsid w:val="00C56CC8"/>
    <w:rsid w:val="00C57D00"/>
    <w:rsid w:val="00C57F05"/>
    <w:rsid w:val="00C63034"/>
    <w:rsid w:val="00C64502"/>
    <w:rsid w:val="00C645A6"/>
    <w:rsid w:val="00C65374"/>
    <w:rsid w:val="00C656A8"/>
    <w:rsid w:val="00C65999"/>
    <w:rsid w:val="00C671AA"/>
    <w:rsid w:val="00C67390"/>
    <w:rsid w:val="00C674DC"/>
    <w:rsid w:val="00C738F2"/>
    <w:rsid w:val="00C74F83"/>
    <w:rsid w:val="00C75D49"/>
    <w:rsid w:val="00C80866"/>
    <w:rsid w:val="00C80FDA"/>
    <w:rsid w:val="00C81018"/>
    <w:rsid w:val="00C81A2F"/>
    <w:rsid w:val="00C82C34"/>
    <w:rsid w:val="00C84ECC"/>
    <w:rsid w:val="00C86C0F"/>
    <w:rsid w:val="00C86CF9"/>
    <w:rsid w:val="00C9468D"/>
    <w:rsid w:val="00C9601D"/>
    <w:rsid w:val="00C96769"/>
    <w:rsid w:val="00C97BA8"/>
    <w:rsid w:val="00CA085D"/>
    <w:rsid w:val="00CA33C0"/>
    <w:rsid w:val="00CA41E8"/>
    <w:rsid w:val="00CA75B7"/>
    <w:rsid w:val="00CB3A3A"/>
    <w:rsid w:val="00CB4E93"/>
    <w:rsid w:val="00CB4F97"/>
    <w:rsid w:val="00CB51AF"/>
    <w:rsid w:val="00CB6884"/>
    <w:rsid w:val="00CB6A58"/>
    <w:rsid w:val="00CB7D07"/>
    <w:rsid w:val="00CC06CC"/>
    <w:rsid w:val="00CC0A50"/>
    <w:rsid w:val="00CC1C32"/>
    <w:rsid w:val="00CC3670"/>
    <w:rsid w:val="00CC43BA"/>
    <w:rsid w:val="00CC598C"/>
    <w:rsid w:val="00CC72A8"/>
    <w:rsid w:val="00CD2E52"/>
    <w:rsid w:val="00CD6B63"/>
    <w:rsid w:val="00CE1D76"/>
    <w:rsid w:val="00CE1DC5"/>
    <w:rsid w:val="00CE1E62"/>
    <w:rsid w:val="00CE2AA6"/>
    <w:rsid w:val="00CE412B"/>
    <w:rsid w:val="00CE500B"/>
    <w:rsid w:val="00CE54F0"/>
    <w:rsid w:val="00CE637F"/>
    <w:rsid w:val="00CE78B8"/>
    <w:rsid w:val="00CE7905"/>
    <w:rsid w:val="00CE7D4C"/>
    <w:rsid w:val="00CF0859"/>
    <w:rsid w:val="00CF0D70"/>
    <w:rsid w:val="00CF1F7F"/>
    <w:rsid w:val="00CF2EF1"/>
    <w:rsid w:val="00CF355C"/>
    <w:rsid w:val="00CF3C9A"/>
    <w:rsid w:val="00CF7A82"/>
    <w:rsid w:val="00CF7F30"/>
    <w:rsid w:val="00D01293"/>
    <w:rsid w:val="00D02573"/>
    <w:rsid w:val="00D02E17"/>
    <w:rsid w:val="00D04368"/>
    <w:rsid w:val="00D04473"/>
    <w:rsid w:val="00D0530F"/>
    <w:rsid w:val="00D0599B"/>
    <w:rsid w:val="00D12BA3"/>
    <w:rsid w:val="00D1344F"/>
    <w:rsid w:val="00D16B94"/>
    <w:rsid w:val="00D20443"/>
    <w:rsid w:val="00D2050F"/>
    <w:rsid w:val="00D22554"/>
    <w:rsid w:val="00D22AC0"/>
    <w:rsid w:val="00D23F42"/>
    <w:rsid w:val="00D241B1"/>
    <w:rsid w:val="00D25342"/>
    <w:rsid w:val="00D31348"/>
    <w:rsid w:val="00D33DE4"/>
    <w:rsid w:val="00D34D10"/>
    <w:rsid w:val="00D35F0F"/>
    <w:rsid w:val="00D36E95"/>
    <w:rsid w:val="00D40BB6"/>
    <w:rsid w:val="00D4255B"/>
    <w:rsid w:val="00D4295C"/>
    <w:rsid w:val="00D44401"/>
    <w:rsid w:val="00D44DAE"/>
    <w:rsid w:val="00D44EE7"/>
    <w:rsid w:val="00D45895"/>
    <w:rsid w:val="00D47B0A"/>
    <w:rsid w:val="00D509E8"/>
    <w:rsid w:val="00D53375"/>
    <w:rsid w:val="00D54815"/>
    <w:rsid w:val="00D55467"/>
    <w:rsid w:val="00D55F3D"/>
    <w:rsid w:val="00D57A6E"/>
    <w:rsid w:val="00D64182"/>
    <w:rsid w:val="00D64632"/>
    <w:rsid w:val="00D649EC"/>
    <w:rsid w:val="00D656A8"/>
    <w:rsid w:val="00D66943"/>
    <w:rsid w:val="00D669C1"/>
    <w:rsid w:val="00D672A6"/>
    <w:rsid w:val="00D74BD0"/>
    <w:rsid w:val="00D75ECE"/>
    <w:rsid w:val="00D76B6F"/>
    <w:rsid w:val="00D818F2"/>
    <w:rsid w:val="00D82665"/>
    <w:rsid w:val="00D84349"/>
    <w:rsid w:val="00D901A2"/>
    <w:rsid w:val="00D91244"/>
    <w:rsid w:val="00D92FBC"/>
    <w:rsid w:val="00D93682"/>
    <w:rsid w:val="00DA08F2"/>
    <w:rsid w:val="00DA26F5"/>
    <w:rsid w:val="00DA4A02"/>
    <w:rsid w:val="00DA51ED"/>
    <w:rsid w:val="00DA6057"/>
    <w:rsid w:val="00DA7361"/>
    <w:rsid w:val="00DA7AA7"/>
    <w:rsid w:val="00DB18F9"/>
    <w:rsid w:val="00DB2DD9"/>
    <w:rsid w:val="00DB337F"/>
    <w:rsid w:val="00DB3484"/>
    <w:rsid w:val="00DB5388"/>
    <w:rsid w:val="00DB6393"/>
    <w:rsid w:val="00DB6BEB"/>
    <w:rsid w:val="00DC22C1"/>
    <w:rsid w:val="00DC344C"/>
    <w:rsid w:val="00DC350B"/>
    <w:rsid w:val="00DC6E5C"/>
    <w:rsid w:val="00DD045D"/>
    <w:rsid w:val="00DD13E0"/>
    <w:rsid w:val="00DD2E51"/>
    <w:rsid w:val="00DD3AFF"/>
    <w:rsid w:val="00DD69A1"/>
    <w:rsid w:val="00DE22D4"/>
    <w:rsid w:val="00DE6439"/>
    <w:rsid w:val="00DE645D"/>
    <w:rsid w:val="00DE7402"/>
    <w:rsid w:val="00DF19F1"/>
    <w:rsid w:val="00DF2A0A"/>
    <w:rsid w:val="00DF3E7B"/>
    <w:rsid w:val="00DF483E"/>
    <w:rsid w:val="00DF4E12"/>
    <w:rsid w:val="00DF7B0F"/>
    <w:rsid w:val="00E029CB"/>
    <w:rsid w:val="00E030B7"/>
    <w:rsid w:val="00E048E5"/>
    <w:rsid w:val="00E101B9"/>
    <w:rsid w:val="00E16387"/>
    <w:rsid w:val="00E16C9A"/>
    <w:rsid w:val="00E21D08"/>
    <w:rsid w:val="00E2262F"/>
    <w:rsid w:val="00E23AC5"/>
    <w:rsid w:val="00E24100"/>
    <w:rsid w:val="00E25E24"/>
    <w:rsid w:val="00E26698"/>
    <w:rsid w:val="00E3146E"/>
    <w:rsid w:val="00E328B9"/>
    <w:rsid w:val="00E3530B"/>
    <w:rsid w:val="00E35A0F"/>
    <w:rsid w:val="00E44DFF"/>
    <w:rsid w:val="00E50310"/>
    <w:rsid w:val="00E50387"/>
    <w:rsid w:val="00E5418E"/>
    <w:rsid w:val="00E54E88"/>
    <w:rsid w:val="00E554DB"/>
    <w:rsid w:val="00E55752"/>
    <w:rsid w:val="00E5717C"/>
    <w:rsid w:val="00E63481"/>
    <w:rsid w:val="00E72814"/>
    <w:rsid w:val="00E72BAF"/>
    <w:rsid w:val="00E736FA"/>
    <w:rsid w:val="00E7389F"/>
    <w:rsid w:val="00E7778A"/>
    <w:rsid w:val="00E77CAA"/>
    <w:rsid w:val="00E810B3"/>
    <w:rsid w:val="00E822C9"/>
    <w:rsid w:val="00E82EB4"/>
    <w:rsid w:val="00E84B34"/>
    <w:rsid w:val="00E861A5"/>
    <w:rsid w:val="00E86C0C"/>
    <w:rsid w:val="00E87ECC"/>
    <w:rsid w:val="00E908F6"/>
    <w:rsid w:val="00E919B0"/>
    <w:rsid w:val="00E92173"/>
    <w:rsid w:val="00E94235"/>
    <w:rsid w:val="00E9538E"/>
    <w:rsid w:val="00E97AC1"/>
    <w:rsid w:val="00E97F73"/>
    <w:rsid w:val="00EA02DF"/>
    <w:rsid w:val="00EA1656"/>
    <w:rsid w:val="00EA3149"/>
    <w:rsid w:val="00EA4931"/>
    <w:rsid w:val="00EA602C"/>
    <w:rsid w:val="00EA6FF2"/>
    <w:rsid w:val="00EA7BAF"/>
    <w:rsid w:val="00EA7BD1"/>
    <w:rsid w:val="00EB0047"/>
    <w:rsid w:val="00EB06E2"/>
    <w:rsid w:val="00EB22C8"/>
    <w:rsid w:val="00EB2C34"/>
    <w:rsid w:val="00EB6232"/>
    <w:rsid w:val="00EB77D9"/>
    <w:rsid w:val="00EC1A60"/>
    <w:rsid w:val="00EC4E4C"/>
    <w:rsid w:val="00EC74CA"/>
    <w:rsid w:val="00ED49D1"/>
    <w:rsid w:val="00ED4FC6"/>
    <w:rsid w:val="00ED6196"/>
    <w:rsid w:val="00ED643A"/>
    <w:rsid w:val="00ED76CA"/>
    <w:rsid w:val="00EE1AFE"/>
    <w:rsid w:val="00EE1DCA"/>
    <w:rsid w:val="00EE289A"/>
    <w:rsid w:val="00EE323E"/>
    <w:rsid w:val="00EE6207"/>
    <w:rsid w:val="00EF16DC"/>
    <w:rsid w:val="00EF19CE"/>
    <w:rsid w:val="00EF2F6B"/>
    <w:rsid w:val="00F00379"/>
    <w:rsid w:val="00F028F9"/>
    <w:rsid w:val="00F035A8"/>
    <w:rsid w:val="00F04D68"/>
    <w:rsid w:val="00F12270"/>
    <w:rsid w:val="00F12BE1"/>
    <w:rsid w:val="00F140B0"/>
    <w:rsid w:val="00F163A0"/>
    <w:rsid w:val="00F16E85"/>
    <w:rsid w:val="00F201B2"/>
    <w:rsid w:val="00F21106"/>
    <w:rsid w:val="00F22BAE"/>
    <w:rsid w:val="00F23E66"/>
    <w:rsid w:val="00F24D76"/>
    <w:rsid w:val="00F30FD4"/>
    <w:rsid w:val="00F31396"/>
    <w:rsid w:val="00F3178A"/>
    <w:rsid w:val="00F32231"/>
    <w:rsid w:val="00F32D8E"/>
    <w:rsid w:val="00F337CE"/>
    <w:rsid w:val="00F35F33"/>
    <w:rsid w:val="00F3603B"/>
    <w:rsid w:val="00F4447B"/>
    <w:rsid w:val="00F455A9"/>
    <w:rsid w:val="00F46F73"/>
    <w:rsid w:val="00F47CD7"/>
    <w:rsid w:val="00F551A8"/>
    <w:rsid w:val="00F57732"/>
    <w:rsid w:val="00F6081C"/>
    <w:rsid w:val="00F60B29"/>
    <w:rsid w:val="00F6151E"/>
    <w:rsid w:val="00F617DD"/>
    <w:rsid w:val="00F634E7"/>
    <w:rsid w:val="00F64C2B"/>
    <w:rsid w:val="00F70535"/>
    <w:rsid w:val="00F709DA"/>
    <w:rsid w:val="00F70DA3"/>
    <w:rsid w:val="00F71A90"/>
    <w:rsid w:val="00F72793"/>
    <w:rsid w:val="00F73064"/>
    <w:rsid w:val="00F74A5B"/>
    <w:rsid w:val="00F75381"/>
    <w:rsid w:val="00F753A2"/>
    <w:rsid w:val="00F76A35"/>
    <w:rsid w:val="00F8055F"/>
    <w:rsid w:val="00F80588"/>
    <w:rsid w:val="00F81929"/>
    <w:rsid w:val="00F81AE4"/>
    <w:rsid w:val="00F8295E"/>
    <w:rsid w:val="00F85865"/>
    <w:rsid w:val="00F85B51"/>
    <w:rsid w:val="00F87DAD"/>
    <w:rsid w:val="00F90B65"/>
    <w:rsid w:val="00F90E48"/>
    <w:rsid w:val="00F9112F"/>
    <w:rsid w:val="00F9273D"/>
    <w:rsid w:val="00F92E3A"/>
    <w:rsid w:val="00FA28BF"/>
    <w:rsid w:val="00FA2FCE"/>
    <w:rsid w:val="00FA4BFA"/>
    <w:rsid w:val="00FA72B8"/>
    <w:rsid w:val="00FB09F6"/>
    <w:rsid w:val="00FB11EF"/>
    <w:rsid w:val="00FB12E3"/>
    <w:rsid w:val="00FB5001"/>
    <w:rsid w:val="00FB5BF3"/>
    <w:rsid w:val="00FB6D61"/>
    <w:rsid w:val="00FC1D3F"/>
    <w:rsid w:val="00FC2054"/>
    <w:rsid w:val="00FC2D95"/>
    <w:rsid w:val="00FC5211"/>
    <w:rsid w:val="00FC6010"/>
    <w:rsid w:val="00FC6119"/>
    <w:rsid w:val="00FC7E63"/>
    <w:rsid w:val="00FD118A"/>
    <w:rsid w:val="00FD11E6"/>
    <w:rsid w:val="00FD328E"/>
    <w:rsid w:val="00FD3447"/>
    <w:rsid w:val="00FD3650"/>
    <w:rsid w:val="00FD3EA7"/>
    <w:rsid w:val="00FD530D"/>
    <w:rsid w:val="00FD54AA"/>
    <w:rsid w:val="00FD5E35"/>
    <w:rsid w:val="00FD6903"/>
    <w:rsid w:val="00FE4997"/>
    <w:rsid w:val="00FE5CC2"/>
    <w:rsid w:val="00FE6057"/>
    <w:rsid w:val="00FE6736"/>
    <w:rsid w:val="00FE6BF9"/>
    <w:rsid w:val="00FF02AE"/>
    <w:rsid w:val="00FF0A66"/>
    <w:rsid w:val="00FF27F5"/>
    <w:rsid w:val="00FF2FD2"/>
    <w:rsid w:val="00FF34C0"/>
    <w:rsid w:val="018A573E"/>
    <w:rsid w:val="02210CF9"/>
    <w:rsid w:val="0224013B"/>
    <w:rsid w:val="026E2FE6"/>
    <w:rsid w:val="028A7052"/>
    <w:rsid w:val="03032056"/>
    <w:rsid w:val="030636CC"/>
    <w:rsid w:val="039A31A4"/>
    <w:rsid w:val="04D36966"/>
    <w:rsid w:val="051656B9"/>
    <w:rsid w:val="05DA3548"/>
    <w:rsid w:val="05E22B10"/>
    <w:rsid w:val="066FF6EC"/>
    <w:rsid w:val="06B213D6"/>
    <w:rsid w:val="06BDD1D9"/>
    <w:rsid w:val="06DF06A8"/>
    <w:rsid w:val="07411D6A"/>
    <w:rsid w:val="07B201AA"/>
    <w:rsid w:val="07CD6C7F"/>
    <w:rsid w:val="07DE0EAF"/>
    <w:rsid w:val="08306C5C"/>
    <w:rsid w:val="08520477"/>
    <w:rsid w:val="08A67BF3"/>
    <w:rsid w:val="095E272B"/>
    <w:rsid w:val="0A3E059B"/>
    <w:rsid w:val="0A4E119F"/>
    <w:rsid w:val="0A952D70"/>
    <w:rsid w:val="0AD2451C"/>
    <w:rsid w:val="0B0C611D"/>
    <w:rsid w:val="0B371AD8"/>
    <w:rsid w:val="0BC78D4E"/>
    <w:rsid w:val="0BFC03F4"/>
    <w:rsid w:val="0BFE5642"/>
    <w:rsid w:val="0CF01A84"/>
    <w:rsid w:val="0D017FAC"/>
    <w:rsid w:val="0D2F2869"/>
    <w:rsid w:val="0D3D299D"/>
    <w:rsid w:val="0D641F64"/>
    <w:rsid w:val="0D7638A0"/>
    <w:rsid w:val="0D7FC743"/>
    <w:rsid w:val="0D8D60A7"/>
    <w:rsid w:val="0D9A030A"/>
    <w:rsid w:val="0DBF3DB8"/>
    <w:rsid w:val="0DDF5289"/>
    <w:rsid w:val="0EDA6D1E"/>
    <w:rsid w:val="0EE72297"/>
    <w:rsid w:val="0EF01A9D"/>
    <w:rsid w:val="0F2562F2"/>
    <w:rsid w:val="0FAE7822"/>
    <w:rsid w:val="0FE5B9D0"/>
    <w:rsid w:val="0FED4112"/>
    <w:rsid w:val="0FEE1DFA"/>
    <w:rsid w:val="0FEEDF58"/>
    <w:rsid w:val="0FF7A40C"/>
    <w:rsid w:val="109D4D3F"/>
    <w:rsid w:val="10D62613"/>
    <w:rsid w:val="11AF33D1"/>
    <w:rsid w:val="12350F80"/>
    <w:rsid w:val="12684D2F"/>
    <w:rsid w:val="12A14D7F"/>
    <w:rsid w:val="12E2638D"/>
    <w:rsid w:val="136A4321"/>
    <w:rsid w:val="13E769CA"/>
    <w:rsid w:val="13EFB04F"/>
    <w:rsid w:val="13FC5BCC"/>
    <w:rsid w:val="146E0751"/>
    <w:rsid w:val="15FF9E00"/>
    <w:rsid w:val="16447BFD"/>
    <w:rsid w:val="16852C50"/>
    <w:rsid w:val="17075BAD"/>
    <w:rsid w:val="17FB76A8"/>
    <w:rsid w:val="183A733C"/>
    <w:rsid w:val="18FE277E"/>
    <w:rsid w:val="19581CE9"/>
    <w:rsid w:val="197B2A56"/>
    <w:rsid w:val="199218E1"/>
    <w:rsid w:val="19DFFD08"/>
    <w:rsid w:val="19F241B8"/>
    <w:rsid w:val="19F56058"/>
    <w:rsid w:val="19F7A840"/>
    <w:rsid w:val="19FEAB44"/>
    <w:rsid w:val="1AED5743"/>
    <w:rsid w:val="1B2799EF"/>
    <w:rsid w:val="1B693F20"/>
    <w:rsid w:val="1B794860"/>
    <w:rsid w:val="1BC75FA8"/>
    <w:rsid w:val="1C3F8DFA"/>
    <w:rsid w:val="1CCE01C2"/>
    <w:rsid w:val="1CE43E16"/>
    <w:rsid w:val="1DB35E3E"/>
    <w:rsid w:val="1DCB3078"/>
    <w:rsid w:val="1DDE374B"/>
    <w:rsid w:val="1DFB3D28"/>
    <w:rsid w:val="1DFDCB50"/>
    <w:rsid w:val="1E595F0F"/>
    <w:rsid w:val="1EDC9CEB"/>
    <w:rsid w:val="1EEB42BF"/>
    <w:rsid w:val="1EF73839"/>
    <w:rsid w:val="1EF74C02"/>
    <w:rsid w:val="1F5FDCF0"/>
    <w:rsid w:val="1FA5AAB4"/>
    <w:rsid w:val="1FBD6640"/>
    <w:rsid w:val="1FC20B57"/>
    <w:rsid w:val="1FDA1C12"/>
    <w:rsid w:val="1FE90144"/>
    <w:rsid w:val="1FEAD7E5"/>
    <w:rsid w:val="1FF5B2DE"/>
    <w:rsid w:val="1FFB201C"/>
    <w:rsid w:val="1FFB5405"/>
    <w:rsid w:val="1FFFBDE5"/>
    <w:rsid w:val="20765BC3"/>
    <w:rsid w:val="20E82682"/>
    <w:rsid w:val="21BE8AEE"/>
    <w:rsid w:val="21FE88D0"/>
    <w:rsid w:val="22604DB4"/>
    <w:rsid w:val="2262768D"/>
    <w:rsid w:val="23176417"/>
    <w:rsid w:val="23865154"/>
    <w:rsid w:val="23AB053A"/>
    <w:rsid w:val="23F542FD"/>
    <w:rsid w:val="24591873"/>
    <w:rsid w:val="247A647E"/>
    <w:rsid w:val="24DE5D48"/>
    <w:rsid w:val="255E18C3"/>
    <w:rsid w:val="25AFEC6A"/>
    <w:rsid w:val="25B241DD"/>
    <w:rsid w:val="25C33A1E"/>
    <w:rsid w:val="261F2A82"/>
    <w:rsid w:val="26FF5185"/>
    <w:rsid w:val="27562E90"/>
    <w:rsid w:val="27B65108"/>
    <w:rsid w:val="27CF419B"/>
    <w:rsid w:val="287F6E35"/>
    <w:rsid w:val="288B7F9D"/>
    <w:rsid w:val="28DB0320"/>
    <w:rsid w:val="28FB1A79"/>
    <w:rsid w:val="2955C9F5"/>
    <w:rsid w:val="29B521C6"/>
    <w:rsid w:val="2A2130A4"/>
    <w:rsid w:val="2A6C79FE"/>
    <w:rsid w:val="2A6F67E4"/>
    <w:rsid w:val="2A7B25E2"/>
    <w:rsid w:val="2AE20017"/>
    <w:rsid w:val="2B76A668"/>
    <w:rsid w:val="2BCB9AE8"/>
    <w:rsid w:val="2BEACFCB"/>
    <w:rsid w:val="2BFF3860"/>
    <w:rsid w:val="2C201CB5"/>
    <w:rsid w:val="2C2E499A"/>
    <w:rsid w:val="2C9E681C"/>
    <w:rsid w:val="2D0A13E6"/>
    <w:rsid w:val="2E37A926"/>
    <w:rsid w:val="2E391E57"/>
    <w:rsid w:val="2E7D67E5"/>
    <w:rsid w:val="2EC7407F"/>
    <w:rsid w:val="2F0B74F4"/>
    <w:rsid w:val="2F5F4B91"/>
    <w:rsid w:val="2F7C33A7"/>
    <w:rsid w:val="2FAF79D4"/>
    <w:rsid w:val="2FB3610F"/>
    <w:rsid w:val="2FBF8054"/>
    <w:rsid w:val="2FCA5114"/>
    <w:rsid w:val="2FDE7DD5"/>
    <w:rsid w:val="2FDF260D"/>
    <w:rsid w:val="2FE2BDF5"/>
    <w:rsid w:val="2FE47C81"/>
    <w:rsid w:val="2FE79681"/>
    <w:rsid w:val="2FE925DE"/>
    <w:rsid w:val="2FFF508C"/>
    <w:rsid w:val="2FFFB77B"/>
    <w:rsid w:val="3062230F"/>
    <w:rsid w:val="309505B8"/>
    <w:rsid w:val="30D713E5"/>
    <w:rsid w:val="31ABD092"/>
    <w:rsid w:val="31BC622D"/>
    <w:rsid w:val="31D71110"/>
    <w:rsid w:val="31F772F8"/>
    <w:rsid w:val="326672A9"/>
    <w:rsid w:val="335EC2C9"/>
    <w:rsid w:val="335F9605"/>
    <w:rsid w:val="336E7A77"/>
    <w:rsid w:val="336F864D"/>
    <w:rsid w:val="337FC0AF"/>
    <w:rsid w:val="338B7D2F"/>
    <w:rsid w:val="33BE1BD8"/>
    <w:rsid w:val="33EDE0AB"/>
    <w:rsid w:val="33FF0B55"/>
    <w:rsid w:val="3413BAED"/>
    <w:rsid w:val="34944F96"/>
    <w:rsid w:val="34CBF0FF"/>
    <w:rsid w:val="34EBA5E8"/>
    <w:rsid w:val="34FFC868"/>
    <w:rsid w:val="354C6553"/>
    <w:rsid w:val="355527C5"/>
    <w:rsid w:val="355F1FAF"/>
    <w:rsid w:val="35681483"/>
    <w:rsid w:val="357D7842"/>
    <w:rsid w:val="35FA414E"/>
    <w:rsid w:val="35FF2072"/>
    <w:rsid w:val="36104355"/>
    <w:rsid w:val="36522820"/>
    <w:rsid w:val="365E79E7"/>
    <w:rsid w:val="36605533"/>
    <w:rsid w:val="36FF1322"/>
    <w:rsid w:val="3703556B"/>
    <w:rsid w:val="373DF6F0"/>
    <w:rsid w:val="375C679C"/>
    <w:rsid w:val="376D771E"/>
    <w:rsid w:val="3773AC8C"/>
    <w:rsid w:val="377DF5C8"/>
    <w:rsid w:val="377EBBDF"/>
    <w:rsid w:val="37C35378"/>
    <w:rsid w:val="37D3776F"/>
    <w:rsid w:val="37D717BC"/>
    <w:rsid w:val="37EFD344"/>
    <w:rsid w:val="37F5FBD4"/>
    <w:rsid w:val="37FF2901"/>
    <w:rsid w:val="381B4C6E"/>
    <w:rsid w:val="391762DE"/>
    <w:rsid w:val="393921D3"/>
    <w:rsid w:val="39DDAD53"/>
    <w:rsid w:val="39EA6F9C"/>
    <w:rsid w:val="39FB3FE5"/>
    <w:rsid w:val="3A0A5C12"/>
    <w:rsid w:val="3A3FAD34"/>
    <w:rsid w:val="3A6D3443"/>
    <w:rsid w:val="3A8A75E7"/>
    <w:rsid w:val="3ABD4C06"/>
    <w:rsid w:val="3ACFE937"/>
    <w:rsid w:val="3AF73C71"/>
    <w:rsid w:val="3B10410F"/>
    <w:rsid w:val="3B146D5D"/>
    <w:rsid w:val="3B1505A6"/>
    <w:rsid w:val="3B295E75"/>
    <w:rsid w:val="3B9D42D3"/>
    <w:rsid w:val="3BBF615D"/>
    <w:rsid w:val="3BBFB9B9"/>
    <w:rsid w:val="3BCBE004"/>
    <w:rsid w:val="3BD27A1D"/>
    <w:rsid w:val="3BDF35E8"/>
    <w:rsid w:val="3BEC4E8D"/>
    <w:rsid w:val="3BED88B5"/>
    <w:rsid w:val="3BF2BACE"/>
    <w:rsid w:val="3BF35235"/>
    <w:rsid w:val="3BFF4357"/>
    <w:rsid w:val="3BFFF285"/>
    <w:rsid w:val="3C1C35DD"/>
    <w:rsid w:val="3C4A40F2"/>
    <w:rsid w:val="3C4D7940"/>
    <w:rsid w:val="3C8B5180"/>
    <w:rsid w:val="3CDF836B"/>
    <w:rsid w:val="3D0E7959"/>
    <w:rsid w:val="3D2C1D85"/>
    <w:rsid w:val="3D5B20A5"/>
    <w:rsid w:val="3D7F58E5"/>
    <w:rsid w:val="3D835AC8"/>
    <w:rsid w:val="3D9F948A"/>
    <w:rsid w:val="3DB364B7"/>
    <w:rsid w:val="3DBFF948"/>
    <w:rsid w:val="3DDF00C3"/>
    <w:rsid w:val="3DEFD439"/>
    <w:rsid w:val="3DEFE93B"/>
    <w:rsid w:val="3DF70B80"/>
    <w:rsid w:val="3DFD02DA"/>
    <w:rsid w:val="3E012316"/>
    <w:rsid w:val="3E241B62"/>
    <w:rsid w:val="3E455615"/>
    <w:rsid w:val="3E754120"/>
    <w:rsid w:val="3E7EBDE1"/>
    <w:rsid w:val="3E7F8228"/>
    <w:rsid w:val="3E9D6E28"/>
    <w:rsid w:val="3EC4710B"/>
    <w:rsid w:val="3EDFD9CD"/>
    <w:rsid w:val="3EFC989C"/>
    <w:rsid w:val="3EFE3E83"/>
    <w:rsid w:val="3EFF7B26"/>
    <w:rsid w:val="3F1D3868"/>
    <w:rsid w:val="3F3B8423"/>
    <w:rsid w:val="3F3F77E8"/>
    <w:rsid w:val="3F5BD4E9"/>
    <w:rsid w:val="3F679856"/>
    <w:rsid w:val="3F6A0CC5"/>
    <w:rsid w:val="3F6F229C"/>
    <w:rsid w:val="3F7C789B"/>
    <w:rsid w:val="3F7D8EEC"/>
    <w:rsid w:val="3F8CC94E"/>
    <w:rsid w:val="3F8E621F"/>
    <w:rsid w:val="3F9F30D6"/>
    <w:rsid w:val="3FA5EB0F"/>
    <w:rsid w:val="3FA7359E"/>
    <w:rsid w:val="3FB30008"/>
    <w:rsid w:val="3FBD5583"/>
    <w:rsid w:val="3FBE84A8"/>
    <w:rsid w:val="3FBFD4F5"/>
    <w:rsid w:val="3FD3A5AD"/>
    <w:rsid w:val="3FD63FDE"/>
    <w:rsid w:val="3FD713BA"/>
    <w:rsid w:val="3FDB1D57"/>
    <w:rsid w:val="3FDE491D"/>
    <w:rsid w:val="3FDE7C2F"/>
    <w:rsid w:val="3FED3179"/>
    <w:rsid w:val="3FF73F84"/>
    <w:rsid w:val="3FF799F3"/>
    <w:rsid w:val="3FF80A90"/>
    <w:rsid w:val="3FF91D40"/>
    <w:rsid w:val="3FFAAB25"/>
    <w:rsid w:val="3FFBE394"/>
    <w:rsid w:val="3FFE0633"/>
    <w:rsid w:val="3FFE0B27"/>
    <w:rsid w:val="3FFE1171"/>
    <w:rsid w:val="3FFEDADA"/>
    <w:rsid w:val="3FFEED11"/>
    <w:rsid w:val="3FFF03F2"/>
    <w:rsid w:val="3FFF8761"/>
    <w:rsid w:val="3FFFE26C"/>
    <w:rsid w:val="3FFFFE57"/>
    <w:rsid w:val="40484EF8"/>
    <w:rsid w:val="41553EE6"/>
    <w:rsid w:val="4158518A"/>
    <w:rsid w:val="41670B1F"/>
    <w:rsid w:val="416C363E"/>
    <w:rsid w:val="42193328"/>
    <w:rsid w:val="429B0BB1"/>
    <w:rsid w:val="429F9652"/>
    <w:rsid w:val="42EC579E"/>
    <w:rsid w:val="437F56A0"/>
    <w:rsid w:val="43B053A9"/>
    <w:rsid w:val="43E637A7"/>
    <w:rsid w:val="43EF7555"/>
    <w:rsid w:val="43F1624D"/>
    <w:rsid w:val="43FF7CBF"/>
    <w:rsid w:val="442979A4"/>
    <w:rsid w:val="44500D4B"/>
    <w:rsid w:val="4555726A"/>
    <w:rsid w:val="45C517DF"/>
    <w:rsid w:val="45D86137"/>
    <w:rsid w:val="45E04CFC"/>
    <w:rsid w:val="45E438CF"/>
    <w:rsid w:val="462A1A03"/>
    <w:rsid w:val="467C5DA6"/>
    <w:rsid w:val="477702F5"/>
    <w:rsid w:val="477C7995"/>
    <w:rsid w:val="47BABEDB"/>
    <w:rsid w:val="47BE4C45"/>
    <w:rsid w:val="47BF4F1E"/>
    <w:rsid w:val="487137F0"/>
    <w:rsid w:val="48901302"/>
    <w:rsid w:val="48911169"/>
    <w:rsid w:val="49A850F1"/>
    <w:rsid w:val="4A8F70D8"/>
    <w:rsid w:val="4ABEF567"/>
    <w:rsid w:val="4B6661FF"/>
    <w:rsid w:val="4BB6064D"/>
    <w:rsid w:val="4BF6E6AB"/>
    <w:rsid w:val="4C0E68C3"/>
    <w:rsid w:val="4D1ACB49"/>
    <w:rsid w:val="4D752A30"/>
    <w:rsid w:val="4D9D2FA6"/>
    <w:rsid w:val="4DAE322C"/>
    <w:rsid w:val="4DDE2027"/>
    <w:rsid w:val="4E2E6693"/>
    <w:rsid w:val="4E3F928F"/>
    <w:rsid w:val="4EE7402D"/>
    <w:rsid w:val="4EEFD673"/>
    <w:rsid w:val="4EF5DB99"/>
    <w:rsid w:val="4F301B9A"/>
    <w:rsid w:val="4F536BFD"/>
    <w:rsid w:val="4F5D1BC8"/>
    <w:rsid w:val="4F6EFC51"/>
    <w:rsid w:val="4F7F32E7"/>
    <w:rsid w:val="4F8D9504"/>
    <w:rsid w:val="4FB2A240"/>
    <w:rsid w:val="4FC5AD04"/>
    <w:rsid w:val="4FC7B06B"/>
    <w:rsid w:val="4FCD4D90"/>
    <w:rsid w:val="4FD63094"/>
    <w:rsid w:val="4FF7ECA1"/>
    <w:rsid w:val="4FFA267D"/>
    <w:rsid w:val="4FFB595E"/>
    <w:rsid w:val="4FFB6383"/>
    <w:rsid w:val="50A658C3"/>
    <w:rsid w:val="50B149BE"/>
    <w:rsid w:val="514B0C21"/>
    <w:rsid w:val="51732D73"/>
    <w:rsid w:val="51F75791"/>
    <w:rsid w:val="522F55C9"/>
    <w:rsid w:val="5258754C"/>
    <w:rsid w:val="525B50F2"/>
    <w:rsid w:val="525E30C3"/>
    <w:rsid w:val="52721F36"/>
    <w:rsid w:val="52EFA202"/>
    <w:rsid w:val="53233720"/>
    <w:rsid w:val="539FB367"/>
    <w:rsid w:val="53DE9905"/>
    <w:rsid w:val="53FB7846"/>
    <w:rsid w:val="53FEDC51"/>
    <w:rsid w:val="53FFBD42"/>
    <w:rsid w:val="541750F9"/>
    <w:rsid w:val="545A55BD"/>
    <w:rsid w:val="5476637E"/>
    <w:rsid w:val="54FF8EB6"/>
    <w:rsid w:val="557FB53A"/>
    <w:rsid w:val="55A00C1B"/>
    <w:rsid w:val="55B3B784"/>
    <w:rsid w:val="55D07A33"/>
    <w:rsid w:val="55EB8D37"/>
    <w:rsid w:val="55F83747"/>
    <w:rsid w:val="55FF35EC"/>
    <w:rsid w:val="55FF5636"/>
    <w:rsid w:val="564B40C4"/>
    <w:rsid w:val="565F016A"/>
    <w:rsid w:val="56AEBB1C"/>
    <w:rsid w:val="56CA23C9"/>
    <w:rsid w:val="56CB1192"/>
    <w:rsid w:val="56DE563B"/>
    <w:rsid w:val="56FD0A3D"/>
    <w:rsid w:val="577B89BB"/>
    <w:rsid w:val="577C4AAF"/>
    <w:rsid w:val="57BB578E"/>
    <w:rsid w:val="57BFAD11"/>
    <w:rsid w:val="57C70D7B"/>
    <w:rsid w:val="57CF1CCB"/>
    <w:rsid w:val="57D24542"/>
    <w:rsid w:val="57EF6C9B"/>
    <w:rsid w:val="581F795C"/>
    <w:rsid w:val="586C0A57"/>
    <w:rsid w:val="58FF5C85"/>
    <w:rsid w:val="59BF346D"/>
    <w:rsid w:val="59CF7EA3"/>
    <w:rsid w:val="59FF3B8B"/>
    <w:rsid w:val="59FF4BC3"/>
    <w:rsid w:val="5A3F5D48"/>
    <w:rsid w:val="5A596397"/>
    <w:rsid w:val="5AA5CBE8"/>
    <w:rsid w:val="5ABE2002"/>
    <w:rsid w:val="5ABF6CAE"/>
    <w:rsid w:val="5AF7E5F9"/>
    <w:rsid w:val="5AFEF9E1"/>
    <w:rsid w:val="5B1751FF"/>
    <w:rsid w:val="5B552000"/>
    <w:rsid w:val="5B6B7A72"/>
    <w:rsid w:val="5BAD57C5"/>
    <w:rsid w:val="5BBFB05F"/>
    <w:rsid w:val="5BCE2761"/>
    <w:rsid w:val="5BEF3700"/>
    <w:rsid w:val="5BF7B4E5"/>
    <w:rsid w:val="5C8F4755"/>
    <w:rsid w:val="5CFD049E"/>
    <w:rsid w:val="5D1BDE15"/>
    <w:rsid w:val="5D34347A"/>
    <w:rsid w:val="5D7F8D8D"/>
    <w:rsid w:val="5D7F9E85"/>
    <w:rsid w:val="5D876DAB"/>
    <w:rsid w:val="5D8B695D"/>
    <w:rsid w:val="5DB51D8A"/>
    <w:rsid w:val="5DB597F9"/>
    <w:rsid w:val="5DD7F538"/>
    <w:rsid w:val="5DDD7D68"/>
    <w:rsid w:val="5DDF9F25"/>
    <w:rsid w:val="5DEEDDED"/>
    <w:rsid w:val="5DEF8F90"/>
    <w:rsid w:val="5DF9BFB6"/>
    <w:rsid w:val="5DFD65F3"/>
    <w:rsid w:val="5E5BA771"/>
    <w:rsid w:val="5E7F515F"/>
    <w:rsid w:val="5E958EC9"/>
    <w:rsid w:val="5EDF0862"/>
    <w:rsid w:val="5EE32197"/>
    <w:rsid w:val="5EEF3B38"/>
    <w:rsid w:val="5EF318EC"/>
    <w:rsid w:val="5EFB68F6"/>
    <w:rsid w:val="5EFBB237"/>
    <w:rsid w:val="5EFF0242"/>
    <w:rsid w:val="5EFF7930"/>
    <w:rsid w:val="5F25672D"/>
    <w:rsid w:val="5F3B4947"/>
    <w:rsid w:val="5F3DB73A"/>
    <w:rsid w:val="5F5930D2"/>
    <w:rsid w:val="5F5C852D"/>
    <w:rsid w:val="5F6EB58D"/>
    <w:rsid w:val="5F73CFDB"/>
    <w:rsid w:val="5F788219"/>
    <w:rsid w:val="5F7B0FC9"/>
    <w:rsid w:val="5F97991D"/>
    <w:rsid w:val="5FB7B08A"/>
    <w:rsid w:val="5FBB246C"/>
    <w:rsid w:val="5FBFB30A"/>
    <w:rsid w:val="5FCA359C"/>
    <w:rsid w:val="5FCBFC1D"/>
    <w:rsid w:val="5FD0EC82"/>
    <w:rsid w:val="5FD3D504"/>
    <w:rsid w:val="5FD64158"/>
    <w:rsid w:val="5FDA2C0E"/>
    <w:rsid w:val="5FDD0594"/>
    <w:rsid w:val="5FDD1306"/>
    <w:rsid w:val="5FDD67DB"/>
    <w:rsid w:val="5FDF19B2"/>
    <w:rsid w:val="5FE746CC"/>
    <w:rsid w:val="5FE76E31"/>
    <w:rsid w:val="5FEE47F8"/>
    <w:rsid w:val="5FF5995F"/>
    <w:rsid w:val="5FF7D0A2"/>
    <w:rsid w:val="5FF7F925"/>
    <w:rsid w:val="5FF99F02"/>
    <w:rsid w:val="5FFA8CAA"/>
    <w:rsid w:val="5FFB198F"/>
    <w:rsid w:val="5FFB2F73"/>
    <w:rsid w:val="5FFD4364"/>
    <w:rsid w:val="5FFE5A50"/>
    <w:rsid w:val="5FFF2FB9"/>
    <w:rsid w:val="5FFF6594"/>
    <w:rsid w:val="5FFFF03D"/>
    <w:rsid w:val="602307A1"/>
    <w:rsid w:val="602B4ADB"/>
    <w:rsid w:val="608736F8"/>
    <w:rsid w:val="608904C1"/>
    <w:rsid w:val="616651CE"/>
    <w:rsid w:val="61F536CC"/>
    <w:rsid w:val="61FFD944"/>
    <w:rsid w:val="621362B8"/>
    <w:rsid w:val="622222F6"/>
    <w:rsid w:val="622E0F30"/>
    <w:rsid w:val="624D42B6"/>
    <w:rsid w:val="626D558D"/>
    <w:rsid w:val="62867D21"/>
    <w:rsid w:val="6287DEE8"/>
    <w:rsid w:val="62B7A228"/>
    <w:rsid w:val="63584240"/>
    <w:rsid w:val="63F91E48"/>
    <w:rsid w:val="648C39B9"/>
    <w:rsid w:val="64995CF1"/>
    <w:rsid w:val="658B0900"/>
    <w:rsid w:val="659FC1C8"/>
    <w:rsid w:val="65A85DF9"/>
    <w:rsid w:val="65AFFEF3"/>
    <w:rsid w:val="65EBF361"/>
    <w:rsid w:val="65FB4D78"/>
    <w:rsid w:val="661041E5"/>
    <w:rsid w:val="66780ED6"/>
    <w:rsid w:val="66E055A7"/>
    <w:rsid w:val="66F3FB35"/>
    <w:rsid w:val="66FC2D64"/>
    <w:rsid w:val="66FE48A7"/>
    <w:rsid w:val="6747A8BD"/>
    <w:rsid w:val="676873A1"/>
    <w:rsid w:val="677956FB"/>
    <w:rsid w:val="677D3283"/>
    <w:rsid w:val="677D608A"/>
    <w:rsid w:val="677F10C2"/>
    <w:rsid w:val="677F9245"/>
    <w:rsid w:val="67BF7565"/>
    <w:rsid w:val="67BF984B"/>
    <w:rsid w:val="67DB63E7"/>
    <w:rsid w:val="67DECAC0"/>
    <w:rsid w:val="67F97716"/>
    <w:rsid w:val="67FBA434"/>
    <w:rsid w:val="67FDBBBB"/>
    <w:rsid w:val="67FF11A7"/>
    <w:rsid w:val="689606BC"/>
    <w:rsid w:val="691B09A4"/>
    <w:rsid w:val="69876C29"/>
    <w:rsid w:val="69927EE8"/>
    <w:rsid w:val="69EEECC3"/>
    <w:rsid w:val="69FD1DCC"/>
    <w:rsid w:val="6A44657E"/>
    <w:rsid w:val="6A582708"/>
    <w:rsid w:val="6A5EC3A8"/>
    <w:rsid w:val="6AF97A73"/>
    <w:rsid w:val="6B7A8789"/>
    <w:rsid w:val="6B7D119A"/>
    <w:rsid w:val="6B97512E"/>
    <w:rsid w:val="6BADF9D9"/>
    <w:rsid w:val="6BAF9768"/>
    <w:rsid w:val="6BCF18C8"/>
    <w:rsid w:val="6BD27C63"/>
    <w:rsid w:val="6BDD6A2B"/>
    <w:rsid w:val="6BDF97AB"/>
    <w:rsid w:val="6BFAEA8B"/>
    <w:rsid w:val="6C477D58"/>
    <w:rsid w:val="6C7970F7"/>
    <w:rsid w:val="6C7FBCDF"/>
    <w:rsid w:val="6C96242F"/>
    <w:rsid w:val="6CFF021E"/>
    <w:rsid w:val="6D39691B"/>
    <w:rsid w:val="6D513A06"/>
    <w:rsid w:val="6D6B4471"/>
    <w:rsid w:val="6D7FBBB1"/>
    <w:rsid w:val="6D9B5F81"/>
    <w:rsid w:val="6D9F1564"/>
    <w:rsid w:val="6DBDD91A"/>
    <w:rsid w:val="6DBF5C69"/>
    <w:rsid w:val="6DC72085"/>
    <w:rsid w:val="6DDF1577"/>
    <w:rsid w:val="6DF72B05"/>
    <w:rsid w:val="6DFF2478"/>
    <w:rsid w:val="6E0FA424"/>
    <w:rsid w:val="6E3FEA8B"/>
    <w:rsid w:val="6E6E0A7F"/>
    <w:rsid w:val="6EBF4067"/>
    <w:rsid w:val="6EBF7C50"/>
    <w:rsid w:val="6ECC0124"/>
    <w:rsid w:val="6ECD3C20"/>
    <w:rsid w:val="6ED033B6"/>
    <w:rsid w:val="6EE7C796"/>
    <w:rsid w:val="6EEA5DC9"/>
    <w:rsid w:val="6EEBF174"/>
    <w:rsid w:val="6EEEEBF0"/>
    <w:rsid w:val="6EF212D8"/>
    <w:rsid w:val="6EFA01D8"/>
    <w:rsid w:val="6EFA2AAB"/>
    <w:rsid w:val="6EFED5BB"/>
    <w:rsid w:val="6EFF5CC8"/>
    <w:rsid w:val="6EFF7CCF"/>
    <w:rsid w:val="6EFFC307"/>
    <w:rsid w:val="6F1EB98E"/>
    <w:rsid w:val="6F3FCC78"/>
    <w:rsid w:val="6F3FD5F7"/>
    <w:rsid w:val="6F3FE748"/>
    <w:rsid w:val="6F5D9935"/>
    <w:rsid w:val="6F7B037D"/>
    <w:rsid w:val="6F7B5091"/>
    <w:rsid w:val="6F7E9120"/>
    <w:rsid w:val="6F7FB780"/>
    <w:rsid w:val="6F7FFA28"/>
    <w:rsid w:val="6F9FCAFC"/>
    <w:rsid w:val="6FAD7D44"/>
    <w:rsid w:val="6FB5890F"/>
    <w:rsid w:val="6FBE5F5B"/>
    <w:rsid w:val="6FBF36BE"/>
    <w:rsid w:val="6FBFE454"/>
    <w:rsid w:val="6FCB6175"/>
    <w:rsid w:val="6FD7813D"/>
    <w:rsid w:val="6FDF8286"/>
    <w:rsid w:val="6FE98BEB"/>
    <w:rsid w:val="6FF00518"/>
    <w:rsid w:val="6FF3710D"/>
    <w:rsid w:val="6FF96132"/>
    <w:rsid w:val="6FFBE532"/>
    <w:rsid w:val="6FFD5454"/>
    <w:rsid w:val="6FFE5DE9"/>
    <w:rsid w:val="6FFF1F8D"/>
    <w:rsid w:val="6FFFD53C"/>
    <w:rsid w:val="705D2E7F"/>
    <w:rsid w:val="706FA642"/>
    <w:rsid w:val="70BA689C"/>
    <w:rsid w:val="71240272"/>
    <w:rsid w:val="717F273D"/>
    <w:rsid w:val="719ECCB0"/>
    <w:rsid w:val="71AFC975"/>
    <w:rsid w:val="71CAE206"/>
    <w:rsid w:val="71E958AD"/>
    <w:rsid w:val="71F36214"/>
    <w:rsid w:val="72598A37"/>
    <w:rsid w:val="72761191"/>
    <w:rsid w:val="72A79796"/>
    <w:rsid w:val="72DF3AA2"/>
    <w:rsid w:val="72EE128E"/>
    <w:rsid w:val="72EF9C39"/>
    <w:rsid w:val="73570CE3"/>
    <w:rsid w:val="737850A4"/>
    <w:rsid w:val="73D06BD1"/>
    <w:rsid w:val="73DB1D15"/>
    <w:rsid w:val="73DF0B47"/>
    <w:rsid w:val="73E98495"/>
    <w:rsid w:val="73ED2B94"/>
    <w:rsid w:val="73EF033C"/>
    <w:rsid w:val="73F3802D"/>
    <w:rsid w:val="73F393C4"/>
    <w:rsid w:val="73FE534E"/>
    <w:rsid w:val="73FE6EE3"/>
    <w:rsid w:val="73FF2D65"/>
    <w:rsid w:val="73FF415D"/>
    <w:rsid w:val="740D7C4C"/>
    <w:rsid w:val="74257408"/>
    <w:rsid w:val="74296B63"/>
    <w:rsid w:val="742E5BED"/>
    <w:rsid w:val="746EE2AE"/>
    <w:rsid w:val="7477E4E4"/>
    <w:rsid w:val="74937416"/>
    <w:rsid w:val="74DF138F"/>
    <w:rsid w:val="74FF4742"/>
    <w:rsid w:val="752DB31D"/>
    <w:rsid w:val="75370843"/>
    <w:rsid w:val="757FD9D1"/>
    <w:rsid w:val="75BFC8D6"/>
    <w:rsid w:val="75C6640A"/>
    <w:rsid w:val="75CA53F6"/>
    <w:rsid w:val="75EFA3C3"/>
    <w:rsid w:val="75FA3DA6"/>
    <w:rsid w:val="75FF4DFD"/>
    <w:rsid w:val="7618378C"/>
    <w:rsid w:val="762E0CBD"/>
    <w:rsid w:val="767DF2DB"/>
    <w:rsid w:val="767FB6B9"/>
    <w:rsid w:val="76B704E5"/>
    <w:rsid w:val="76C92B88"/>
    <w:rsid w:val="76EB705A"/>
    <w:rsid w:val="76EF36FA"/>
    <w:rsid w:val="76EF48A0"/>
    <w:rsid w:val="76EFE0E7"/>
    <w:rsid w:val="76FCA2A8"/>
    <w:rsid w:val="76FF9880"/>
    <w:rsid w:val="77205F28"/>
    <w:rsid w:val="7738626B"/>
    <w:rsid w:val="773B4AD5"/>
    <w:rsid w:val="774E3998"/>
    <w:rsid w:val="775FF6A5"/>
    <w:rsid w:val="7767891A"/>
    <w:rsid w:val="77742CF0"/>
    <w:rsid w:val="77763F59"/>
    <w:rsid w:val="777970B3"/>
    <w:rsid w:val="777BB53F"/>
    <w:rsid w:val="777DCA6F"/>
    <w:rsid w:val="777FFF44"/>
    <w:rsid w:val="778F1117"/>
    <w:rsid w:val="779813C2"/>
    <w:rsid w:val="779F61EA"/>
    <w:rsid w:val="77A65C44"/>
    <w:rsid w:val="77AB9C5B"/>
    <w:rsid w:val="77BE049A"/>
    <w:rsid w:val="77BE12FE"/>
    <w:rsid w:val="77BF6D65"/>
    <w:rsid w:val="77BFC53A"/>
    <w:rsid w:val="77BFEBF1"/>
    <w:rsid w:val="77D56CD6"/>
    <w:rsid w:val="77E74B09"/>
    <w:rsid w:val="77EF51F0"/>
    <w:rsid w:val="77F39DD5"/>
    <w:rsid w:val="77F77F9A"/>
    <w:rsid w:val="77F78B54"/>
    <w:rsid w:val="77FADEA2"/>
    <w:rsid w:val="77FB23C0"/>
    <w:rsid w:val="77FBB49F"/>
    <w:rsid w:val="77FF8502"/>
    <w:rsid w:val="78186988"/>
    <w:rsid w:val="78BEC999"/>
    <w:rsid w:val="78EFC3CF"/>
    <w:rsid w:val="78F65B2B"/>
    <w:rsid w:val="792EC457"/>
    <w:rsid w:val="79593E4D"/>
    <w:rsid w:val="79786488"/>
    <w:rsid w:val="797FD8D0"/>
    <w:rsid w:val="79833FFC"/>
    <w:rsid w:val="79A6B48C"/>
    <w:rsid w:val="79B31C78"/>
    <w:rsid w:val="79B72367"/>
    <w:rsid w:val="79BA0854"/>
    <w:rsid w:val="79BDB73C"/>
    <w:rsid w:val="79E33B25"/>
    <w:rsid w:val="79F39BF6"/>
    <w:rsid w:val="79FA7988"/>
    <w:rsid w:val="79FEE3EE"/>
    <w:rsid w:val="79FFAD19"/>
    <w:rsid w:val="79FFE6B8"/>
    <w:rsid w:val="7A63381E"/>
    <w:rsid w:val="7A754A22"/>
    <w:rsid w:val="7A9ED542"/>
    <w:rsid w:val="7AA44BB6"/>
    <w:rsid w:val="7ABBE260"/>
    <w:rsid w:val="7ABE5C4A"/>
    <w:rsid w:val="7ADB626D"/>
    <w:rsid w:val="7AED3DEC"/>
    <w:rsid w:val="7AEEE4F8"/>
    <w:rsid w:val="7AEF6780"/>
    <w:rsid w:val="7AF331F7"/>
    <w:rsid w:val="7AFC0774"/>
    <w:rsid w:val="7AFF48CC"/>
    <w:rsid w:val="7AFFE280"/>
    <w:rsid w:val="7B1BEF0D"/>
    <w:rsid w:val="7B2CC047"/>
    <w:rsid w:val="7B392F5C"/>
    <w:rsid w:val="7B3D8D7E"/>
    <w:rsid w:val="7B3FD0F4"/>
    <w:rsid w:val="7B52B5BC"/>
    <w:rsid w:val="7B7B3389"/>
    <w:rsid w:val="7B9456D7"/>
    <w:rsid w:val="7B9F9F74"/>
    <w:rsid w:val="7BAD23C5"/>
    <w:rsid w:val="7BAF214D"/>
    <w:rsid w:val="7BB799C4"/>
    <w:rsid w:val="7BBEE3CB"/>
    <w:rsid w:val="7BBEFF56"/>
    <w:rsid w:val="7BBF69BE"/>
    <w:rsid w:val="7BCB0ADA"/>
    <w:rsid w:val="7BCF7DC1"/>
    <w:rsid w:val="7BD7E976"/>
    <w:rsid w:val="7BD97D9F"/>
    <w:rsid w:val="7BDBB866"/>
    <w:rsid w:val="7BDF5ABD"/>
    <w:rsid w:val="7BEBBB34"/>
    <w:rsid w:val="7BED9148"/>
    <w:rsid w:val="7BF10FA4"/>
    <w:rsid w:val="7BF40327"/>
    <w:rsid w:val="7BF8B96A"/>
    <w:rsid w:val="7BF94960"/>
    <w:rsid w:val="7BFB78CD"/>
    <w:rsid w:val="7BFCA12B"/>
    <w:rsid w:val="7BFEB7F0"/>
    <w:rsid w:val="7BFF0195"/>
    <w:rsid w:val="7BFF6F9E"/>
    <w:rsid w:val="7BFF7744"/>
    <w:rsid w:val="7C17388C"/>
    <w:rsid w:val="7C2D8A10"/>
    <w:rsid w:val="7C778E77"/>
    <w:rsid w:val="7C827E1B"/>
    <w:rsid w:val="7CAE2C0A"/>
    <w:rsid w:val="7CB75CDC"/>
    <w:rsid w:val="7CF75E1F"/>
    <w:rsid w:val="7CF7D408"/>
    <w:rsid w:val="7CF9C04D"/>
    <w:rsid w:val="7D365689"/>
    <w:rsid w:val="7D596BAE"/>
    <w:rsid w:val="7D5F2CAD"/>
    <w:rsid w:val="7D777D1A"/>
    <w:rsid w:val="7D7A9B24"/>
    <w:rsid w:val="7D7C04B7"/>
    <w:rsid w:val="7D7E7B80"/>
    <w:rsid w:val="7D8EF215"/>
    <w:rsid w:val="7D9C4907"/>
    <w:rsid w:val="7D9FA75A"/>
    <w:rsid w:val="7DA316BB"/>
    <w:rsid w:val="7DBD5A16"/>
    <w:rsid w:val="7DCDFB47"/>
    <w:rsid w:val="7DD62F86"/>
    <w:rsid w:val="7DD9C569"/>
    <w:rsid w:val="7DDFF69F"/>
    <w:rsid w:val="7DE15EFD"/>
    <w:rsid w:val="7DE9EBD9"/>
    <w:rsid w:val="7DEEA5ED"/>
    <w:rsid w:val="7DF46E2F"/>
    <w:rsid w:val="7DF72493"/>
    <w:rsid w:val="7DF72EDC"/>
    <w:rsid w:val="7DF907B6"/>
    <w:rsid w:val="7DFB66CE"/>
    <w:rsid w:val="7DFD0CC9"/>
    <w:rsid w:val="7DFDE020"/>
    <w:rsid w:val="7DFE67EE"/>
    <w:rsid w:val="7DFF7E45"/>
    <w:rsid w:val="7DFF893A"/>
    <w:rsid w:val="7E165DAD"/>
    <w:rsid w:val="7E1F42DA"/>
    <w:rsid w:val="7E2F7F57"/>
    <w:rsid w:val="7E4C3885"/>
    <w:rsid w:val="7E4D7F92"/>
    <w:rsid w:val="7E4F7A24"/>
    <w:rsid w:val="7E530C15"/>
    <w:rsid w:val="7E73004B"/>
    <w:rsid w:val="7E77BBAD"/>
    <w:rsid w:val="7E7B3C5D"/>
    <w:rsid w:val="7E7DA531"/>
    <w:rsid w:val="7E8A706A"/>
    <w:rsid w:val="7E8F3A95"/>
    <w:rsid w:val="7E98FDE3"/>
    <w:rsid w:val="7EAC7116"/>
    <w:rsid w:val="7EB3C7EE"/>
    <w:rsid w:val="7EB4897C"/>
    <w:rsid w:val="7EB8A144"/>
    <w:rsid w:val="7EBCFB45"/>
    <w:rsid w:val="7EBE4CEC"/>
    <w:rsid w:val="7ED7B0E8"/>
    <w:rsid w:val="7ED7BFD5"/>
    <w:rsid w:val="7ED7C231"/>
    <w:rsid w:val="7EDC51B4"/>
    <w:rsid w:val="7EE70B79"/>
    <w:rsid w:val="7EED0208"/>
    <w:rsid w:val="7EF198DF"/>
    <w:rsid w:val="7EF345BF"/>
    <w:rsid w:val="7EF356E7"/>
    <w:rsid w:val="7EF46BA6"/>
    <w:rsid w:val="7EF51EC9"/>
    <w:rsid w:val="7EF6EEE8"/>
    <w:rsid w:val="7EF78FEE"/>
    <w:rsid w:val="7EF92E22"/>
    <w:rsid w:val="7EFB0D6D"/>
    <w:rsid w:val="7EFB6622"/>
    <w:rsid w:val="7EFF04B8"/>
    <w:rsid w:val="7EFF07D5"/>
    <w:rsid w:val="7EFF4EB9"/>
    <w:rsid w:val="7EFF5E94"/>
    <w:rsid w:val="7EFF7353"/>
    <w:rsid w:val="7EFFCBD6"/>
    <w:rsid w:val="7F022EFC"/>
    <w:rsid w:val="7F1E2236"/>
    <w:rsid w:val="7F392E6B"/>
    <w:rsid w:val="7F3B4D88"/>
    <w:rsid w:val="7F3F3811"/>
    <w:rsid w:val="7F485F8A"/>
    <w:rsid w:val="7F4FBF19"/>
    <w:rsid w:val="7F532B04"/>
    <w:rsid w:val="7F53E536"/>
    <w:rsid w:val="7F5A0AFE"/>
    <w:rsid w:val="7F5B0ACA"/>
    <w:rsid w:val="7F63361B"/>
    <w:rsid w:val="7F6A4631"/>
    <w:rsid w:val="7F6BC5A3"/>
    <w:rsid w:val="7F6FFE41"/>
    <w:rsid w:val="7F747919"/>
    <w:rsid w:val="7F770F92"/>
    <w:rsid w:val="7F777196"/>
    <w:rsid w:val="7F799D9C"/>
    <w:rsid w:val="7F79B2FE"/>
    <w:rsid w:val="7F7A35DD"/>
    <w:rsid w:val="7F7A9B30"/>
    <w:rsid w:val="7F7BC87C"/>
    <w:rsid w:val="7F7EEEAE"/>
    <w:rsid w:val="7F7F9344"/>
    <w:rsid w:val="7F7FE2F5"/>
    <w:rsid w:val="7F7FF904"/>
    <w:rsid w:val="7F9A9AAE"/>
    <w:rsid w:val="7F9F680D"/>
    <w:rsid w:val="7FB53E5B"/>
    <w:rsid w:val="7FB90D16"/>
    <w:rsid w:val="7FBB2376"/>
    <w:rsid w:val="7FBBBA03"/>
    <w:rsid w:val="7FBBE0DF"/>
    <w:rsid w:val="7FBC3108"/>
    <w:rsid w:val="7FBF42C0"/>
    <w:rsid w:val="7FBFA878"/>
    <w:rsid w:val="7FCFF0A7"/>
    <w:rsid w:val="7FD34574"/>
    <w:rsid w:val="7FD67800"/>
    <w:rsid w:val="7FDD5079"/>
    <w:rsid w:val="7FDE3191"/>
    <w:rsid w:val="7FDE7B46"/>
    <w:rsid w:val="7FDEC192"/>
    <w:rsid w:val="7FDF3A08"/>
    <w:rsid w:val="7FDF5069"/>
    <w:rsid w:val="7FDF628A"/>
    <w:rsid w:val="7FDF920B"/>
    <w:rsid w:val="7FDFD72E"/>
    <w:rsid w:val="7FE6D8FB"/>
    <w:rsid w:val="7FE9B27E"/>
    <w:rsid w:val="7FE9F9E1"/>
    <w:rsid w:val="7FEA50D9"/>
    <w:rsid w:val="7FEA7084"/>
    <w:rsid w:val="7FEB2841"/>
    <w:rsid w:val="7FEC3D18"/>
    <w:rsid w:val="7FED3438"/>
    <w:rsid w:val="7FEF0FC5"/>
    <w:rsid w:val="7FEF6926"/>
    <w:rsid w:val="7FEF926C"/>
    <w:rsid w:val="7FEF986D"/>
    <w:rsid w:val="7FF32F3C"/>
    <w:rsid w:val="7FF33463"/>
    <w:rsid w:val="7FF4EBF2"/>
    <w:rsid w:val="7FF52DED"/>
    <w:rsid w:val="7FF57A94"/>
    <w:rsid w:val="7FF5A55F"/>
    <w:rsid w:val="7FF5E0B0"/>
    <w:rsid w:val="7FF75EEC"/>
    <w:rsid w:val="7FF86DDF"/>
    <w:rsid w:val="7FF9EBB3"/>
    <w:rsid w:val="7FFAD46D"/>
    <w:rsid w:val="7FFAEF00"/>
    <w:rsid w:val="7FFB3E16"/>
    <w:rsid w:val="7FFB7492"/>
    <w:rsid w:val="7FFB7574"/>
    <w:rsid w:val="7FFBAD04"/>
    <w:rsid w:val="7FFBBA5E"/>
    <w:rsid w:val="7FFD7B5A"/>
    <w:rsid w:val="7FFDA0CA"/>
    <w:rsid w:val="7FFE048A"/>
    <w:rsid w:val="7FFEC2A2"/>
    <w:rsid w:val="7FFF0ECC"/>
    <w:rsid w:val="7FFF3391"/>
    <w:rsid w:val="7FFF347A"/>
    <w:rsid w:val="7FFF3747"/>
    <w:rsid w:val="7FFF874A"/>
    <w:rsid w:val="7FFF931D"/>
    <w:rsid w:val="7FFF9426"/>
    <w:rsid w:val="7FFFB34B"/>
    <w:rsid w:val="7FFFB459"/>
    <w:rsid w:val="7FFFDE77"/>
    <w:rsid w:val="7FFFF60A"/>
    <w:rsid w:val="7FFFF7B3"/>
    <w:rsid w:val="83DFC65B"/>
    <w:rsid w:val="877D6405"/>
    <w:rsid w:val="87FF27F2"/>
    <w:rsid w:val="89DA2A89"/>
    <w:rsid w:val="89EFDB68"/>
    <w:rsid w:val="8BFDD118"/>
    <w:rsid w:val="8DEFA81F"/>
    <w:rsid w:val="8DFFA05E"/>
    <w:rsid w:val="8E7F8000"/>
    <w:rsid w:val="8ED6E4A3"/>
    <w:rsid w:val="8EFFA125"/>
    <w:rsid w:val="8F455921"/>
    <w:rsid w:val="91F94613"/>
    <w:rsid w:val="93B4DFC3"/>
    <w:rsid w:val="95EF86FA"/>
    <w:rsid w:val="95FDCCC1"/>
    <w:rsid w:val="979F65B6"/>
    <w:rsid w:val="97A52BDC"/>
    <w:rsid w:val="97FA93AA"/>
    <w:rsid w:val="97FD0BC8"/>
    <w:rsid w:val="97FFEF68"/>
    <w:rsid w:val="9963805A"/>
    <w:rsid w:val="9AD324C7"/>
    <w:rsid w:val="9BF5F222"/>
    <w:rsid w:val="9BF7D430"/>
    <w:rsid w:val="9BFFE5B4"/>
    <w:rsid w:val="9CFBAB75"/>
    <w:rsid w:val="9D6EE0D4"/>
    <w:rsid w:val="9DB7AE04"/>
    <w:rsid w:val="9DB9F681"/>
    <w:rsid w:val="9DE68BB7"/>
    <w:rsid w:val="9E0F6088"/>
    <w:rsid w:val="9E3EF293"/>
    <w:rsid w:val="9E3F0C3D"/>
    <w:rsid w:val="9E7AA699"/>
    <w:rsid w:val="9EAF51E5"/>
    <w:rsid w:val="9EF777DE"/>
    <w:rsid w:val="9EFD8D7F"/>
    <w:rsid w:val="9EFF5F06"/>
    <w:rsid w:val="9F5E2F65"/>
    <w:rsid w:val="9F71337E"/>
    <w:rsid w:val="9F756B93"/>
    <w:rsid w:val="9F9ACE66"/>
    <w:rsid w:val="9FADEA6D"/>
    <w:rsid w:val="9FCDD430"/>
    <w:rsid w:val="9FCE21DE"/>
    <w:rsid w:val="9FCE429A"/>
    <w:rsid w:val="9FEFA7FC"/>
    <w:rsid w:val="9FFE3E2F"/>
    <w:rsid w:val="9FFE525A"/>
    <w:rsid w:val="9FFEF32B"/>
    <w:rsid w:val="9FFF7C93"/>
    <w:rsid w:val="9FFFA89C"/>
    <w:rsid w:val="A2EB9CF9"/>
    <w:rsid w:val="A38741C7"/>
    <w:rsid w:val="A3B5A21F"/>
    <w:rsid w:val="A3FF3CDC"/>
    <w:rsid w:val="A4FD1E9C"/>
    <w:rsid w:val="A4FEB94D"/>
    <w:rsid w:val="A6F6A87D"/>
    <w:rsid w:val="A7FBA5A3"/>
    <w:rsid w:val="A96F3C2C"/>
    <w:rsid w:val="AA6F414B"/>
    <w:rsid w:val="AA9DBD6A"/>
    <w:rsid w:val="AAFBD9BF"/>
    <w:rsid w:val="AB2EF748"/>
    <w:rsid w:val="ABFB54A3"/>
    <w:rsid w:val="AC6367EF"/>
    <w:rsid w:val="AC6BECC5"/>
    <w:rsid w:val="AD6C64BC"/>
    <w:rsid w:val="AD6F9DD7"/>
    <w:rsid w:val="ADBDEE20"/>
    <w:rsid w:val="ADCFF052"/>
    <w:rsid w:val="ADEF4C52"/>
    <w:rsid w:val="AE7CD9A0"/>
    <w:rsid w:val="AEFDC0BC"/>
    <w:rsid w:val="AF6FD4DB"/>
    <w:rsid w:val="AF7DFBBE"/>
    <w:rsid w:val="AFBFDBF1"/>
    <w:rsid w:val="AFDF4384"/>
    <w:rsid w:val="AFE3CF35"/>
    <w:rsid w:val="AFED4753"/>
    <w:rsid w:val="AFEF31D1"/>
    <w:rsid w:val="AFF76AB9"/>
    <w:rsid w:val="AFFFAA8F"/>
    <w:rsid w:val="B1BB6332"/>
    <w:rsid w:val="B27F6BA7"/>
    <w:rsid w:val="B2B7A699"/>
    <w:rsid w:val="B2DDAFA9"/>
    <w:rsid w:val="B3FFF283"/>
    <w:rsid w:val="B4FCA67E"/>
    <w:rsid w:val="B5B65F06"/>
    <w:rsid w:val="B5EBF33E"/>
    <w:rsid w:val="B5FFC963"/>
    <w:rsid w:val="B693EF93"/>
    <w:rsid w:val="B76A6C2B"/>
    <w:rsid w:val="B76B3DB3"/>
    <w:rsid w:val="B7770CB2"/>
    <w:rsid w:val="B77ADF14"/>
    <w:rsid w:val="B77B16B8"/>
    <w:rsid w:val="B77F3C9A"/>
    <w:rsid w:val="B79D66BF"/>
    <w:rsid w:val="B7BF2146"/>
    <w:rsid w:val="B7E22A81"/>
    <w:rsid w:val="B7EE961A"/>
    <w:rsid w:val="B7EF2A05"/>
    <w:rsid w:val="B7EF33A9"/>
    <w:rsid w:val="B7EFF77A"/>
    <w:rsid w:val="B7F7481D"/>
    <w:rsid w:val="B7FD519F"/>
    <w:rsid w:val="B7FD6C4F"/>
    <w:rsid w:val="B8E7DCB3"/>
    <w:rsid w:val="B977E899"/>
    <w:rsid w:val="B97FA35B"/>
    <w:rsid w:val="BA77984C"/>
    <w:rsid w:val="BACFB146"/>
    <w:rsid w:val="BAFEEBAD"/>
    <w:rsid w:val="BB3BFBF5"/>
    <w:rsid w:val="BB4F1AAE"/>
    <w:rsid w:val="BB658C5B"/>
    <w:rsid w:val="BB776300"/>
    <w:rsid w:val="BBA91005"/>
    <w:rsid w:val="BBD3A9EF"/>
    <w:rsid w:val="BBDFBD99"/>
    <w:rsid w:val="BBE8883E"/>
    <w:rsid w:val="BBEF3CB5"/>
    <w:rsid w:val="BBFD3E62"/>
    <w:rsid w:val="BBFFE683"/>
    <w:rsid w:val="BC7B1647"/>
    <w:rsid w:val="BCBF15FD"/>
    <w:rsid w:val="BCF3676B"/>
    <w:rsid w:val="BCFB8890"/>
    <w:rsid w:val="BCFBC5DE"/>
    <w:rsid w:val="BD3FE18C"/>
    <w:rsid w:val="BD59CF0E"/>
    <w:rsid w:val="BD7E68F8"/>
    <w:rsid w:val="BD7F20C6"/>
    <w:rsid w:val="BDB73464"/>
    <w:rsid w:val="BDDD3643"/>
    <w:rsid w:val="BDDD8FA9"/>
    <w:rsid w:val="BDDDD933"/>
    <w:rsid w:val="BDDFF32F"/>
    <w:rsid w:val="BDFD13EE"/>
    <w:rsid w:val="BE3F9AE2"/>
    <w:rsid w:val="BE6FA70A"/>
    <w:rsid w:val="BECF1CA9"/>
    <w:rsid w:val="BEDF605D"/>
    <w:rsid w:val="BEEF7566"/>
    <w:rsid w:val="BEF7EBC0"/>
    <w:rsid w:val="BEFC741F"/>
    <w:rsid w:val="BEFF5474"/>
    <w:rsid w:val="BEFFE631"/>
    <w:rsid w:val="BF276A40"/>
    <w:rsid w:val="BF2DF526"/>
    <w:rsid w:val="BF3D446A"/>
    <w:rsid w:val="BF4FAC01"/>
    <w:rsid w:val="BF4FB1F6"/>
    <w:rsid w:val="BF5F1792"/>
    <w:rsid w:val="BF5F6DB9"/>
    <w:rsid w:val="BF7B06A6"/>
    <w:rsid w:val="BF7D7FB6"/>
    <w:rsid w:val="BF7F1144"/>
    <w:rsid w:val="BF7F62BA"/>
    <w:rsid w:val="BF8AB3F9"/>
    <w:rsid w:val="BF9E0CF8"/>
    <w:rsid w:val="BF9F3328"/>
    <w:rsid w:val="BF9F6CB8"/>
    <w:rsid w:val="BF9F82D2"/>
    <w:rsid w:val="BFAD9AF2"/>
    <w:rsid w:val="BFADDC91"/>
    <w:rsid w:val="BFB31569"/>
    <w:rsid w:val="BFB6A0B0"/>
    <w:rsid w:val="BFB7EC45"/>
    <w:rsid w:val="BFBB8E2B"/>
    <w:rsid w:val="BFCB41C0"/>
    <w:rsid w:val="BFCF0C9B"/>
    <w:rsid w:val="BFD73CF8"/>
    <w:rsid w:val="BFDE494A"/>
    <w:rsid w:val="BFE89358"/>
    <w:rsid w:val="BFF34418"/>
    <w:rsid w:val="BFFBFC3B"/>
    <w:rsid w:val="BFFF0641"/>
    <w:rsid w:val="BFFF5572"/>
    <w:rsid w:val="BFFFB7A5"/>
    <w:rsid w:val="C1FB3774"/>
    <w:rsid w:val="C3B1B4BC"/>
    <w:rsid w:val="C3FF906C"/>
    <w:rsid w:val="C4BE08A2"/>
    <w:rsid w:val="C55BD6FE"/>
    <w:rsid w:val="C5EBE1F9"/>
    <w:rsid w:val="C6EFFDF3"/>
    <w:rsid w:val="C7FF4F10"/>
    <w:rsid w:val="C8F72C8C"/>
    <w:rsid w:val="C8F90ED9"/>
    <w:rsid w:val="C9FB75F2"/>
    <w:rsid w:val="CBF31D61"/>
    <w:rsid w:val="CBFC2927"/>
    <w:rsid w:val="CBFEB826"/>
    <w:rsid w:val="CDDDD327"/>
    <w:rsid w:val="CDEDB1EB"/>
    <w:rsid w:val="CE3F1593"/>
    <w:rsid w:val="CEAF09C5"/>
    <w:rsid w:val="CEBE63C7"/>
    <w:rsid w:val="CEDFC210"/>
    <w:rsid w:val="CEECCB94"/>
    <w:rsid w:val="CF6C5C38"/>
    <w:rsid w:val="CF76CFCD"/>
    <w:rsid w:val="CF7D3921"/>
    <w:rsid w:val="CF7DE626"/>
    <w:rsid w:val="CF7FBCE5"/>
    <w:rsid w:val="CFB7B8AA"/>
    <w:rsid w:val="CFB9FC98"/>
    <w:rsid w:val="CFBD84EF"/>
    <w:rsid w:val="CFCF3889"/>
    <w:rsid w:val="CFD34E50"/>
    <w:rsid w:val="CFFF44EB"/>
    <w:rsid w:val="D1E779AF"/>
    <w:rsid w:val="D1FF5F21"/>
    <w:rsid w:val="D2BEEC4C"/>
    <w:rsid w:val="D2DFB660"/>
    <w:rsid w:val="D33F26DA"/>
    <w:rsid w:val="D3C20480"/>
    <w:rsid w:val="D3CE3CA1"/>
    <w:rsid w:val="D3F74EE1"/>
    <w:rsid w:val="D53F0844"/>
    <w:rsid w:val="D56BA1F1"/>
    <w:rsid w:val="D57DB740"/>
    <w:rsid w:val="D57F95E4"/>
    <w:rsid w:val="D5BFBB12"/>
    <w:rsid w:val="D5CFD248"/>
    <w:rsid w:val="D5FE3AA7"/>
    <w:rsid w:val="D67AFCD8"/>
    <w:rsid w:val="D6BE0C0A"/>
    <w:rsid w:val="D6EE9710"/>
    <w:rsid w:val="D6F57334"/>
    <w:rsid w:val="D6FDBD38"/>
    <w:rsid w:val="D6FE3C21"/>
    <w:rsid w:val="D76647D4"/>
    <w:rsid w:val="D79F4803"/>
    <w:rsid w:val="D7BF1134"/>
    <w:rsid w:val="D7BF50E3"/>
    <w:rsid w:val="D7EAAB05"/>
    <w:rsid w:val="D7F779B2"/>
    <w:rsid w:val="D7FD2094"/>
    <w:rsid w:val="D7FE48BD"/>
    <w:rsid w:val="D7FFA6C9"/>
    <w:rsid w:val="D7FFC3EC"/>
    <w:rsid w:val="D7FFE07B"/>
    <w:rsid w:val="D95D769F"/>
    <w:rsid w:val="D9AE21C4"/>
    <w:rsid w:val="D9BFE2C7"/>
    <w:rsid w:val="D9DBC5E2"/>
    <w:rsid w:val="DA1F4B0F"/>
    <w:rsid w:val="DAEB34F0"/>
    <w:rsid w:val="DAFF88A8"/>
    <w:rsid w:val="DB11BC5E"/>
    <w:rsid w:val="DB3E56F4"/>
    <w:rsid w:val="DB4B1A60"/>
    <w:rsid w:val="DB7B650A"/>
    <w:rsid w:val="DB9F51A6"/>
    <w:rsid w:val="DBBF65A3"/>
    <w:rsid w:val="DBD3DAE4"/>
    <w:rsid w:val="DBDE67D7"/>
    <w:rsid w:val="DBDF410D"/>
    <w:rsid w:val="DBDF61C1"/>
    <w:rsid w:val="DBDF70A1"/>
    <w:rsid w:val="DBDF774A"/>
    <w:rsid w:val="DBEF2860"/>
    <w:rsid w:val="DBFB1182"/>
    <w:rsid w:val="DBFBBE84"/>
    <w:rsid w:val="DC1CF3F2"/>
    <w:rsid w:val="DC9FB2D0"/>
    <w:rsid w:val="DCD33928"/>
    <w:rsid w:val="DCDFC97F"/>
    <w:rsid w:val="DCEB445B"/>
    <w:rsid w:val="DD8C84BE"/>
    <w:rsid w:val="DDBECCE5"/>
    <w:rsid w:val="DDCF4BAB"/>
    <w:rsid w:val="DDD2D16F"/>
    <w:rsid w:val="DDDF047D"/>
    <w:rsid w:val="DDDF3A78"/>
    <w:rsid w:val="DE268DA7"/>
    <w:rsid w:val="DE7DAC28"/>
    <w:rsid w:val="DEB13E90"/>
    <w:rsid w:val="DEB371C2"/>
    <w:rsid w:val="DEB76EBB"/>
    <w:rsid w:val="DEBFD620"/>
    <w:rsid w:val="DEEB95DC"/>
    <w:rsid w:val="DEED93CA"/>
    <w:rsid w:val="DEF5097C"/>
    <w:rsid w:val="DEF8C86E"/>
    <w:rsid w:val="DEFBFFE8"/>
    <w:rsid w:val="DEFF7726"/>
    <w:rsid w:val="DF67B978"/>
    <w:rsid w:val="DF6F0678"/>
    <w:rsid w:val="DF72FEAC"/>
    <w:rsid w:val="DF7E9B0A"/>
    <w:rsid w:val="DF7EEF54"/>
    <w:rsid w:val="DF7FFE49"/>
    <w:rsid w:val="DF9FEE8D"/>
    <w:rsid w:val="DFAD7AB4"/>
    <w:rsid w:val="DFBAC392"/>
    <w:rsid w:val="DFBB2488"/>
    <w:rsid w:val="DFBEECC1"/>
    <w:rsid w:val="DFCF362D"/>
    <w:rsid w:val="DFD252C4"/>
    <w:rsid w:val="DFDBABA1"/>
    <w:rsid w:val="DFDF5150"/>
    <w:rsid w:val="DFE654EC"/>
    <w:rsid w:val="DFE7FE17"/>
    <w:rsid w:val="DFEDD861"/>
    <w:rsid w:val="DFEFAF58"/>
    <w:rsid w:val="DFEFFFA4"/>
    <w:rsid w:val="DFF39E26"/>
    <w:rsid w:val="DFF66411"/>
    <w:rsid w:val="DFF6DA95"/>
    <w:rsid w:val="DFF725C1"/>
    <w:rsid w:val="DFF7B907"/>
    <w:rsid w:val="DFFAFB6D"/>
    <w:rsid w:val="DFFB5CED"/>
    <w:rsid w:val="DFFD129C"/>
    <w:rsid w:val="DFFD7D79"/>
    <w:rsid w:val="DFFF7A5E"/>
    <w:rsid w:val="E0F8D99B"/>
    <w:rsid w:val="E1768648"/>
    <w:rsid w:val="E1DE5ADB"/>
    <w:rsid w:val="E1FB6A2D"/>
    <w:rsid w:val="E37F2FEE"/>
    <w:rsid w:val="E3FE3F95"/>
    <w:rsid w:val="E3FF2A67"/>
    <w:rsid w:val="E52F640E"/>
    <w:rsid w:val="E55F0811"/>
    <w:rsid w:val="E58B5FDA"/>
    <w:rsid w:val="E5E78CDF"/>
    <w:rsid w:val="E5EF13C1"/>
    <w:rsid w:val="E63F9C7D"/>
    <w:rsid w:val="E65FACE7"/>
    <w:rsid w:val="E66E4BD8"/>
    <w:rsid w:val="E6CB90A6"/>
    <w:rsid w:val="E6F62C27"/>
    <w:rsid w:val="E75D5368"/>
    <w:rsid w:val="E77F3528"/>
    <w:rsid w:val="E78F61C1"/>
    <w:rsid w:val="E7BF1CF8"/>
    <w:rsid w:val="E7E72BFF"/>
    <w:rsid w:val="E7EF5392"/>
    <w:rsid w:val="E7F3C5B4"/>
    <w:rsid w:val="E7F7BF6C"/>
    <w:rsid w:val="E7FF4E92"/>
    <w:rsid w:val="E7FFAD36"/>
    <w:rsid w:val="E8F6B5BD"/>
    <w:rsid w:val="E9B3F7CC"/>
    <w:rsid w:val="EAC7ACBA"/>
    <w:rsid w:val="EADF0B83"/>
    <w:rsid w:val="EAE60E8F"/>
    <w:rsid w:val="EAFF4E19"/>
    <w:rsid w:val="EB0FAE1F"/>
    <w:rsid w:val="EBAD8C62"/>
    <w:rsid w:val="EBDF7F56"/>
    <w:rsid w:val="EBDFC4E6"/>
    <w:rsid w:val="EBEEF716"/>
    <w:rsid w:val="EBFB4BF0"/>
    <w:rsid w:val="EBFC4046"/>
    <w:rsid w:val="ECCBA1E4"/>
    <w:rsid w:val="ECCD3224"/>
    <w:rsid w:val="ECFB2B22"/>
    <w:rsid w:val="ECFD8C5A"/>
    <w:rsid w:val="ED6E48DE"/>
    <w:rsid w:val="ED6FB63B"/>
    <w:rsid w:val="ED6FE644"/>
    <w:rsid w:val="ED7EF7BC"/>
    <w:rsid w:val="EDDEC8C3"/>
    <w:rsid w:val="EDED1AE5"/>
    <w:rsid w:val="EDF6E9A5"/>
    <w:rsid w:val="EDFD19E0"/>
    <w:rsid w:val="EE5F0FE9"/>
    <w:rsid w:val="EE7BE22C"/>
    <w:rsid w:val="EE9D4472"/>
    <w:rsid w:val="EEB93FE0"/>
    <w:rsid w:val="EECFED94"/>
    <w:rsid w:val="EEEE2B7B"/>
    <w:rsid w:val="EEEF7AA9"/>
    <w:rsid w:val="EEF34362"/>
    <w:rsid w:val="EEF72870"/>
    <w:rsid w:val="EEF7753C"/>
    <w:rsid w:val="EEFB839D"/>
    <w:rsid w:val="EEFCDEDA"/>
    <w:rsid w:val="EF0B3DDD"/>
    <w:rsid w:val="EF323284"/>
    <w:rsid w:val="EF4E67C1"/>
    <w:rsid w:val="EF589DF6"/>
    <w:rsid w:val="EF6FF26C"/>
    <w:rsid w:val="EF7280FB"/>
    <w:rsid w:val="EF7600F3"/>
    <w:rsid w:val="EF7C52E6"/>
    <w:rsid w:val="EF7EDEE6"/>
    <w:rsid w:val="EF7F501E"/>
    <w:rsid w:val="EF8CDD50"/>
    <w:rsid w:val="EF995C65"/>
    <w:rsid w:val="EFAF3BE7"/>
    <w:rsid w:val="EFAF82E5"/>
    <w:rsid w:val="EFB6A49E"/>
    <w:rsid w:val="EFBD0BAA"/>
    <w:rsid w:val="EFBFAD88"/>
    <w:rsid w:val="EFBFB3DB"/>
    <w:rsid w:val="EFC77427"/>
    <w:rsid w:val="EFDA8AA6"/>
    <w:rsid w:val="EFDF187D"/>
    <w:rsid w:val="EFEB90F8"/>
    <w:rsid w:val="EFEE0A32"/>
    <w:rsid w:val="EFF27876"/>
    <w:rsid w:val="EFF52E0D"/>
    <w:rsid w:val="EFF78A2D"/>
    <w:rsid w:val="EFFBC4A7"/>
    <w:rsid w:val="EFFC010B"/>
    <w:rsid w:val="EFFD15AE"/>
    <w:rsid w:val="EFFEFBBE"/>
    <w:rsid w:val="EFFF166A"/>
    <w:rsid w:val="EFFFB5E7"/>
    <w:rsid w:val="F0D7B7A8"/>
    <w:rsid w:val="F13BE7B2"/>
    <w:rsid w:val="F1FF63FE"/>
    <w:rsid w:val="F1FFE56D"/>
    <w:rsid w:val="F37EE99B"/>
    <w:rsid w:val="F38E62C3"/>
    <w:rsid w:val="F3BE05F4"/>
    <w:rsid w:val="F3BF6B46"/>
    <w:rsid w:val="F3D70145"/>
    <w:rsid w:val="F3EF5F57"/>
    <w:rsid w:val="F3FF0C8B"/>
    <w:rsid w:val="F4E79109"/>
    <w:rsid w:val="F4FF4E46"/>
    <w:rsid w:val="F58F58C0"/>
    <w:rsid w:val="F5B6D02A"/>
    <w:rsid w:val="F5DB93BB"/>
    <w:rsid w:val="F5E74965"/>
    <w:rsid w:val="F5EF0FF4"/>
    <w:rsid w:val="F5FF4CDB"/>
    <w:rsid w:val="F6230D66"/>
    <w:rsid w:val="F63F6C18"/>
    <w:rsid w:val="F663AD8F"/>
    <w:rsid w:val="F67E45A6"/>
    <w:rsid w:val="F697250E"/>
    <w:rsid w:val="F6AFBCDE"/>
    <w:rsid w:val="F6EC596F"/>
    <w:rsid w:val="F6EF8C2C"/>
    <w:rsid w:val="F6EFA85E"/>
    <w:rsid w:val="F6FD821B"/>
    <w:rsid w:val="F6FF8CA8"/>
    <w:rsid w:val="F72E4EE0"/>
    <w:rsid w:val="F74FBC51"/>
    <w:rsid w:val="F75DBF8F"/>
    <w:rsid w:val="F76DB63E"/>
    <w:rsid w:val="F77995B8"/>
    <w:rsid w:val="F77E03E4"/>
    <w:rsid w:val="F79D450B"/>
    <w:rsid w:val="F7B3CD5E"/>
    <w:rsid w:val="F7B6141E"/>
    <w:rsid w:val="F7BF1F31"/>
    <w:rsid w:val="F7BF261F"/>
    <w:rsid w:val="F7BF2937"/>
    <w:rsid w:val="F7BF4047"/>
    <w:rsid w:val="F7BF9904"/>
    <w:rsid w:val="F7D7B491"/>
    <w:rsid w:val="F7D7CBE4"/>
    <w:rsid w:val="F7DBE38E"/>
    <w:rsid w:val="F7DEA9E8"/>
    <w:rsid w:val="F7DF45AB"/>
    <w:rsid w:val="F7EDAD4A"/>
    <w:rsid w:val="F7EE4B96"/>
    <w:rsid w:val="F7EEE9C5"/>
    <w:rsid w:val="F7EF3ECC"/>
    <w:rsid w:val="F7EF7C13"/>
    <w:rsid w:val="F7F6965D"/>
    <w:rsid w:val="F7F73689"/>
    <w:rsid w:val="F7FA8E4A"/>
    <w:rsid w:val="F7FB1943"/>
    <w:rsid w:val="F7FCF38E"/>
    <w:rsid w:val="F7FE552C"/>
    <w:rsid w:val="F7FE66DC"/>
    <w:rsid w:val="F7FF7145"/>
    <w:rsid w:val="F7FF8579"/>
    <w:rsid w:val="F7FF9C4E"/>
    <w:rsid w:val="F8D244D0"/>
    <w:rsid w:val="F8E7974F"/>
    <w:rsid w:val="F8FE805E"/>
    <w:rsid w:val="F97F39C9"/>
    <w:rsid w:val="F97FC955"/>
    <w:rsid w:val="F98B7A47"/>
    <w:rsid w:val="F9B303D9"/>
    <w:rsid w:val="F9B7D1B5"/>
    <w:rsid w:val="F9EF280A"/>
    <w:rsid w:val="F9F1D9D8"/>
    <w:rsid w:val="F9F22CC4"/>
    <w:rsid w:val="F9F7BB3D"/>
    <w:rsid w:val="F9FBD531"/>
    <w:rsid w:val="F9FEED05"/>
    <w:rsid w:val="F9FF2D7E"/>
    <w:rsid w:val="F9FF500A"/>
    <w:rsid w:val="FA577939"/>
    <w:rsid w:val="FA7BBD7E"/>
    <w:rsid w:val="FAB1F160"/>
    <w:rsid w:val="FABC8F2C"/>
    <w:rsid w:val="FACA8F5C"/>
    <w:rsid w:val="FADD71F8"/>
    <w:rsid w:val="FAEBDD92"/>
    <w:rsid w:val="FAFBFB58"/>
    <w:rsid w:val="FAFE37A7"/>
    <w:rsid w:val="FAFFC5D4"/>
    <w:rsid w:val="FB3710AF"/>
    <w:rsid w:val="FB3B9CA0"/>
    <w:rsid w:val="FB53A5E9"/>
    <w:rsid w:val="FB5BC3F7"/>
    <w:rsid w:val="FB5E9C75"/>
    <w:rsid w:val="FB5FCCDD"/>
    <w:rsid w:val="FB7D86A1"/>
    <w:rsid w:val="FB7F8E18"/>
    <w:rsid w:val="FB9F9067"/>
    <w:rsid w:val="FBAB501E"/>
    <w:rsid w:val="FBAF0C78"/>
    <w:rsid w:val="FBB32777"/>
    <w:rsid w:val="FBB76287"/>
    <w:rsid w:val="FBBAD4DF"/>
    <w:rsid w:val="FBBF5D9C"/>
    <w:rsid w:val="FBCFAAAB"/>
    <w:rsid w:val="FBDD140E"/>
    <w:rsid w:val="FBE50AE7"/>
    <w:rsid w:val="FBEA4014"/>
    <w:rsid w:val="FBEAA3BD"/>
    <w:rsid w:val="FBF70016"/>
    <w:rsid w:val="FBF9D0C2"/>
    <w:rsid w:val="FBFB2566"/>
    <w:rsid w:val="FBFCC077"/>
    <w:rsid w:val="FBFDDF36"/>
    <w:rsid w:val="FBFE4AD1"/>
    <w:rsid w:val="FBFE7204"/>
    <w:rsid w:val="FBFF2896"/>
    <w:rsid w:val="FBFF4C9B"/>
    <w:rsid w:val="FBFFB9E1"/>
    <w:rsid w:val="FCA599EE"/>
    <w:rsid w:val="FCBEED4B"/>
    <w:rsid w:val="FCCCA5B4"/>
    <w:rsid w:val="FCCFDBA7"/>
    <w:rsid w:val="FCDF6160"/>
    <w:rsid w:val="FCEF9AAB"/>
    <w:rsid w:val="FCF20341"/>
    <w:rsid w:val="FCF9BAEE"/>
    <w:rsid w:val="FCFDE838"/>
    <w:rsid w:val="FD1BB737"/>
    <w:rsid w:val="FD4BFC5F"/>
    <w:rsid w:val="FD7B70D0"/>
    <w:rsid w:val="FD7F92E0"/>
    <w:rsid w:val="FDA30671"/>
    <w:rsid w:val="FDAD8222"/>
    <w:rsid w:val="FDAF91AB"/>
    <w:rsid w:val="FDB33092"/>
    <w:rsid w:val="FDB70DD6"/>
    <w:rsid w:val="FDB7B079"/>
    <w:rsid w:val="FDBC925C"/>
    <w:rsid w:val="FDBDB718"/>
    <w:rsid w:val="FDCBA3B8"/>
    <w:rsid w:val="FDD976D1"/>
    <w:rsid w:val="FDDB0FC6"/>
    <w:rsid w:val="FDDF6F65"/>
    <w:rsid w:val="FDDF71D7"/>
    <w:rsid w:val="FDE7EA8B"/>
    <w:rsid w:val="FDEF4450"/>
    <w:rsid w:val="FDEFFCA5"/>
    <w:rsid w:val="FDF3B119"/>
    <w:rsid w:val="FDF76F10"/>
    <w:rsid w:val="FDF78E0C"/>
    <w:rsid w:val="FDF7A628"/>
    <w:rsid w:val="FDF7F2AB"/>
    <w:rsid w:val="FDF9CC96"/>
    <w:rsid w:val="FDFB6B3F"/>
    <w:rsid w:val="FDFBB3A8"/>
    <w:rsid w:val="FDFCCA35"/>
    <w:rsid w:val="FDFD7235"/>
    <w:rsid w:val="FDFE1F5F"/>
    <w:rsid w:val="FDFEFB9C"/>
    <w:rsid w:val="FDFF0298"/>
    <w:rsid w:val="FDFF5D7E"/>
    <w:rsid w:val="FDFFC26E"/>
    <w:rsid w:val="FE2E6991"/>
    <w:rsid w:val="FE320C32"/>
    <w:rsid w:val="FE39A62D"/>
    <w:rsid w:val="FE5F1943"/>
    <w:rsid w:val="FE756F30"/>
    <w:rsid w:val="FE772A10"/>
    <w:rsid w:val="FE7FB257"/>
    <w:rsid w:val="FEA49AEB"/>
    <w:rsid w:val="FEA56DC6"/>
    <w:rsid w:val="FEAF5515"/>
    <w:rsid w:val="FEAF8A29"/>
    <w:rsid w:val="FEB36FA6"/>
    <w:rsid w:val="FEB7C862"/>
    <w:rsid w:val="FEBBBD72"/>
    <w:rsid w:val="FECF4DE0"/>
    <w:rsid w:val="FED31992"/>
    <w:rsid w:val="FED4E607"/>
    <w:rsid w:val="FEDAA891"/>
    <w:rsid w:val="FEDEAB36"/>
    <w:rsid w:val="FEDF4140"/>
    <w:rsid w:val="FEE8FE6D"/>
    <w:rsid w:val="FEEDC95F"/>
    <w:rsid w:val="FEEF6802"/>
    <w:rsid w:val="FEEF776E"/>
    <w:rsid w:val="FEF78E4F"/>
    <w:rsid w:val="FEFAA695"/>
    <w:rsid w:val="FEFB939E"/>
    <w:rsid w:val="FEFD30FE"/>
    <w:rsid w:val="FEFDD059"/>
    <w:rsid w:val="FEFF14B6"/>
    <w:rsid w:val="FEFF5CC8"/>
    <w:rsid w:val="FEFF969C"/>
    <w:rsid w:val="FEFFBAB8"/>
    <w:rsid w:val="FEFFF6EE"/>
    <w:rsid w:val="FF1F67E5"/>
    <w:rsid w:val="FF374DF7"/>
    <w:rsid w:val="FF3F2868"/>
    <w:rsid w:val="FF3FB54F"/>
    <w:rsid w:val="FF471925"/>
    <w:rsid w:val="FF4FB57E"/>
    <w:rsid w:val="FF556F11"/>
    <w:rsid w:val="FF5BAD04"/>
    <w:rsid w:val="FF5E5CD4"/>
    <w:rsid w:val="FF5F95B5"/>
    <w:rsid w:val="FF5FA827"/>
    <w:rsid w:val="FF5FDC26"/>
    <w:rsid w:val="FF66C559"/>
    <w:rsid w:val="FF6D933C"/>
    <w:rsid w:val="FF6E17E9"/>
    <w:rsid w:val="FF6E22C5"/>
    <w:rsid w:val="FF6F3861"/>
    <w:rsid w:val="FF6F7E0D"/>
    <w:rsid w:val="FF6FBAA6"/>
    <w:rsid w:val="FF73A987"/>
    <w:rsid w:val="FF73AE75"/>
    <w:rsid w:val="FF7BAFD4"/>
    <w:rsid w:val="FF7DAC7E"/>
    <w:rsid w:val="FF7E3B76"/>
    <w:rsid w:val="FF7F050D"/>
    <w:rsid w:val="FF7F4E49"/>
    <w:rsid w:val="FF7F66E0"/>
    <w:rsid w:val="FF7F8D3A"/>
    <w:rsid w:val="FF7F9EF1"/>
    <w:rsid w:val="FF7FC0C9"/>
    <w:rsid w:val="FF7FF608"/>
    <w:rsid w:val="FF8F419D"/>
    <w:rsid w:val="FF8F8BBC"/>
    <w:rsid w:val="FF9791E3"/>
    <w:rsid w:val="FF9CE345"/>
    <w:rsid w:val="FF9D449D"/>
    <w:rsid w:val="FF9E9868"/>
    <w:rsid w:val="FF9F4B3E"/>
    <w:rsid w:val="FF9FEA14"/>
    <w:rsid w:val="FFA22161"/>
    <w:rsid w:val="FFA38A83"/>
    <w:rsid w:val="FFADE367"/>
    <w:rsid w:val="FFADFFEA"/>
    <w:rsid w:val="FFAF9C36"/>
    <w:rsid w:val="FFB4FC15"/>
    <w:rsid w:val="FFB63E53"/>
    <w:rsid w:val="FFB6B105"/>
    <w:rsid w:val="FFB7AAD5"/>
    <w:rsid w:val="FFBCC1D5"/>
    <w:rsid w:val="FFBCFF25"/>
    <w:rsid w:val="FFBD151C"/>
    <w:rsid w:val="FFBD5FC6"/>
    <w:rsid w:val="FFBEC857"/>
    <w:rsid w:val="FFD71258"/>
    <w:rsid w:val="FFD74832"/>
    <w:rsid w:val="FFDA2432"/>
    <w:rsid w:val="FFDAC94B"/>
    <w:rsid w:val="FFDC2E1B"/>
    <w:rsid w:val="FFDCB310"/>
    <w:rsid w:val="FFDE4F43"/>
    <w:rsid w:val="FFDF36CB"/>
    <w:rsid w:val="FFDF7CA2"/>
    <w:rsid w:val="FFDF99E4"/>
    <w:rsid w:val="FFDFC7BE"/>
    <w:rsid w:val="FFE0100C"/>
    <w:rsid w:val="FFE6C99F"/>
    <w:rsid w:val="FFE7F1AE"/>
    <w:rsid w:val="FFE92981"/>
    <w:rsid w:val="FFE94A57"/>
    <w:rsid w:val="FFEA9BFF"/>
    <w:rsid w:val="FFEB4FA9"/>
    <w:rsid w:val="FFEBB74F"/>
    <w:rsid w:val="FFEBCF17"/>
    <w:rsid w:val="FFEDBFC0"/>
    <w:rsid w:val="FFEDE71B"/>
    <w:rsid w:val="FFEEDE8B"/>
    <w:rsid w:val="FFEF018F"/>
    <w:rsid w:val="FFEFB03D"/>
    <w:rsid w:val="FFF13A60"/>
    <w:rsid w:val="FFF50EAE"/>
    <w:rsid w:val="FFF7104C"/>
    <w:rsid w:val="FFF73AC2"/>
    <w:rsid w:val="FFF767D1"/>
    <w:rsid w:val="FFF7A928"/>
    <w:rsid w:val="FFF7ACFA"/>
    <w:rsid w:val="FFF7D5DC"/>
    <w:rsid w:val="FFF82075"/>
    <w:rsid w:val="FFFB2A96"/>
    <w:rsid w:val="FFFB44EE"/>
    <w:rsid w:val="FFFD04C6"/>
    <w:rsid w:val="FFFD502C"/>
    <w:rsid w:val="FFFD691D"/>
    <w:rsid w:val="FFFD9495"/>
    <w:rsid w:val="FFFDD923"/>
    <w:rsid w:val="FFFE0C2F"/>
    <w:rsid w:val="FFFEF615"/>
    <w:rsid w:val="FFFF14F4"/>
    <w:rsid w:val="FFFF23F9"/>
    <w:rsid w:val="FFFF3B92"/>
    <w:rsid w:val="FFFF4689"/>
    <w:rsid w:val="FFFF4962"/>
    <w:rsid w:val="FFFFA784"/>
    <w:rsid w:val="FFFFB637"/>
    <w:rsid w:val="FFFFE7BE"/>
    <w:rsid w:val="FFFFEEFC"/>
    <w:rsid w:val="FFFFFF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semiHidden="0" w:name="heading 2" w:locked="1"/>
    <w:lsdException w:qFormat="1" w:uiPriority="9" w:semiHidden="0"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ocked="1"/>
    <w:lsdException w:qFormat="1" w:uiPriority="39" w:semiHidden="0"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0" w:name="Normal Indent"/>
    <w:lsdException w:uiPriority="0" w:name="footnote text"/>
    <w:lsdException w:qFormat="1" w:unhideWhenUsed="0" w:uiPriority="0" w:semiHidden="0" w:name="annotation text"/>
    <w:lsdException w:qFormat="1" w:unhideWhenUsed="0" w:uiPriority="99" w:name="header"/>
    <w:lsdException w:qFormat="1" w:unhideWhenUsed="0" w:uiPriority="99" w:semiHidden="0" w:name="footer"/>
    <w:lsdException w:uiPriority="0" w:name="index heading"/>
    <w:lsdException w:qFormat="1" w:uiPriority="35" w:name="caption" w:locked="1"/>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nhideWhenUsed="0" w:uiPriority="0" w:semiHidden="0" w:name="toa heading"/>
    <w:lsdException w:uiPriority="0" w:name="List"/>
    <w:lsdException w:uiPriority="0" w:name="List Bullet"/>
    <w:lsdException w:uiPriority="99" w:name="List Number" w:locked="1"/>
    <w:lsdException w:unhideWhenUsed="0" w:uiPriority="0" w:semiHidden="0" w:name="List 2"/>
    <w:lsdException w:uiPriority="0" w:name="List 3"/>
    <w:lsdException w:uiPriority="99" w:name="List 4" w:locked="1"/>
    <w:lsdException w:uiPriority="99" w:name="List 5" w:locked="1"/>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ocked="1"/>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iPriority="99" w:name="Salutation" w:locked="1"/>
    <w:lsdException w:uiPriority="99" w:name="Date" w:locked="1"/>
    <w:lsdException w:uiPriority="99" w:name="Body Text First Indent" w:locked="1"/>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0" w:semiHidden="0" w:name="FollowedHyperlink"/>
    <w:lsdException w:qFormat="1" w:unhideWhenUsed="0" w:uiPriority="22" w:semiHidden="0" w:name="Strong" w:locked="1"/>
    <w:lsdException w:qFormat="1" w:unhideWhenUsed="0" w:uiPriority="20" w:semiHidden="0" w:name="Emphasis" w:locked="1"/>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overflowPunct w:val="0"/>
      <w:autoSpaceDE w:val="0"/>
      <w:autoSpaceDN w:val="0"/>
      <w:adjustRightInd w:val="0"/>
      <w:jc w:val="both"/>
      <w:textAlignment w:val="baseline"/>
    </w:pPr>
    <w:rPr>
      <w:rFonts w:ascii="Times New Roman" w:hAnsi="Times New Roman" w:eastAsia="宋体" w:cs="Times New Roman"/>
      <w:sz w:val="21"/>
      <w:szCs w:val="21"/>
      <w:lang w:val="en-US" w:eastAsia="zh-CN" w:bidi="ar-SA"/>
    </w:rPr>
  </w:style>
  <w:style w:type="paragraph" w:styleId="3">
    <w:name w:val="heading 1"/>
    <w:basedOn w:val="1"/>
    <w:next w:val="1"/>
    <w:link w:val="28"/>
    <w:qFormat/>
    <w:locked/>
    <w:uiPriority w:val="9"/>
    <w:pPr>
      <w:keepNext/>
      <w:keepLines/>
      <w:spacing w:line="580" w:lineRule="exact"/>
      <w:ind w:firstLine="200" w:firstLineChars="200"/>
      <w:outlineLvl w:val="0"/>
    </w:pPr>
    <w:rPr>
      <w:rFonts w:eastAsia="黑体"/>
      <w:b/>
      <w:bCs/>
      <w:kern w:val="44"/>
      <w:sz w:val="32"/>
      <w:szCs w:val="44"/>
    </w:rPr>
  </w:style>
  <w:style w:type="paragraph" w:styleId="4">
    <w:name w:val="heading 2"/>
    <w:basedOn w:val="1"/>
    <w:next w:val="1"/>
    <w:link w:val="29"/>
    <w:unhideWhenUsed/>
    <w:qFormat/>
    <w:locked/>
    <w:uiPriority w:val="9"/>
    <w:pPr>
      <w:keepNext/>
      <w:keepLines/>
      <w:spacing w:line="580" w:lineRule="exact"/>
      <w:ind w:firstLine="200" w:firstLineChars="200"/>
      <w:outlineLvl w:val="1"/>
    </w:pPr>
    <w:rPr>
      <w:rFonts w:eastAsia="楷体" w:asciiTheme="majorHAnsi" w:hAnsiTheme="majorHAnsi" w:cstheme="majorBidi"/>
      <w:bCs/>
      <w:sz w:val="32"/>
      <w:szCs w:val="32"/>
    </w:rPr>
  </w:style>
  <w:style w:type="paragraph" w:styleId="5">
    <w:name w:val="heading 3"/>
    <w:basedOn w:val="1"/>
    <w:next w:val="1"/>
    <w:link w:val="30"/>
    <w:unhideWhenUsed/>
    <w:qFormat/>
    <w:locked/>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locked/>
    <w:uiPriority w:val="39"/>
  </w:style>
  <w:style w:type="paragraph" w:styleId="6">
    <w:name w:val="annotation text"/>
    <w:basedOn w:val="1"/>
    <w:link w:val="31"/>
    <w:qFormat/>
    <w:uiPriority w:val="0"/>
    <w:pPr>
      <w:jc w:val="left"/>
    </w:pPr>
  </w:style>
  <w:style w:type="paragraph" w:styleId="7">
    <w:name w:val="Body Text"/>
    <w:basedOn w:val="1"/>
    <w:qFormat/>
    <w:uiPriority w:val="1"/>
    <w:pPr>
      <w:spacing w:before="190"/>
      <w:ind w:left="1333"/>
    </w:pPr>
    <w:rPr>
      <w:rFonts w:ascii="仿宋_GB2312" w:hAnsi="仿宋_GB2312" w:eastAsia="仿宋_GB2312" w:cs="仿宋_GB2312"/>
      <w:sz w:val="32"/>
      <w:szCs w:val="32"/>
      <w:lang w:val="zh-CN" w:bidi="zh-CN"/>
    </w:rPr>
  </w:style>
  <w:style w:type="paragraph" w:styleId="8">
    <w:name w:val="Balloon Text"/>
    <w:basedOn w:val="1"/>
    <w:link w:val="25"/>
    <w:semiHidden/>
    <w:qFormat/>
    <w:uiPriority w:val="99"/>
    <w:rPr>
      <w:sz w:val="18"/>
      <w:szCs w:val="18"/>
    </w:rPr>
  </w:style>
  <w:style w:type="paragraph" w:styleId="9">
    <w:name w:val="footer"/>
    <w:basedOn w:val="1"/>
    <w:link w:val="23"/>
    <w:qFormat/>
    <w:uiPriority w:val="99"/>
    <w:pPr>
      <w:tabs>
        <w:tab w:val="center" w:pos="4153"/>
        <w:tab w:val="right" w:pos="8306"/>
      </w:tabs>
      <w:snapToGrid w:val="0"/>
      <w:jc w:val="left"/>
    </w:pPr>
    <w:rPr>
      <w:sz w:val="18"/>
      <w:szCs w:val="18"/>
    </w:rPr>
  </w:style>
  <w:style w:type="paragraph" w:styleId="10">
    <w:name w:val="header"/>
    <w:basedOn w:val="1"/>
    <w:link w:val="24"/>
    <w:semiHidden/>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locked/>
    <w:uiPriority w:val="0"/>
    <w:pPr>
      <w:jc w:val="left"/>
      <w:outlineLvl w:val="2"/>
    </w:pPr>
    <w:rPr>
      <w:rFonts w:ascii="Cambria" w:hAnsi="Cambria" w:eastAsia="黑体"/>
      <w:bCs/>
      <w:kern w:val="28"/>
      <w:szCs w:val="32"/>
    </w:rPr>
  </w:style>
  <w:style w:type="paragraph" w:styleId="12">
    <w:name w:val="toc 2"/>
    <w:basedOn w:val="1"/>
    <w:next w:val="1"/>
    <w:unhideWhenUsed/>
    <w:qFormat/>
    <w:locked/>
    <w:uiPriority w:val="39"/>
    <w:pPr>
      <w:tabs>
        <w:tab w:val="right" w:leader="dot" w:pos="8948"/>
      </w:tabs>
      <w:spacing w:line="360" w:lineRule="auto"/>
      <w:ind w:left="420" w:leftChars="200"/>
    </w:pPr>
  </w:style>
  <w:style w:type="paragraph" w:styleId="13">
    <w:name w:val="Normal (Web)"/>
    <w:basedOn w:val="1"/>
    <w:unhideWhenUsed/>
    <w:qFormat/>
    <w:uiPriority w:val="0"/>
    <w:pPr>
      <w:spacing w:beforeAutospacing="1" w:afterAutospacing="1"/>
      <w:jc w:val="left"/>
    </w:pPr>
    <w:rPr>
      <w:sz w:val="24"/>
    </w:rPr>
  </w:style>
  <w:style w:type="paragraph" w:styleId="14">
    <w:name w:val="annotation subject"/>
    <w:basedOn w:val="6"/>
    <w:next w:val="6"/>
    <w:link w:val="32"/>
    <w:qFormat/>
    <w:uiPriority w:val="0"/>
    <w:rPr>
      <w:b/>
      <w:bCs/>
    </w:rPr>
  </w:style>
  <w:style w:type="table" w:styleId="16">
    <w:name w:val="Table Grid"/>
    <w:basedOn w:val="15"/>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99"/>
  </w:style>
  <w:style w:type="character" w:styleId="19">
    <w:name w:val="FollowedHyperlink"/>
    <w:basedOn w:val="17"/>
    <w:unhideWhenUsed/>
    <w:qFormat/>
    <w:uiPriority w:val="0"/>
    <w:rPr>
      <w:color w:val="800080"/>
      <w:u w:val="single"/>
    </w:rPr>
  </w:style>
  <w:style w:type="character" w:styleId="20">
    <w:name w:val="Hyperlink"/>
    <w:basedOn w:val="17"/>
    <w:unhideWhenUsed/>
    <w:qFormat/>
    <w:uiPriority w:val="99"/>
    <w:rPr>
      <w:color w:val="0000FF" w:themeColor="hyperlink"/>
      <w:u w:val="single"/>
      <w14:textFill>
        <w14:solidFill>
          <w14:schemeClr w14:val="hlink"/>
        </w14:solidFill>
      </w14:textFill>
    </w:rPr>
  </w:style>
  <w:style w:type="character" w:styleId="21">
    <w:name w:val="annotation reference"/>
    <w:basedOn w:val="17"/>
    <w:qFormat/>
    <w:uiPriority w:val="0"/>
    <w:rPr>
      <w:sz w:val="21"/>
      <w:szCs w:val="21"/>
    </w:rPr>
  </w:style>
  <w:style w:type="paragraph" w:customStyle="1" w:styleId="22">
    <w:name w:val="列出段落1"/>
    <w:basedOn w:val="1"/>
    <w:qFormat/>
    <w:uiPriority w:val="0"/>
    <w:pPr>
      <w:ind w:firstLine="420" w:firstLineChars="200"/>
    </w:pPr>
  </w:style>
  <w:style w:type="character" w:customStyle="1" w:styleId="23">
    <w:name w:val="页脚 Char"/>
    <w:basedOn w:val="17"/>
    <w:link w:val="9"/>
    <w:qFormat/>
    <w:locked/>
    <w:uiPriority w:val="99"/>
    <w:rPr>
      <w:sz w:val="18"/>
      <w:szCs w:val="18"/>
    </w:rPr>
  </w:style>
  <w:style w:type="character" w:customStyle="1" w:styleId="24">
    <w:name w:val="页眉 Char"/>
    <w:basedOn w:val="17"/>
    <w:link w:val="10"/>
    <w:semiHidden/>
    <w:qFormat/>
    <w:locked/>
    <w:uiPriority w:val="99"/>
    <w:rPr>
      <w:sz w:val="18"/>
      <w:szCs w:val="18"/>
    </w:rPr>
  </w:style>
  <w:style w:type="character" w:customStyle="1" w:styleId="25">
    <w:name w:val="批注框文本 Char"/>
    <w:basedOn w:val="17"/>
    <w:link w:val="8"/>
    <w:semiHidden/>
    <w:qFormat/>
    <w:locked/>
    <w:uiPriority w:val="99"/>
    <w:rPr>
      <w:sz w:val="18"/>
      <w:szCs w:val="18"/>
    </w:rPr>
  </w:style>
  <w:style w:type="paragraph" w:customStyle="1" w:styleId="26">
    <w:name w:val="p0"/>
    <w:basedOn w:val="1"/>
    <w:qFormat/>
    <w:uiPriority w:val="0"/>
    <w:pPr>
      <w:overflowPunct/>
      <w:autoSpaceDE/>
      <w:autoSpaceDN/>
      <w:adjustRightInd/>
      <w:textAlignment w:val="auto"/>
    </w:pPr>
    <w:rPr>
      <w:rFonts w:ascii="Calibri" w:hAnsi="Calibri"/>
    </w:rPr>
  </w:style>
  <w:style w:type="paragraph" w:customStyle="1" w:styleId="27">
    <w:name w:val="列出段落2"/>
    <w:basedOn w:val="1"/>
    <w:qFormat/>
    <w:uiPriority w:val="34"/>
    <w:pPr>
      <w:ind w:firstLine="420" w:firstLineChars="200"/>
    </w:pPr>
  </w:style>
  <w:style w:type="character" w:customStyle="1" w:styleId="28">
    <w:name w:val="标题 1 Char"/>
    <w:basedOn w:val="17"/>
    <w:link w:val="3"/>
    <w:qFormat/>
    <w:uiPriority w:val="9"/>
    <w:rPr>
      <w:rFonts w:eastAsia="黑体"/>
      <w:b/>
      <w:bCs/>
      <w:kern w:val="44"/>
      <w:sz w:val="32"/>
      <w:szCs w:val="44"/>
    </w:rPr>
  </w:style>
  <w:style w:type="character" w:customStyle="1" w:styleId="29">
    <w:name w:val="标题 2 Char"/>
    <w:basedOn w:val="17"/>
    <w:link w:val="4"/>
    <w:qFormat/>
    <w:uiPriority w:val="9"/>
    <w:rPr>
      <w:rFonts w:eastAsia="楷体" w:asciiTheme="majorHAnsi" w:hAnsiTheme="majorHAnsi" w:cstheme="majorBidi"/>
      <w:bCs/>
      <w:sz w:val="32"/>
      <w:szCs w:val="32"/>
    </w:rPr>
  </w:style>
  <w:style w:type="character" w:customStyle="1" w:styleId="30">
    <w:name w:val="标题 3 Char"/>
    <w:basedOn w:val="17"/>
    <w:link w:val="5"/>
    <w:qFormat/>
    <w:uiPriority w:val="9"/>
    <w:rPr>
      <w:b/>
      <w:bCs/>
      <w:sz w:val="32"/>
      <w:szCs w:val="32"/>
    </w:rPr>
  </w:style>
  <w:style w:type="character" w:customStyle="1" w:styleId="31">
    <w:name w:val="批注文字 Char"/>
    <w:basedOn w:val="17"/>
    <w:link w:val="6"/>
    <w:qFormat/>
    <w:uiPriority w:val="0"/>
    <w:rPr>
      <w:sz w:val="21"/>
      <w:szCs w:val="21"/>
    </w:rPr>
  </w:style>
  <w:style w:type="character" w:customStyle="1" w:styleId="32">
    <w:name w:val="批注主题 Char"/>
    <w:basedOn w:val="31"/>
    <w:link w:val="14"/>
    <w:qFormat/>
    <w:uiPriority w:val="0"/>
    <w:rPr>
      <w:b/>
      <w:bCs/>
      <w:sz w:val="21"/>
      <w:szCs w:val="21"/>
    </w:rPr>
  </w:style>
  <w:style w:type="paragraph" w:customStyle="1" w:styleId="33">
    <w:name w:val="修订1"/>
    <w:hidden/>
    <w:semiHidden/>
    <w:qFormat/>
    <w:uiPriority w:val="99"/>
    <w:rPr>
      <w:rFonts w:ascii="Times New Roman" w:hAnsi="Times New Roman" w:eastAsia="宋体" w:cs="Times New Roman"/>
      <w:sz w:val="21"/>
      <w:szCs w:val="21"/>
      <w:lang w:val="en-US" w:eastAsia="zh-CN" w:bidi="ar-SA"/>
    </w:rPr>
  </w:style>
  <w:style w:type="paragraph" w:customStyle="1" w:styleId="34">
    <w:name w:val="WPSOffice手动目录 1"/>
    <w:qFormat/>
    <w:uiPriority w:val="0"/>
    <w:rPr>
      <w:rFonts w:ascii="Times New Roman" w:hAnsi="Times New Roman" w:eastAsia="宋体" w:cs="Times New Roman"/>
      <w:lang w:val="en-US" w:eastAsia="zh-CN" w:bidi="ar-SA"/>
    </w:rPr>
  </w:style>
  <w:style w:type="paragraph" w:customStyle="1" w:styleId="3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6">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37">
    <w:name w:val="列出段落3"/>
    <w:basedOn w:val="1"/>
    <w:unhideWhenUsed/>
    <w:qFormat/>
    <w:uiPriority w:val="99"/>
    <w:pPr>
      <w:ind w:firstLine="420" w:firstLineChars="200"/>
    </w:pPr>
  </w:style>
  <w:style w:type="paragraph" w:customStyle="1" w:styleId="38">
    <w:name w:val="Body text|1"/>
    <w:basedOn w:val="1"/>
    <w:qFormat/>
    <w:uiPriority w:val="0"/>
    <w:pPr>
      <w:widowControl w:val="0"/>
      <w:spacing w:line="406" w:lineRule="auto"/>
    </w:pPr>
    <w:rPr>
      <w:rFonts w:ascii="宋体" w:hAnsi="宋体" w:cs="宋体"/>
      <w:sz w:val="28"/>
      <w:szCs w:val="28"/>
      <w:lang w:val="zh-TW" w:eastAsia="zh-TW" w:bidi="zh-TW"/>
    </w:rPr>
  </w:style>
  <w:style w:type="paragraph" w:styleId="3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C4E073-B2EC-4328-B69D-152BC7D3A743}">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28</Pages>
  <Words>2344</Words>
  <Characters>13361</Characters>
  <Lines>111</Lines>
  <Paragraphs>31</Paragraphs>
  <TotalTime>5</TotalTime>
  <ScaleCrop>false</ScaleCrop>
  <LinksUpToDate>false</LinksUpToDate>
  <CharactersWithSpaces>15674</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2017-07-11T10:38:00Z</dcterms:created>
  <dc:creator>lxf</dc:creator>
  <cp:lastModifiedBy>zzw</cp:lastModifiedBy>
  <cp:lastPrinted>2020-08-05T08:24:00Z</cp:lastPrinted>
  <dcterms:modified xsi:type="dcterms:W3CDTF">2020-10-24T04:43:28Z</dcterms:modified>
  <dc:title>附件：绩效评价报告参考格式</dc:title>
  <cp:revision>402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