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文星简黑体" w:hAnsi="黑体" w:eastAsia="文星简黑体"/>
          <w:sz w:val="52"/>
          <w:szCs w:val="52"/>
        </w:rPr>
      </w:pPr>
    </w:p>
    <w:p>
      <w:pPr>
        <w:pStyle w:val="2"/>
        <w:ind w:firstLine="1040"/>
        <w:rPr>
          <w:rFonts w:ascii="文星简黑体" w:hAnsi="黑体" w:eastAsia="文星简黑体"/>
          <w:sz w:val="52"/>
          <w:szCs w:val="52"/>
        </w:rPr>
      </w:pPr>
    </w:p>
    <w:p>
      <w:pPr>
        <w:spacing w:line="580" w:lineRule="exact"/>
        <w:jc w:val="center"/>
        <w:rPr>
          <w:rFonts w:ascii="文星简黑体" w:hAnsi="黑体" w:eastAsia="文星简黑体" w:cs="文星简黑体"/>
          <w:sz w:val="44"/>
          <w:szCs w:val="44"/>
        </w:rPr>
      </w:pPr>
      <w:r>
        <w:rPr>
          <w:rFonts w:ascii="文星简黑体" w:eastAsia="文星简黑体" w:cs="文星简黑体"/>
          <w:sz w:val="44"/>
          <w:szCs w:val="44"/>
        </w:rPr>
        <w:t>2019年度枣庄市</w:t>
      </w:r>
      <w:r>
        <w:rPr>
          <w:rFonts w:hint="eastAsia" w:ascii="文星简黑体" w:eastAsia="文星简黑体" w:cs="文星简黑体"/>
          <w:sz w:val="44"/>
          <w:szCs w:val="44"/>
          <w:lang w:val="en-US" w:eastAsia="zh-CN"/>
        </w:rPr>
        <w:t>山亭区民兵训练基地升级改造</w:t>
      </w:r>
      <w:r>
        <w:rPr>
          <w:rFonts w:ascii="文星简黑体" w:eastAsia="文星简黑体" w:cs="文星简黑体"/>
          <w:sz w:val="44"/>
          <w:szCs w:val="44"/>
        </w:rPr>
        <w:t>项目</w:t>
      </w:r>
      <w:r>
        <w:rPr>
          <w:rFonts w:ascii="文星简黑体" w:hAnsi="黑体" w:eastAsia="文星简黑体" w:cs="文星简黑体"/>
          <w:sz w:val="44"/>
          <w:szCs w:val="44"/>
        </w:rPr>
        <w:t>绩效评价报告</w:t>
      </w:r>
    </w:p>
    <w:p>
      <w:pPr>
        <w:spacing w:line="580" w:lineRule="exact"/>
        <w:jc w:val="center"/>
        <w:rPr>
          <w:rFonts w:ascii="文星简黑体" w:eastAsia="文星简黑体"/>
          <w:sz w:val="52"/>
          <w:szCs w:val="52"/>
        </w:rPr>
      </w:pPr>
    </w:p>
    <w:p>
      <w:pPr>
        <w:spacing w:line="580" w:lineRule="exact"/>
        <w:rPr>
          <w:rFonts w:ascii="文星简黑体" w:eastAsia="文星简黑体"/>
          <w:sz w:val="52"/>
          <w:szCs w:val="52"/>
        </w:rPr>
      </w:pPr>
    </w:p>
    <w:p>
      <w:pPr>
        <w:pStyle w:val="28"/>
        <w:adjustRightInd w:val="0"/>
        <w:snapToGrid w:val="0"/>
        <w:spacing w:line="580" w:lineRule="exact"/>
        <w:rPr>
          <w:rFonts w:ascii="仿宋_GB2312" w:eastAsia="仿宋_GB2312"/>
          <w:sz w:val="32"/>
          <w:szCs w:val="32"/>
        </w:rPr>
      </w:pPr>
    </w:p>
    <w:p>
      <w:pPr>
        <w:pStyle w:val="28"/>
        <w:adjustRightInd w:val="0"/>
        <w:snapToGrid w:val="0"/>
        <w:spacing w:line="580" w:lineRule="exact"/>
        <w:ind w:firstLine="640" w:firstLineChars="200"/>
        <w:rPr>
          <w:rFonts w:ascii="仿宋_GB2312" w:eastAsia="仿宋_GB2312"/>
          <w:sz w:val="32"/>
          <w:szCs w:val="32"/>
        </w:rPr>
      </w:pPr>
    </w:p>
    <w:p>
      <w:pPr>
        <w:pStyle w:val="28"/>
        <w:adjustRightInd w:val="0"/>
        <w:snapToGrid w:val="0"/>
        <w:spacing w:line="580" w:lineRule="exact"/>
        <w:rPr>
          <w:rFonts w:ascii="仿宋_GB2312" w:eastAsia="仿宋_GB2312"/>
          <w:sz w:val="32"/>
          <w:szCs w:val="32"/>
        </w:rPr>
      </w:pPr>
    </w:p>
    <w:p>
      <w:pPr>
        <w:spacing w:before="120" w:after="120" w:line="580" w:lineRule="exact"/>
        <w:rPr>
          <w:rFonts w:ascii="文星简黑体" w:eastAsia="文星简黑体" w:cs="文星简黑体"/>
          <w:sz w:val="32"/>
          <w:szCs w:val="32"/>
        </w:rPr>
      </w:pPr>
      <w:r>
        <w:rPr>
          <w:rFonts w:ascii="文星简黑体" w:eastAsia="文星简黑体" w:cs="文星简黑体"/>
          <w:sz w:val="32"/>
          <w:szCs w:val="32"/>
        </w:rPr>
        <w:t>委托单位：枣庄市</w:t>
      </w:r>
      <w:r>
        <w:rPr>
          <w:rFonts w:hint="eastAsia" w:ascii="文星简黑体" w:eastAsia="文星简黑体" w:cs="文星简黑体"/>
          <w:sz w:val="32"/>
          <w:szCs w:val="32"/>
          <w:lang w:val="en-US" w:eastAsia="zh-CN"/>
        </w:rPr>
        <w:t>山亭区</w:t>
      </w:r>
      <w:r>
        <w:rPr>
          <w:rFonts w:ascii="文星简黑体" w:eastAsia="文星简黑体" w:cs="文星简黑体"/>
          <w:sz w:val="32"/>
          <w:szCs w:val="32"/>
        </w:rPr>
        <w:t>财政局</w:t>
      </w:r>
    </w:p>
    <w:p>
      <w:pPr>
        <w:spacing w:before="120" w:after="120" w:line="580" w:lineRule="exact"/>
        <w:rPr>
          <w:rFonts w:hint="default" w:ascii="文星简黑体" w:eastAsia="文星简黑体" w:cs="文星简黑体"/>
          <w:sz w:val="32"/>
          <w:szCs w:val="32"/>
          <w:lang w:val="en-US" w:eastAsia="zh-CN"/>
        </w:rPr>
      </w:pPr>
      <w:r>
        <w:rPr>
          <w:rFonts w:ascii="文星简黑体" w:eastAsia="文星简黑体" w:cs="文星简黑体"/>
          <w:sz w:val="32"/>
          <w:szCs w:val="32"/>
        </w:rPr>
        <w:t>项目主管部门：</w:t>
      </w:r>
      <w:r>
        <w:rPr>
          <w:rFonts w:hint="eastAsia" w:ascii="文星简黑体" w:eastAsia="文星简黑体" w:cs="文星简黑体"/>
          <w:sz w:val="32"/>
          <w:szCs w:val="32"/>
          <w:lang w:val="en-US" w:eastAsia="zh-CN"/>
        </w:rPr>
        <w:t>中国人民解放军山东省枣庄市山亭区人民武装部</w:t>
      </w:r>
    </w:p>
    <w:p>
      <w:pPr>
        <w:spacing w:before="120" w:after="120" w:line="580" w:lineRule="exact"/>
        <w:rPr>
          <w:rFonts w:ascii="文星简黑体" w:eastAsia="文星简黑体"/>
          <w:sz w:val="28"/>
          <w:szCs w:val="28"/>
        </w:rPr>
      </w:pPr>
      <w:r>
        <w:rPr>
          <w:rFonts w:ascii="文星简黑体" w:eastAsia="文星简黑体" w:cs="文星简黑体"/>
          <w:sz w:val="32"/>
          <w:szCs w:val="32"/>
        </w:rPr>
        <w:t>评价机构：</w:t>
      </w:r>
      <w:r>
        <w:rPr>
          <w:rFonts w:hint="eastAsia" w:ascii="文星简黑体" w:eastAsia="文星简黑体" w:cs="文星简黑体"/>
          <w:sz w:val="32"/>
          <w:szCs w:val="32"/>
          <w:lang w:val="en-US" w:eastAsia="zh-CN"/>
        </w:rPr>
        <w:t>中景瑞晟（北京）管理</w:t>
      </w:r>
      <w:r>
        <w:rPr>
          <w:rFonts w:ascii="文星简黑体" w:eastAsia="文星简黑体" w:cs="文星简黑体"/>
          <w:sz w:val="32"/>
          <w:szCs w:val="32"/>
        </w:rPr>
        <w:t>咨询有限公司</w:t>
      </w:r>
    </w:p>
    <w:p>
      <w:pPr>
        <w:pStyle w:val="7"/>
        <w:rPr>
          <w:lang w:val="en-US"/>
        </w:rPr>
      </w:pPr>
    </w:p>
    <w:p>
      <w:pPr>
        <w:spacing w:before="120" w:after="120" w:line="580" w:lineRule="exact"/>
        <w:rPr>
          <w:rFonts w:ascii="文星简黑体" w:eastAsia="文星简黑体"/>
          <w:sz w:val="28"/>
          <w:szCs w:val="28"/>
        </w:rPr>
      </w:pPr>
    </w:p>
    <w:p>
      <w:pPr>
        <w:spacing w:before="120" w:after="120" w:line="580" w:lineRule="exact"/>
        <w:jc w:val="center"/>
        <w:rPr>
          <w:rFonts w:ascii="文星简黑体" w:eastAsia="文星简黑体" w:cs="文星简黑体"/>
          <w:sz w:val="32"/>
          <w:szCs w:val="32"/>
        </w:rPr>
      </w:pPr>
    </w:p>
    <w:p>
      <w:pPr>
        <w:spacing w:before="120" w:after="120" w:line="580" w:lineRule="exact"/>
        <w:jc w:val="center"/>
        <w:rPr>
          <w:rFonts w:ascii="文星简黑体" w:eastAsia="文星简黑体"/>
          <w:sz w:val="32"/>
          <w:szCs w:val="32"/>
        </w:rPr>
      </w:pPr>
      <w:r>
        <w:rPr>
          <w:rFonts w:ascii="文星简黑体" w:eastAsia="文星简黑体" w:cs="文星简黑体"/>
          <w:sz w:val="32"/>
          <w:szCs w:val="32"/>
        </w:rPr>
        <w:t>20</w:t>
      </w:r>
      <w:r>
        <w:rPr>
          <w:rFonts w:ascii="文星简黑体" w:hAnsi="黑体" w:eastAsia="文星简黑体" w:cs="文星简黑体"/>
          <w:sz w:val="32"/>
          <w:szCs w:val="32"/>
        </w:rPr>
        <w:t>20</w:t>
      </w:r>
      <w:r>
        <w:rPr>
          <w:rFonts w:ascii="文星简黑体" w:eastAsia="文星简黑体" w:cs="文星简黑体"/>
          <w:sz w:val="32"/>
          <w:szCs w:val="32"/>
        </w:rPr>
        <w:t>年</w:t>
      </w:r>
      <w:r>
        <w:rPr>
          <w:rFonts w:hint="eastAsia" w:ascii="文星简黑体" w:eastAsia="文星简黑体" w:cs="文星简黑体"/>
          <w:sz w:val="32"/>
          <w:szCs w:val="32"/>
          <w:lang w:val="en-US" w:eastAsia="zh-CN"/>
        </w:rPr>
        <w:t>9</w:t>
      </w:r>
      <w:r>
        <w:rPr>
          <w:rFonts w:ascii="文星简黑体" w:eastAsia="文星简黑体" w:cs="文星简黑体"/>
          <w:sz w:val="32"/>
          <w:szCs w:val="32"/>
        </w:rPr>
        <w:t>月</w:t>
      </w:r>
    </w:p>
    <w:p>
      <w:pPr>
        <w:spacing w:line="580" w:lineRule="exact"/>
        <w:rPr>
          <w:rFonts w:eastAsia="仿宋_GB2312"/>
        </w:rPr>
      </w:pPr>
      <w:r>
        <w:rPr>
          <w:rFonts w:eastAsia="仿宋_GB2312"/>
        </w:rPr>
        <w:br w:type="page"/>
      </w:r>
    </w:p>
    <w:sdt>
      <w:sdtPr>
        <w:rPr>
          <w:rFonts w:ascii="宋体" w:hAnsi="宋体" w:eastAsia="宋体" w:cs="Times New Roman"/>
          <w:sz w:val="52"/>
          <w:szCs w:val="52"/>
          <w:lang w:val="en-US" w:eastAsia="zh-CN" w:bidi="ar-SA"/>
        </w:rPr>
        <w:id w:val="147463377"/>
        <w15:color w:val="DBDBDB"/>
        <w:docPartObj>
          <w:docPartGallery w:val="Table of Contents"/>
          <w:docPartUnique/>
        </w:docPartObj>
      </w:sdtPr>
      <w:sdtEndPr>
        <w:rPr>
          <w:rFonts w:ascii="宋体" w:hAnsi="宋体" w:eastAsia="宋体" w:cs="Times New Roman"/>
          <w:b/>
          <w:sz w:val="40"/>
          <w:szCs w:val="40"/>
          <w:lang w:val="en-US" w:eastAsia="zh-CN" w:bidi="ar-SA"/>
        </w:rPr>
      </w:sdtEndPr>
      <w:sdtContent>
        <w:p>
          <w:pPr>
            <w:spacing w:before="0" w:beforeLines="0" w:after="0" w:afterLines="0" w:line="240" w:lineRule="auto"/>
            <w:ind w:left="0" w:leftChars="0" w:right="0" w:rightChars="0" w:firstLine="0" w:firstLineChars="0"/>
            <w:jc w:val="center"/>
            <w:rPr>
              <w:sz w:val="52"/>
              <w:szCs w:val="52"/>
            </w:rPr>
          </w:pPr>
          <w:r>
            <w:rPr>
              <w:rFonts w:ascii="宋体" w:hAnsi="宋体" w:eastAsia="宋体"/>
              <w:sz w:val="52"/>
              <w:szCs w:val="52"/>
            </w:rPr>
            <w:t>目录</w:t>
          </w:r>
        </w:p>
        <w:p>
          <w:pPr>
            <w:pStyle w:val="36"/>
            <w:keepNext w:val="0"/>
            <w:keepLines w:val="0"/>
            <w:pageBreakBefore w:val="0"/>
            <w:widowControl/>
            <w:tabs>
              <w:tab w:val="right" w:leader="dot" w:pos="8958"/>
            </w:tabs>
            <w:kinsoku/>
            <w:wordWrap/>
            <w:topLinePunct w:val="0"/>
            <w:bidi w:val="0"/>
            <w:snapToGrid/>
            <w:spacing w:line="400" w:lineRule="exact"/>
            <w:ind w:left="0" w:leftChars="0"/>
            <w:rPr>
              <w:rFonts w:hint="eastAsia" w:ascii="宋体" w:hAnsi="宋体" w:eastAsia="宋体" w:cs="宋体"/>
              <w:b w:val="0"/>
              <w:bCs/>
              <w:sz w:val="28"/>
              <w:szCs w:val="28"/>
            </w:rPr>
          </w:pPr>
          <w:r>
            <w:rPr>
              <w:sz w:val="40"/>
              <w:szCs w:val="40"/>
            </w:rPr>
            <w:fldChar w:fldCharType="begin"/>
          </w:r>
          <w:r>
            <w:rPr>
              <w:sz w:val="40"/>
              <w:szCs w:val="40"/>
            </w:rPr>
            <w:instrText xml:space="preserve">TOC \o "1-2" \h \u </w:instrText>
          </w:r>
          <w:r>
            <w:rPr>
              <w:sz w:val="40"/>
              <w:szCs w:val="40"/>
            </w:rPr>
            <w:fldChar w:fldCharType="separate"/>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_Toc9724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一、 项目基本情况</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_Toc9724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_Toc11607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（一）项目立项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_Toc11607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_Toc11121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（二）项目预算实施内容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_Toc11121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_Toc19445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（三）项目组织管理</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_Toc19445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_Toc13177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val="en-US" w:eastAsia="zh-CN" w:bidi="ar"/>
            </w:rPr>
            <w:t>二、</w:t>
          </w:r>
          <w:r>
            <w:rPr>
              <w:rFonts w:hint="eastAsia" w:ascii="宋体" w:hAnsi="宋体" w:eastAsia="宋体" w:cs="宋体"/>
              <w:b w:val="0"/>
              <w:bCs/>
              <w:sz w:val="28"/>
              <w:szCs w:val="48"/>
              <w:lang w:bidi="ar"/>
            </w:rPr>
            <w:t>项目绩效目标</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_Toc13177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_Toc792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（一）</w:t>
          </w:r>
          <w:r>
            <w:rPr>
              <w:rFonts w:hint="eastAsia" w:ascii="宋体" w:hAnsi="宋体" w:eastAsia="宋体" w:cs="宋体"/>
              <w:b w:val="0"/>
              <w:bCs/>
              <w:sz w:val="28"/>
              <w:szCs w:val="48"/>
              <w:lang w:val="en-US" w:eastAsia="zh-CN" w:bidi="ar"/>
            </w:rPr>
            <w:t>长期</w:t>
          </w:r>
          <w:r>
            <w:rPr>
              <w:rFonts w:hint="eastAsia" w:ascii="宋体" w:hAnsi="宋体" w:eastAsia="宋体" w:cs="宋体"/>
              <w:b w:val="0"/>
              <w:bCs/>
              <w:sz w:val="28"/>
              <w:szCs w:val="48"/>
              <w:lang w:bidi="ar"/>
            </w:rPr>
            <w:t>目标</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_Toc792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_Toc15581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（二）年度目标</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_Toc15581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_Toc5540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eastAsia="zh-CN" w:bidi="ar"/>
            </w:rPr>
            <w:t>三</w:t>
          </w:r>
          <w:r>
            <w:rPr>
              <w:rFonts w:hint="eastAsia" w:ascii="宋体" w:hAnsi="宋体" w:eastAsia="宋体" w:cs="宋体"/>
              <w:b w:val="0"/>
              <w:bCs/>
              <w:sz w:val="28"/>
              <w:szCs w:val="28"/>
              <w:lang w:val="en-US" w:bidi="ar"/>
            </w:rPr>
            <w:t>、绩效评价情况</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_Toc5540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_Toc28821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bidi="ar"/>
            </w:rPr>
            <w:t>（一）评价目的</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_Toc28821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_Toc8465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bidi="ar"/>
            </w:rPr>
            <w:t>（二）评价依据</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_Toc8465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_Toc21669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bidi="ar"/>
            </w:rPr>
            <w:t>（三）评价对象与范围</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_Toc21669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_Toc4097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bidi="ar"/>
            </w:rPr>
            <w:t>（四）评价原则与方法</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_Toc4097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_Toc11282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（五）绩效评价指标体系</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_Toc11282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7</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_Toc15394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bidi="ar"/>
            </w:rPr>
            <w:t>（六）评价人员组成</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_Toc15394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7</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_Toc13078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bidi="ar"/>
            </w:rPr>
            <w:t>（七）绩效评价工作过程</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_Toc13078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_Toc4599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lang w:val="en-US" w:bidi="ar"/>
            </w:rPr>
            <w:t>四、评价结论及分析</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_Toc4599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9</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_Toc2384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（一）综合评价结论</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_Toc2384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9</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7"/>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firstLine="560" w:firstLineChars="20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_Toc16779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bidi="ar"/>
            </w:rPr>
            <w:t>（二）各指标得分情况</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_Toc16779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10</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_Toc18817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val="en-US" w:eastAsia="zh-CN" w:bidi="ar"/>
            </w:rPr>
            <w:t>五、项目主要绩效</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_Toc18817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17</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_Toc32734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val="en-US" w:eastAsia="zh-CN" w:bidi="ar"/>
            </w:rPr>
            <w:t>六、</w:t>
          </w:r>
          <w:r>
            <w:rPr>
              <w:rFonts w:hint="eastAsia" w:ascii="宋体" w:hAnsi="宋体" w:eastAsia="宋体" w:cs="宋体"/>
              <w:b w:val="0"/>
              <w:bCs/>
              <w:sz w:val="28"/>
              <w:szCs w:val="48"/>
              <w:lang w:bidi="ar"/>
            </w:rPr>
            <w:t>存在的问题和建议</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_Toc32734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rFonts w:hint="eastAsia" w:ascii="宋体" w:hAnsi="宋体" w:eastAsia="宋体" w:cs="宋体"/>
              <w:b w:val="0"/>
              <w:bCs/>
              <w:sz w:val="28"/>
              <w:szCs w:val="28"/>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_Toc32663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val="en-US" w:eastAsia="zh-CN" w:bidi="ar"/>
            </w:rPr>
            <w:t>七</w:t>
          </w:r>
          <w:r>
            <w:rPr>
              <w:rFonts w:hint="eastAsia" w:ascii="宋体" w:hAnsi="宋体" w:eastAsia="宋体" w:cs="宋体"/>
              <w:b w:val="0"/>
              <w:bCs/>
              <w:sz w:val="28"/>
              <w:szCs w:val="48"/>
              <w:lang w:bidi="ar"/>
            </w:rPr>
            <w:t>、本报告的局限性</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_Toc32663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pStyle w:val="36"/>
            <w:keepNext w:val="0"/>
            <w:keepLines w:val="0"/>
            <w:pageBreakBefore w:val="0"/>
            <w:widowControl/>
            <w:shd w:val="clear"/>
            <w:tabs>
              <w:tab w:val="right" w:leader="dot" w:pos="8958"/>
            </w:tabs>
            <w:kinsoku/>
            <w:wordWrap/>
            <w:overflowPunct/>
            <w:topLinePunct w:val="0"/>
            <w:autoSpaceDE/>
            <w:autoSpaceDN/>
            <w:bidi w:val="0"/>
            <w:adjustRightInd/>
            <w:snapToGrid/>
            <w:spacing w:line="400" w:lineRule="exact"/>
            <w:ind w:left="0" w:leftChars="0"/>
            <w:textAlignment w:val="auto"/>
            <w:rPr>
              <w:b/>
              <w:sz w:val="40"/>
              <w:szCs w:val="40"/>
            </w:rPr>
          </w:pP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HYPERLINK \l _Toc27883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48"/>
              <w:lang w:val="en-US" w:eastAsia="zh-CN" w:bidi="ar"/>
            </w:rPr>
            <w:t>八</w:t>
          </w:r>
          <w:r>
            <w:rPr>
              <w:rFonts w:hint="eastAsia" w:ascii="宋体" w:hAnsi="宋体" w:eastAsia="宋体" w:cs="宋体"/>
              <w:b w:val="0"/>
              <w:bCs/>
              <w:sz w:val="28"/>
              <w:szCs w:val="48"/>
              <w:lang w:bidi="ar"/>
            </w:rPr>
            <w:t>、附件</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_Toc27883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19</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rPr>
            <w:fldChar w:fldCharType="end"/>
          </w:r>
        </w:p>
        <w:p>
          <w:pPr>
            <w:keepNext w:val="0"/>
            <w:keepLines w:val="0"/>
            <w:pageBreakBefore w:val="0"/>
            <w:widowControl/>
            <w:kinsoku/>
            <w:wordWrap/>
            <w:topLinePunct w:val="0"/>
            <w:bidi w:val="0"/>
            <w:snapToGrid/>
            <w:spacing w:line="400" w:lineRule="exact"/>
            <w:ind w:left="0" w:leftChars="0"/>
            <w:rPr>
              <w:sz w:val="40"/>
              <w:szCs w:val="40"/>
            </w:rPr>
          </w:pPr>
          <w:r>
            <w:rPr>
              <w:b/>
              <w:sz w:val="40"/>
              <w:szCs w:val="40"/>
            </w:rPr>
            <w:fldChar w:fldCharType="end"/>
          </w:r>
        </w:p>
      </w:sdtContent>
    </w:sdt>
    <w:sdt>
      <w:sdtPr>
        <w:rPr>
          <w:rFonts w:hint="eastAsia" w:asciiTheme="minorEastAsia" w:hAnsiTheme="minorEastAsia" w:eastAsiaTheme="minorEastAsia" w:cstheme="minorEastAsia"/>
          <w:sz w:val="32"/>
          <w:szCs w:val="32"/>
        </w:rPr>
        <w:id w:val="691703585"/>
        <w:showingPlcHdr/>
      </w:sdtPr>
      <w:sdtEndPr>
        <w:rPr>
          <w:rFonts w:hint="eastAsia" w:asciiTheme="minorEastAsia" w:hAnsiTheme="minorEastAsia" w:eastAsiaTheme="minorEastAsia" w:cstheme="minorEastAsia"/>
          <w:sz w:val="32"/>
          <w:szCs w:val="32"/>
        </w:rPr>
      </w:sdtEndPr>
      <w:sdtContent>
        <w:sdt>
          <w:sdtPr>
            <w:rPr>
              <w:rFonts w:hint="eastAsia" w:asciiTheme="minorEastAsia" w:hAnsiTheme="minorEastAsia" w:eastAsiaTheme="minorEastAsia" w:cstheme="minorEastAsia"/>
              <w:sz w:val="32"/>
              <w:szCs w:val="32"/>
            </w:rPr>
            <w:id w:val="673921779"/>
          </w:sdtPr>
          <w:sdtEndPr>
            <w:rPr>
              <w:rFonts w:hint="eastAsia" w:asciiTheme="minorEastAsia" w:hAnsiTheme="minorEastAsia" w:eastAsiaTheme="minorEastAsia" w:cstheme="minorEastAsia"/>
              <w:sz w:val="32"/>
              <w:szCs w:val="32"/>
            </w:rPr>
          </w:sdtEndPr>
          <w:sdtContent>
            <w:p>
              <w:pPr>
                <w:pStyle w:val="37"/>
                <w:tabs>
                  <w:tab w:val="right" w:leader="dot" w:pos="8958"/>
                </w:tabs>
                <w:ind w:left="420"/>
                <w:rPr>
                  <w:rFonts w:ascii="方正小标宋简体" w:hAnsi="方正小标宋简体" w:eastAsia="方正小标宋简体" w:cs="方正小标宋简体"/>
                  <w:sz w:val="44"/>
                  <w:szCs w:val="44"/>
                  <w:lang w:val="zh-CN" w:bidi="zh-CN"/>
                </w:rPr>
                <w:sectPr>
                  <w:footerReference r:id="rId3" w:type="first"/>
                  <w:pgSz w:w="11907" w:h="16840"/>
                  <w:pgMar w:top="2098" w:right="1418" w:bottom="1871" w:left="1531" w:header="851" w:footer="680" w:gutter="0"/>
                  <w:pgNumType w:start="1"/>
                  <w:cols w:space="720" w:num="1"/>
                  <w:titlePg/>
                  <w:docGrid w:linePitch="286" w:charSpace="0"/>
                </w:sectPr>
              </w:pPr>
              <w:bookmarkStart w:id="212" w:name="_GoBack"/>
              <w:bookmarkEnd w:id="212"/>
            </w:p>
          </w:sdtContent>
        </w:sdt>
      </w:sdtContent>
    </w:sdt>
    <w:p>
      <w:pPr>
        <w:pStyle w:val="28"/>
        <w:keepNext w:val="0"/>
        <w:keepLines w:val="0"/>
        <w:pageBreakBefore w:val="0"/>
        <w:numPr>
          <w:numId w:val="0"/>
        </w:numPr>
        <w:kinsoku/>
        <w:wordWrap/>
        <w:topLinePunct w:val="0"/>
        <w:bidi w:val="0"/>
        <w:snapToGrid w:val="0"/>
        <w:spacing w:line="580" w:lineRule="exact"/>
        <w:ind w:firstLine="640" w:firstLineChars="200"/>
        <w:outlineLvl w:val="0"/>
        <w:rPr>
          <w:rFonts w:ascii="黑体" w:hAnsi="黑体" w:cs="黑体"/>
          <w:b/>
          <w:bCs/>
          <w:szCs w:val="32"/>
          <w:lang w:bidi="ar"/>
        </w:rPr>
      </w:pPr>
      <w:bookmarkStart w:id="0" w:name="_Toc2076659232"/>
      <w:bookmarkStart w:id="1" w:name="_Toc58429410_WPSOffice_Level1"/>
      <w:bookmarkStart w:id="2" w:name="_Toc149918825_WPSOffice_Level1"/>
      <w:bookmarkStart w:id="3" w:name="_Toc9724"/>
      <w:r>
        <w:rPr>
          <w:rFonts w:hint="eastAsia" w:ascii="黑体" w:hAnsi="黑体" w:eastAsia="黑体" w:cs="黑体"/>
          <w:sz w:val="32"/>
          <w:szCs w:val="32"/>
          <w:lang w:val="en-US" w:eastAsia="zh-CN" w:bidi="ar"/>
        </w:rPr>
        <w:t>一、</w:t>
      </w:r>
      <w:r>
        <w:rPr>
          <w:rFonts w:hint="eastAsia" w:ascii="黑体" w:hAnsi="黑体" w:eastAsia="黑体" w:cs="黑体"/>
          <w:sz w:val="32"/>
          <w:szCs w:val="32"/>
          <w:lang w:bidi="ar"/>
        </w:rPr>
        <w:t>项目基本情况</w:t>
      </w:r>
      <w:bookmarkEnd w:id="0"/>
      <w:bookmarkEnd w:id="1"/>
      <w:bookmarkEnd w:id="2"/>
      <w:bookmarkEnd w:id="3"/>
    </w:p>
    <w:p>
      <w:pPr>
        <w:pStyle w:val="28"/>
        <w:keepNext w:val="0"/>
        <w:keepLines w:val="0"/>
        <w:pageBreakBefore w:val="0"/>
        <w:kinsoku/>
        <w:wordWrap/>
        <w:topLinePunct w:val="0"/>
        <w:bidi w:val="0"/>
        <w:snapToGrid w:val="0"/>
        <w:spacing w:line="580" w:lineRule="exact"/>
        <w:ind w:firstLine="640" w:firstLineChars="200"/>
        <w:outlineLvl w:val="1"/>
        <w:rPr>
          <w:rFonts w:hint="eastAsia" w:ascii="楷体_GB2312" w:hAnsi="楷体_GB2312" w:eastAsia="楷体_GB2312" w:cs="楷体_GB2312"/>
          <w:b w:val="0"/>
          <w:bCs w:val="0"/>
          <w:lang w:bidi="ar"/>
        </w:rPr>
      </w:pPr>
      <w:bookmarkStart w:id="4" w:name="_Toc750165375_WPSOffice_Level2"/>
      <w:bookmarkStart w:id="5" w:name="_Toc496774064_WPSOffice_Level2"/>
      <w:bookmarkStart w:id="6" w:name="_Toc11607"/>
      <w:bookmarkStart w:id="7" w:name="_Toc1507481180"/>
      <w:r>
        <w:rPr>
          <w:rFonts w:hint="eastAsia" w:ascii="楷体_GB2312" w:hAnsi="楷体_GB2312" w:eastAsia="楷体_GB2312" w:cs="楷体_GB2312"/>
          <w:b w:val="0"/>
          <w:bCs w:val="0"/>
          <w:sz w:val="32"/>
          <w:szCs w:val="32"/>
          <w:lang w:bidi="ar"/>
        </w:rPr>
        <w:t>（一）项目立项</w:t>
      </w:r>
      <w:bookmarkEnd w:id="4"/>
      <w:bookmarkEnd w:id="5"/>
      <w:bookmarkEnd w:id="6"/>
      <w:bookmarkEnd w:id="7"/>
    </w:p>
    <w:p>
      <w:pPr>
        <w:pStyle w:val="28"/>
        <w:keepNext w:val="0"/>
        <w:keepLines w:val="0"/>
        <w:pageBreakBefore w:val="0"/>
        <w:kinsoku/>
        <w:wordWrap/>
        <w:topLinePunct w:val="0"/>
        <w:bidi w:val="0"/>
        <w:spacing w:line="580" w:lineRule="exact"/>
        <w:ind w:firstLine="640" w:firstLineChars="200"/>
        <w:outlineLvl w:val="1"/>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bookmarkStart w:id="8" w:name="_Toc8098"/>
      <w:bookmarkStart w:id="9" w:name="_Toc16124"/>
      <w:bookmarkStart w:id="10" w:name="_Toc27763"/>
      <w:bookmarkStart w:id="11" w:name="_Toc224124954"/>
      <w:bookmarkStart w:id="12" w:name="_Toc2012757759_WPSOffice_Level2"/>
      <w:bookmarkStart w:id="13" w:name="_Toc152966088_WPSOffice_Level2"/>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为贯彻</w:t>
      </w:r>
      <w:bookmarkEnd w:id="8"/>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落实《关于推进近期国防动员重点工作落实的实施意见》（鲁国动【2019】13号），遵照省委主要领导的指示要求，为确保省国防动员委员会第一次工作会议研究确定的近期各项重点工作落到实处、取得成效，针对民兵训练基地建设及征兵办公室升级改造相关重点工作，由省政府孙立成副省长、省军区周月星副司令员负责，省政府办公厅、省军区战备建设局、省军区动员局牵头，省发展改革委、省财政厅、省自然资源厅、省机关事务管理局、省城乡建设局、省自然资源厅、省军区保障局、各有关地市参加落实工作。</w:t>
      </w:r>
      <w:bookmarkEnd w:id="9"/>
      <w:bookmarkEnd w:id="10"/>
    </w:p>
    <w:p>
      <w:pPr>
        <w:pStyle w:val="28"/>
        <w:keepNext w:val="0"/>
        <w:keepLines w:val="0"/>
        <w:pageBreakBefore w:val="0"/>
        <w:kinsoku/>
        <w:wordWrap/>
        <w:topLinePunct w:val="0"/>
        <w:bidi w:val="0"/>
        <w:spacing w:line="580" w:lineRule="exact"/>
        <w:ind w:firstLine="640" w:firstLineChars="200"/>
        <w:outlineLvl w:val="1"/>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bookmarkStart w:id="14" w:name="_Toc26015"/>
      <w:bookmarkStart w:id="15" w:name="_Toc3554"/>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民兵训练基地建设工作：按照国务院、中央军委《我军后备力量建设“十三五”规划》要求，构建以省级基地为骨干、市级基地为主体、县级基地为补充的训练基地保障体系。民兵训练基地办公和生活设施配套完善，具备条件的县级训练基地可独立新建，也可与辖区其他单位共建合用，需具备一次承训1个以上民兵应急连能力。2019年底前全部完成升级改造和建设。</w:t>
      </w:r>
      <w:bookmarkEnd w:id="14"/>
      <w:bookmarkEnd w:id="15"/>
    </w:p>
    <w:p>
      <w:pPr>
        <w:pStyle w:val="28"/>
        <w:keepNext w:val="0"/>
        <w:keepLines w:val="0"/>
        <w:pageBreakBefore w:val="0"/>
        <w:kinsoku/>
        <w:wordWrap/>
        <w:topLinePunct w:val="0"/>
        <w:bidi w:val="0"/>
        <w:spacing w:line="580" w:lineRule="exact"/>
        <w:ind w:firstLine="640" w:firstLineChars="200"/>
        <w:outlineLvl w:val="1"/>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bookmarkStart w:id="16" w:name="_Toc9971"/>
      <w:bookmarkStart w:id="17" w:name="_Toc6064"/>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经山亭区政府、住建局及财政局现场论证，山亭区民兵训练基地选址山亭区山城街道办事处坞土村北，经公开招标确定施工单位，2019年11月1日具备开工条件申请施工开工令，并于2019年12月25日完成施工。经建设单位、监理、施工及镇街各单位项目负责人及相关人员联合验收，评定山亭区民兵训练基地升级改造工程符合设计及验收规范要求，综合评定等级为合格。</w:t>
      </w:r>
      <w:bookmarkEnd w:id="16"/>
      <w:bookmarkEnd w:id="17"/>
    </w:p>
    <w:p>
      <w:pPr>
        <w:pStyle w:val="28"/>
        <w:keepNext w:val="0"/>
        <w:keepLines w:val="0"/>
        <w:pageBreakBefore w:val="0"/>
        <w:kinsoku/>
        <w:wordWrap/>
        <w:topLinePunct w:val="0"/>
        <w:bidi w:val="0"/>
        <w:snapToGrid w:val="0"/>
        <w:spacing w:line="580" w:lineRule="exact"/>
        <w:ind w:firstLine="640" w:firstLineChars="200"/>
        <w:outlineLvl w:val="1"/>
        <w:rPr>
          <w:rFonts w:hint="eastAsia" w:ascii="楷体_GB2312" w:hAnsi="楷体_GB2312" w:eastAsia="楷体_GB2312" w:cs="楷体_GB2312"/>
          <w:b w:val="0"/>
          <w:bCs w:val="0"/>
          <w:sz w:val="32"/>
          <w:szCs w:val="32"/>
          <w:lang w:bidi="ar"/>
        </w:rPr>
      </w:pPr>
      <w:bookmarkStart w:id="18" w:name="_Toc10795"/>
      <w:bookmarkStart w:id="19" w:name="_Toc11121"/>
      <w:r>
        <w:rPr>
          <w:rFonts w:hint="eastAsia" w:ascii="楷体_GB2312" w:hAnsi="楷体_GB2312" w:eastAsia="楷体_GB2312" w:cs="楷体_GB2312"/>
          <w:b w:val="0"/>
          <w:bCs w:val="0"/>
          <w:sz w:val="32"/>
          <w:szCs w:val="32"/>
          <w:lang w:bidi="ar"/>
        </w:rPr>
        <w:t>（二）项目预算</w:t>
      </w:r>
      <w:bookmarkEnd w:id="11"/>
      <w:bookmarkEnd w:id="12"/>
      <w:bookmarkEnd w:id="13"/>
      <w:r>
        <w:rPr>
          <w:rFonts w:hint="eastAsia" w:ascii="楷体_GB2312" w:hAnsi="楷体_GB2312" w:eastAsia="楷体_GB2312" w:cs="楷体_GB2312"/>
          <w:b w:val="0"/>
          <w:bCs w:val="0"/>
          <w:sz w:val="32"/>
          <w:szCs w:val="32"/>
          <w:lang w:bidi="ar"/>
        </w:rPr>
        <w:t>实施内容</w:t>
      </w:r>
      <w:bookmarkEnd w:id="18"/>
      <w:bookmarkEnd w:id="19"/>
    </w:p>
    <w:p>
      <w:pPr>
        <w:keepNext w:val="0"/>
        <w:keepLines w:val="0"/>
        <w:pageBreakBefore w:val="0"/>
        <w:kinsoku/>
        <w:wordWrap/>
        <w:topLinePunct w:val="0"/>
        <w:bidi w:val="0"/>
        <w:spacing w:line="580" w:lineRule="exact"/>
        <w:ind w:firstLine="640" w:firstLineChars="200"/>
        <w:rPr>
          <w:color w:val="000000" w:themeColor="text1"/>
          <w14:textFill>
            <w14:solidFill>
              <w14:schemeClr w14:val="tx1"/>
            </w14:solidFill>
          </w14:textFill>
        </w:rPr>
      </w:pPr>
      <w:bookmarkStart w:id="20" w:name="_Toc1539421246"/>
      <w:bookmarkStart w:id="21" w:name="_Toc1493137105_WPSOffice_Level2"/>
      <w:bookmarkStart w:id="22" w:name="_Toc955776515_WPSOffice_Level2"/>
      <w:bookmarkStart w:id="23" w:name="_Toc947070252_WPSOffice_Level2"/>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枣庄市山亭区民兵训练基地升级改造</w:t>
      </w:r>
      <w:r>
        <w:rPr>
          <w:rFonts w:hint="eastAsia" w:ascii="仿宋_GB2312" w:hAnsi="仿宋_GB2312" w:eastAsia="仿宋_GB2312" w:cs="仿宋_GB2312"/>
          <w:color w:val="000000" w:themeColor="text1"/>
          <w:sz w:val="32"/>
          <w:szCs w:val="32"/>
          <w:lang w:bidi="ar"/>
          <w14:textFill>
            <w14:solidFill>
              <w14:schemeClr w14:val="tx1"/>
            </w14:solidFill>
          </w14:textFill>
        </w:rPr>
        <w:t>项目计划总投资</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163.04</w:t>
      </w:r>
      <w:r>
        <w:rPr>
          <w:rFonts w:hint="eastAsia" w:ascii="仿宋_GB2312" w:hAnsi="仿宋_GB2312" w:eastAsia="仿宋_GB2312" w:cs="仿宋_GB2312"/>
          <w:color w:val="000000" w:themeColor="text1"/>
          <w:sz w:val="32"/>
          <w:szCs w:val="32"/>
          <w:lang w:bidi="ar"/>
          <w14:textFill>
            <w14:solidFill>
              <w14:schemeClr w14:val="tx1"/>
            </w14:solidFill>
          </w14:textFill>
        </w:rPr>
        <w:t>万元，由</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w:t>
      </w:r>
      <w:r>
        <w:rPr>
          <w:rFonts w:hint="eastAsia" w:ascii="仿宋_GB2312" w:hAnsi="仿宋_GB2312" w:eastAsia="仿宋_GB2312" w:cs="仿宋_GB2312"/>
          <w:color w:val="000000" w:themeColor="text1"/>
          <w:sz w:val="32"/>
          <w:szCs w:val="32"/>
          <w:lang w:bidi="ar"/>
          <w14:textFill>
            <w14:solidFill>
              <w14:schemeClr w14:val="tx1"/>
            </w14:solidFill>
          </w14:textFill>
        </w:rPr>
        <w:t>区财政</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全额支付</w:t>
      </w:r>
      <w:r>
        <w:rPr>
          <w:rFonts w:hint="eastAsia" w:ascii="仿宋_GB2312" w:hAnsi="仿宋_GB2312" w:eastAsia="仿宋_GB2312" w:cs="仿宋_GB2312"/>
          <w:color w:val="000000" w:themeColor="text1"/>
          <w:sz w:val="32"/>
          <w:szCs w:val="32"/>
          <w:lang w:bidi="ar"/>
          <w14:textFill>
            <w14:solidFill>
              <w14:schemeClr w14:val="tx1"/>
            </w14:solidFill>
          </w14:textFill>
        </w:rPr>
        <w:t>。主要用于</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办公楼整体改造提升，训练场地硬化及场地道路建设</w:t>
      </w: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山亭区人武部于2019年12月底按照全省民兵训练基地建设方案，着眼于提高基地的民兵军事训练保障能力，完成对民兵训练基地进行升级改造，改造后基地承训能力150人。</w:t>
      </w:r>
    </w:p>
    <w:p>
      <w:pPr>
        <w:pStyle w:val="28"/>
        <w:keepNext w:val="0"/>
        <w:keepLines w:val="0"/>
        <w:pageBreakBefore w:val="0"/>
        <w:kinsoku/>
        <w:wordWrap/>
        <w:topLinePunct w:val="0"/>
        <w:bidi w:val="0"/>
        <w:snapToGrid w:val="0"/>
        <w:spacing w:line="580" w:lineRule="exact"/>
        <w:ind w:firstLine="640" w:firstLineChars="200"/>
        <w:outlineLvl w:val="1"/>
        <w:rPr>
          <w:rFonts w:hint="eastAsia" w:ascii="楷体_GB2312" w:hAnsi="楷体_GB2312" w:eastAsia="楷体_GB2312" w:cs="楷体_GB2312"/>
          <w:b w:val="0"/>
          <w:bCs w:val="0"/>
          <w:sz w:val="32"/>
          <w:szCs w:val="32"/>
          <w:lang w:bidi="ar"/>
        </w:rPr>
      </w:pPr>
      <w:bookmarkStart w:id="24" w:name="_Toc13433"/>
      <w:bookmarkStart w:id="25" w:name="_Toc19445"/>
      <w:r>
        <w:rPr>
          <w:rFonts w:hint="eastAsia" w:ascii="楷体_GB2312" w:hAnsi="楷体_GB2312" w:eastAsia="楷体_GB2312" w:cs="楷体_GB2312"/>
          <w:b w:val="0"/>
          <w:bCs w:val="0"/>
          <w:sz w:val="32"/>
          <w:szCs w:val="32"/>
          <w:lang w:bidi="ar"/>
        </w:rPr>
        <w:t>（三）项目组织管理</w:t>
      </w:r>
      <w:bookmarkEnd w:id="20"/>
      <w:bookmarkEnd w:id="21"/>
      <w:bookmarkEnd w:id="22"/>
      <w:bookmarkEnd w:id="23"/>
      <w:bookmarkEnd w:id="24"/>
      <w:bookmarkEnd w:id="25"/>
    </w:p>
    <w:p>
      <w:pPr>
        <w:pStyle w:val="28"/>
        <w:keepNext w:val="0"/>
        <w:keepLines w:val="0"/>
        <w:pageBreakBefore w:val="0"/>
        <w:kinsoku/>
        <w:wordWrap/>
        <w:topLinePunct w:val="0"/>
        <w:bidi w:val="0"/>
        <w:spacing w:line="580" w:lineRule="exact"/>
        <w:ind w:firstLine="640" w:firstLineChars="200"/>
        <w:outlineLvl w:val="1"/>
        <w:rPr>
          <w:rFonts w:hint="eastAsia" w:ascii="仿宋_GB2312" w:hAnsi="仿宋_GB2312" w:eastAsia="仿宋_GB2312" w:cs="仿宋_GB2312"/>
          <w:color w:val="000000" w:themeColor="text1"/>
          <w:sz w:val="32"/>
          <w:szCs w:val="32"/>
          <w:lang w:bidi="ar"/>
          <w14:textFill>
            <w14:solidFill>
              <w14:schemeClr w14:val="tx1"/>
            </w14:solidFill>
          </w14:textFill>
        </w:rPr>
      </w:pPr>
      <w:bookmarkStart w:id="26" w:name="_Toc31257"/>
      <w:bookmarkStart w:id="27" w:name="_Toc2589"/>
      <w:bookmarkStart w:id="28" w:name="_Toc7170"/>
      <w:r>
        <w:rPr>
          <w:rFonts w:hint="eastAsia" w:ascii="仿宋_GB2312" w:hAnsi="仿宋_GB2312" w:eastAsia="仿宋_GB2312" w:cs="仿宋_GB2312"/>
          <w:color w:val="000000" w:themeColor="text1"/>
          <w:sz w:val="32"/>
          <w:szCs w:val="32"/>
          <w:lang w:bidi="ar"/>
          <w14:textFill>
            <w14:solidFill>
              <w14:schemeClr w14:val="tx1"/>
            </w14:solidFill>
          </w14:textFill>
        </w:rPr>
        <w:t>枣庄</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市山亭区人武部</w:t>
      </w:r>
      <w:r>
        <w:rPr>
          <w:rFonts w:hint="eastAsia" w:ascii="仿宋_GB2312" w:hAnsi="仿宋_GB2312" w:eastAsia="仿宋_GB2312" w:cs="仿宋_GB2312"/>
          <w:color w:val="000000" w:themeColor="text1"/>
          <w:sz w:val="32"/>
          <w:szCs w:val="32"/>
          <w:lang w:bidi="ar"/>
          <w14:textFill>
            <w14:solidFill>
              <w14:schemeClr w14:val="tx1"/>
            </w14:solidFill>
          </w14:textFill>
        </w:rPr>
        <w:t>为该项目的组织管理部门，负责全面推进项目实施。财政部门负责拨付资金，履行财政监督职能，组织项目绩效评价等工作。</w:t>
      </w:r>
      <w:bookmarkEnd w:id="26"/>
      <w:bookmarkEnd w:id="27"/>
      <w:bookmarkEnd w:id="28"/>
      <w:bookmarkStart w:id="29" w:name="_Toc169902466"/>
    </w:p>
    <w:p>
      <w:pPr>
        <w:pStyle w:val="28"/>
        <w:keepNext w:val="0"/>
        <w:keepLines w:val="0"/>
        <w:pageBreakBefore w:val="0"/>
        <w:numPr>
          <w:ilvl w:val="0"/>
          <w:numId w:val="0"/>
        </w:numPr>
        <w:kinsoku/>
        <w:wordWrap/>
        <w:topLinePunct w:val="0"/>
        <w:bidi w:val="0"/>
        <w:spacing w:line="580" w:lineRule="exact"/>
        <w:ind w:firstLine="640" w:firstLineChars="200"/>
        <w:outlineLvl w:val="0"/>
        <w:rPr>
          <w:rFonts w:ascii="仿宋_GB2312" w:hAnsi="仿宋_GB2312" w:eastAsia="仿宋_GB2312" w:cs="仿宋_GB2312"/>
          <w:b/>
          <w:bCs/>
          <w:color w:val="000000" w:themeColor="text1"/>
          <w:sz w:val="32"/>
          <w:szCs w:val="32"/>
          <w:lang w:bidi="ar"/>
          <w14:textFill>
            <w14:solidFill>
              <w14:schemeClr w14:val="tx1"/>
            </w14:solidFill>
          </w14:textFill>
        </w:rPr>
      </w:pPr>
      <w:bookmarkStart w:id="30" w:name="_Toc13177"/>
      <w:bookmarkStart w:id="31" w:name="_Toc623067191_WPSOffice_Level1"/>
      <w:bookmarkStart w:id="32" w:name="_Toc687373844_WPSOffice_Level1"/>
      <w:r>
        <w:rPr>
          <w:rFonts w:hint="eastAsia" w:ascii="黑体" w:hAnsi="黑体" w:eastAsia="黑体" w:cs="黑体"/>
          <w:color w:val="000000" w:themeColor="text1"/>
          <w:sz w:val="32"/>
          <w:szCs w:val="32"/>
          <w:lang w:val="en-US" w:eastAsia="zh-CN" w:bidi="ar"/>
          <w14:textFill>
            <w14:solidFill>
              <w14:schemeClr w14:val="tx1"/>
            </w14:solidFill>
          </w14:textFill>
        </w:rPr>
        <w:t>二、</w:t>
      </w:r>
      <w:r>
        <w:rPr>
          <w:rFonts w:hint="eastAsia" w:ascii="黑体" w:hAnsi="黑体" w:eastAsia="黑体" w:cs="黑体"/>
          <w:color w:val="000000" w:themeColor="text1"/>
          <w:sz w:val="32"/>
          <w:szCs w:val="32"/>
          <w:lang w:bidi="ar"/>
          <w14:textFill>
            <w14:solidFill>
              <w14:schemeClr w14:val="tx1"/>
            </w14:solidFill>
          </w14:textFill>
        </w:rPr>
        <w:t>项目绩效目标</w:t>
      </w:r>
      <w:bookmarkEnd w:id="29"/>
      <w:bookmarkEnd w:id="30"/>
      <w:bookmarkEnd w:id="31"/>
      <w:bookmarkEnd w:id="32"/>
      <w:bookmarkStart w:id="33" w:name="_Toc1808908540_WPSOffice_Level2"/>
      <w:bookmarkStart w:id="34" w:name="_Toc1544979199"/>
      <w:bookmarkStart w:id="35" w:name="_Toc260933800_WPSOffice_Level2"/>
    </w:p>
    <w:p>
      <w:pPr>
        <w:pStyle w:val="28"/>
        <w:keepNext w:val="0"/>
        <w:keepLines w:val="0"/>
        <w:pageBreakBefore w:val="0"/>
        <w:kinsoku/>
        <w:wordWrap/>
        <w:topLinePunct w:val="0"/>
        <w:bidi w:val="0"/>
        <w:snapToGrid w:val="0"/>
        <w:spacing w:line="580" w:lineRule="exact"/>
        <w:ind w:firstLine="640" w:firstLineChars="200"/>
        <w:outlineLvl w:val="1"/>
        <w:rPr>
          <w:rFonts w:hint="eastAsia" w:ascii="楷体_GB2312" w:hAnsi="楷体_GB2312" w:eastAsia="楷体_GB2312" w:cs="楷体_GB2312"/>
          <w:b w:val="0"/>
          <w:bCs w:val="0"/>
          <w:sz w:val="32"/>
          <w:szCs w:val="32"/>
          <w:lang w:bidi="ar"/>
        </w:rPr>
      </w:pPr>
      <w:bookmarkStart w:id="36" w:name="_Toc792"/>
      <w:r>
        <w:rPr>
          <w:rFonts w:hint="eastAsia" w:ascii="楷体_GB2312" w:hAnsi="楷体_GB2312" w:eastAsia="楷体_GB2312" w:cs="楷体_GB2312"/>
          <w:b w:val="0"/>
          <w:bCs w:val="0"/>
          <w:sz w:val="32"/>
          <w:szCs w:val="32"/>
          <w:lang w:bidi="ar"/>
        </w:rPr>
        <w:t>（一）</w:t>
      </w:r>
      <w:r>
        <w:rPr>
          <w:rFonts w:hint="eastAsia" w:ascii="楷体_GB2312" w:hAnsi="楷体_GB2312" w:eastAsia="楷体_GB2312" w:cs="楷体_GB2312"/>
          <w:b w:val="0"/>
          <w:bCs w:val="0"/>
          <w:sz w:val="32"/>
          <w:szCs w:val="32"/>
          <w:lang w:val="en-US" w:eastAsia="zh-CN" w:bidi="ar"/>
        </w:rPr>
        <w:t>长期</w:t>
      </w:r>
      <w:r>
        <w:rPr>
          <w:rFonts w:hint="eastAsia" w:ascii="楷体_GB2312" w:hAnsi="楷体_GB2312" w:eastAsia="楷体_GB2312" w:cs="楷体_GB2312"/>
          <w:b w:val="0"/>
          <w:bCs w:val="0"/>
          <w:sz w:val="32"/>
          <w:szCs w:val="32"/>
          <w:lang w:bidi="ar"/>
        </w:rPr>
        <w:t>目标</w:t>
      </w:r>
      <w:bookmarkEnd w:id="33"/>
      <w:bookmarkEnd w:id="34"/>
      <w:bookmarkEnd w:id="35"/>
      <w:bookmarkEnd w:id="36"/>
    </w:p>
    <w:p>
      <w:pPr>
        <w:pStyle w:val="28"/>
        <w:keepNext w:val="0"/>
        <w:keepLines w:val="0"/>
        <w:pageBreakBefore w:val="0"/>
        <w:kinsoku/>
        <w:wordWrap/>
        <w:topLinePunct w:val="0"/>
        <w:bidi w:val="0"/>
        <w:spacing w:line="580" w:lineRule="exact"/>
        <w:ind w:firstLine="640" w:firstLineChars="200"/>
        <w:outlineLvl w:val="1"/>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bookmarkStart w:id="37" w:name="_Toc2960"/>
      <w:bookmarkStart w:id="38" w:name="_Toc352769426_WPSOffice_Level2"/>
      <w:bookmarkStart w:id="39" w:name="_Toc399841201_WPSOffice_Level2"/>
      <w:bookmarkStart w:id="40" w:name="_Toc1240621716"/>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贯彻落实《关于推进近期国防动员重点工作落实的实施意见》（鲁国动【2019】13号）文件精神，按照国务院、中央军委《我军后备力量建设“十三五”规划》要求完成基地建设，依托过硬的训练基础设施，培训高素质教练员队伍，打造过硬的山亭民兵队伍。</w:t>
      </w:r>
      <w:bookmarkEnd w:id="37"/>
    </w:p>
    <w:p>
      <w:pPr>
        <w:pStyle w:val="28"/>
        <w:keepNext w:val="0"/>
        <w:keepLines w:val="0"/>
        <w:pageBreakBefore w:val="0"/>
        <w:kinsoku/>
        <w:wordWrap/>
        <w:topLinePunct w:val="0"/>
        <w:bidi w:val="0"/>
        <w:snapToGrid w:val="0"/>
        <w:spacing w:line="580" w:lineRule="exact"/>
        <w:ind w:firstLine="640" w:firstLineChars="200"/>
        <w:outlineLvl w:val="1"/>
        <w:rPr>
          <w:rFonts w:hint="eastAsia" w:ascii="楷体_GB2312" w:hAnsi="楷体_GB2312" w:eastAsia="楷体_GB2312" w:cs="楷体_GB2312"/>
          <w:b w:val="0"/>
          <w:bCs w:val="0"/>
          <w:sz w:val="32"/>
          <w:szCs w:val="32"/>
          <w:lang w:bidi="ar"/>
        </w:rPr>
      </w:pPr>
      <w:bookmarkStart w:id="41" w:name="_Toc15581"/>
      <w:r>
        <w:rPr>
          <w:rFonts w:hint="eastAsia" w:ascii="楷体_GB2312" w:hAnsi="楷体_GB2312" w:eastAsia="楷体_GB2312" w:cs="楷体_GB2312"/>
          <w:b w:val="0"/>
          <w:bCs w:val="0"/>
          <w:sz w:val="32"/>
          <w:szCs w:val="32"/>
          <w:lang w:bidi="ar"/>
        </w:rPr>
        <w:t>（二）年度目标</w:t>
      </w:r>
      <w:bookmarkEnd w:id="38"/>
      <w:bookmarkEnd w:id="39"/>
      <w:bookmarkEnd w:id="40"/>
      <w:bookmarkEnd w:id="41"/>
    </w:p>
    <w:p>
      <w:pPr>
        <w:pStyle w:val="28"/>
        <w:spacing w:line="580" w:lineRule="exact"/>
        <w:ind w:firstLine="640" w:firstLineChars="200"/>
        <w:outlineLvl w:val="1"/>
        <w:rPr>
          <w:rFonts w:ascii="仿宋_GB2312" w:hAnsi="仿宋_GB2312" w:eastAsia="仿宋_GB2312" w:cs="仿宋_GB2312"/>
          <w:color w:val="000000" w:themeColor="text1"/>
          <w:sz w:val="32"/>
          <w:szCs w:val="32"/>
          <w:lang w:bidi="ar"/>
          <w14:textFill>
            <w14:solidFill>
              <w14:schemeClr w14:val="tx1"/>
            </w14:solidFill>
          </w14:textFill>
        </w:rPr>
      </w:pPr>
      <w:bookmarkStart w:id="42" w:name="_Toc30413"/>
      <w:bookmarkStart w:id="43" w:name="_Toc8618"/>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按照民兵训练基地升级改造标准完成民兵训练基地升级改造项目</w:t>
      </w:r>
      <w:r>
        <w:rPr>
          <w:rFonts w:hint="eastAsia" w:ascii="仿宋_GB2312" w:hAnsi="仿宋_GB2312" w:eastAsia="仿宋_GB2312" w:cs="仿宋_GB2312"/>
          <w:color w:val="000000" w:themeColor="text1"/>
          <w:sz w:val="32"/>
          <w:szCs w:val="32"/>
          <w:lang w:bidi="ar"/>
          <w14:textFill>
            <w14:solidFill>
              <w14:schemeClr w14:val="tx1"/>
            </w14:solidFill>
          </w14:textFill>
        </w:rPr>
        <w:t>。具体年度绩效目标详见下表。</w:t>
      </w:r>
      <w:bookmarkEnd w:id="42"/>
      <w:bookmarkEnd w:id="43"/>
    </w:p>
    <w:p>
      <w:pPr>
        <w:spacing w:line="580" w:lineRule="exact"/>
        <w:jc w:val="center"/>
        <w:rPr>
          <w:rFonts w:hint="eastAsia" w:ascii="宋体" w:hAnsi="宋体" w:cs="宋体" w:eastAsiaTheme="minorEastAsia"/>
          <w:b/>
          <w:bCs/>
          <w:color w:val="000000" w:themeColor="text1"/>
          <w:sz w:val="28"/>
          <w:szCs w:val="28"/>
          <w:lang w:val="en-US" w:eastAsia="zh-CN"/>
          <w14:textFill>
            <w14:solidFill>
              <w14:schemeClr w14:val="tx1"/>
            </w14:solidFill>
          </w14:textFill>
        </w:rPr>
      </w:pPr>
      <w:bookmarkStart w:id="44" w:name="_Toc654733744_WPSOffice_Level2"/>
      <w:bookmarkStart w:id="45" w:name="_Toc1940877062_WPSOffice_Level2"/>
      <w:bookmarkStart w:id="46" w:name="_Toc1209078408_WPSOffice_Level2"/>
      <w:r>
        <w:rPr>
          <w:rFonts w:hint="eastAsia" w:asciiTheme="minorEastAsia" w:hAnsiTheme="minorEastAsia" w:eastAsiaTheme="minorEastAsia" w:cstheme="minorEastAsia"/>
          <w:b/>
          <w:bCs/>
          <w:color w:val="000000" w:themeColor="text1"/>
          <w:sz w:val="28"/>
          <w:szCs w:val="28"/>
          <w14:textFill>
            <w14:solidFill>
              <w14:schemeClr w14:val="tx1"/>
            </w14:solidFill>
          </w14:textFill>
        </w:rPr>
        <w:t>表</w:t>
      </w:r>
      <w:r>
        <w:rPr>
          <w:rFonts w:asciiTheme="minorEastAsia" w:hAnsiTheme="minorEastAsia" w:eastAsiaTheme="minorEastAsia" w:cstheme="minorEastAsia"/>
          <w:b/>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：项目绩效目标</w:t>
      </w:r>
      <w:bookmarkEnd w:id="44"/>
      <w:bookmarkEnd w:id="45"/>
      <w:bookmarkEnd w:id="46"/>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情况表</w:t>
      </w:r>
    </w:p>
    <w:tbl>
      <w:tblPr>
        <w:tblStyle w:val="18"/>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18"/>
        <w:gridCol w:w="1354"/>
        <w:gridCol w:w="3057"/>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一级指标</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二级指标</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指标内容</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218" w:type="dxa"/>
            <w:vMerge w:val="restart"/>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产出指标</w:t>
            </w:r>
          </w:p>
        </w:tc>
        <w:tc>
          <w:tcPr>
            <w:tcW w:w="1354" w:type="dxa"/>
            <w:vMerge w:val="restart"/>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数量指标</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专武干部集训</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40人/年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民兵教练员集训</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25人/年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役前训练</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200人/年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基干民兵训练</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185人/年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质量指标</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完成上级训练任务</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时效指标</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项目开始时间</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20</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19</w:t>
            </w:r>
            <w:r>
              <w:rPr>
                <w:rFonts w:hint="eastAsia" w:asciiTheme="minorEastAsia" w:hAnsiTheme="minorEastAsia" w:eastAsiaTheme="minorEastAsia" w:cstheme="minorEastAsia"/>
                <w:color w:val="000000" w:themeColor="text1"/>
                <w14:textFill>
                  <w14:solidFill>
                    <w14:schemeClr w14:val="tx1"/>
                  </w14:solidFill>
                </w14:textFill>
              </w:rPr>
              <w:t>年</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14:textFill>
                  <w14:solidFill>
                    <w14:schemeClr w14:val="tx1"/>
                  </w14:solidFill>
                </w14:textFill>
              </w:rPr>
              <w:t>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项目完成时间</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2019年12月31日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成本指标</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训练教学楼屋顶修补、防水处理650㎡</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12.62万元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训练教学楼外墙刷漆1948㎡</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15.3万元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训练教学楼内墙刷漆4628㎡</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训练教学楼更换门68套</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5.9万元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天棚吊顶刷涂料2166㎡</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内外墙铲除9023㎡</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墙砖地砖拆除地面修补520㎡</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2.97万元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训练场地平整2600㎡</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训练楼线路铺设2500㎡，灯具安装115套</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训练场沥青路面6022㎡</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40.1万元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训练场水泥混凝土2894㎡</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24.4万元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14:textFill>
                  <w14:solidFill>
                    <w14:schemeClr w14:val="tx1"/>
                  </w14:solidFill>
                </w14:textFill>
              </w:rPr>
            </w:pP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安装电动门放到长改水等其他</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22.95万元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restart"/>
            <w:tcBorders>
              <w:left w:val="single" w:color="auto" w:sz="4" w:space="0"/>
              <w:right w:val="single" w:color="auto" w:sz="4" w:space="0"/>
            </w:tcBorders>
            <w:shd w:val="clear" w:color="auto" w:fill="auto"/>
            <w:vAlign w:val="center"/>
          </w:tcPr>
          <w:p>
            <w:pPr>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效益指标</w:t>
            </w:r>
          </w:p>
        </w:tc>
        <w:tc>
          <w:tcPr>
            <w:tcW w:w="1354" w:type="dxa"/>
            <w:tcBorders>
              <w:top w:val="single" w:color="auto" w:sz="4" w:space="0"/>
              <w:left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社会</w:t>
            </w:r>
            <w:r>
              <w:rPr>
                <w:rFonts w:hint="eastAsia" w:asciiTheme="minorEastAsia" w:hAnsiTheme="minorEastAsia" w:eastAsiaTheme="minorEastAsia" w:cstheme="minorEastAsia"/>
                <w:color w:val="000000" w:themeColor="text1"/>
                <w14:textFill>
                  <w14:solidFill>
                    <w14:schemeClr w14:val="tx1"/>
                  </w14:solidFill>
                </w14:textFill>
              </w:rPr>
              <w:t>效益</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指标</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民兵能力水平，专武干部、教练员业务能力</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持续有效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可持续影响</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保障全区民兵训练工作、役前集训、教练员集训有序开展</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持续提高社会治安综合治理成效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8" w:type="dxa"/>
            <w:vMerge w:val="continue"/>
            <w:tcBorders>
              <w:left w:val="single" w:color="auto" w:sz="4" w:space="0"/>
              <w:right w:val="single" w:color="auto" w:sz="4" w:space="0"/>
            </w:tcBorders>
            <w:shd w:val="clear" w:color="auto" w:fill="auto"/>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354" w:type="dxa"/>
            <w:tcBorders>
              <w:left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满意度指示</w:t>
            </w:r>
          </w:p>
        </w:tc>
        <w:tc>
          <w:tcPr>
            <w:tcW w:w="3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集训人员</w:t>
            </w:r>
            <w:r>
              <w:rPr>
                <w:rFonts w:hint="eastAsia" w:asciiTheme="minorEastAsia" w:hAnsiTheme="minorEastAsia" w:eastAsiaTheme="minorEastAsia" w:cstheme="minorEastAsia"/>
                <w:color w:val="000000" w:themeColor="text1"/>
                <w14:textFill>
                  <w14:solidFill>
                    <w14:schemeClr w14:val="tx1"/>
                  </w14:solidFill>
                </w14:textFill>
              </w:rPr>
              <w:t>满意度</w:t>
            </w:r>
          </w:p>
        </w:tc>
        <w:tc>
          <w:tcPr>
            <w:tcW w:w="32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100%</w:t>
            </w:r>
          </w:p>
        </w:tc>
      </w:tr>
    </w:tbl>
    <w:p>
      <w:pPr>
        <w:pStyle w:val="7"/>
        <w:keepNext w:val="0"/>
        <w:keepLines w:val="0"/>
        <w:pageBreakBefore w:val="0"/>
        <w:widowControl w:val="0"/>
        <w:numPr>
          <w:ilvl w:val="255"/>
          <w:numId w:val="0"/>
        </w:numPr>
        <w:kinsoku/>
        <w:wordWrap/>
        <w:overflowPunct/>
        <w:topLinePunct w:val="0"/>
        <w:bidi w:val="0"/>
        <w:spacing w:before="0" w:line="580" w:lineRule="exact"/>
        <w:ind w:firstLine="640" w:firstLineChars="200"/>
        <w:textAlignment w:val="auto"/>
        <w:outlineLvl w:val="0"/>
        <w:rPr>
          <w:rFonts w:ascii="黑体" w:hAnsi="黑体" w:eastAsia="黑体" w:cs="黑体"/>
          <w:color w:val="000000" w:themeColor="text1"/>
          <w:lang w:val="en-US" w:bidi="ar"/>
          <w14:textFill>
            <w14:solidFill>
              <w14:schemeClr w14:val="tx1"/>
            </w14:solidFill>
          </w14:textFill>
        </w:rPr>
      </w:pPr>
      <w:bookmarkStart w:id="47" w:name="_Toc1377658895_WPSOffice_Level1"/>
      <w:bookmarkStart w:id="48" w:name="_Toc5540"/>
      <w:bookmarkStart w:id="49" w:name="_Toc1210452089"/>
      <w:bookmarkStart w:id="50" w:name="_Toc760016365_WPSOffice_Level1"/>
      <w:r>
        <w:rPr>
          <w:rFonts w:hint="eastAsia" w:ascii="黑体" w:hAnsi="黑体" w:eastAsia="黑体" w:cs="黑体"/>
          <w:color w:val="000000" w:themeColor="text1"/>
          <w:lang w:val="en-US" w:eastAsia="zh-CN" w:bidi="ar"/>
          <w14:textFill>
            <w14:solidFill>
              <w14:schemeClr w14:val="tx1"/>
            </w14:solidFill>
          </w14:textFill>
        </w:rPr>
        <w:t>三</w:t>
      </w:r>
      <w:r>
        <w:rPr>
          <w:rFonts w:hint="eastAsia" w:ascii="黑体" w:hAnsi="黑体" w:eastAsia="黑体" w:cs="黑体"/>
          <w:color w:val="000000" w:themeColor="text1"/>
          <w:lang w:val="en-US" w:bidi="ar"/>
          <w14:textFill>
            <w14:solidFill>
              <w14:schemeClr w14:val="tx1"/>
            </w14:solidFill>
          </w14:textFill>
        </w:rPr>
        <w:t>、绩效评价情况</w:t>
      </w:r>
      <w:bookmarkEnd w:id="47"/>
      <w:bookmarkEnd w:id="48"/>
      <w:bookmarkEnd w:id="49"/>
      <w:bookmarkEnd w:id="50"/>
    </w:p>
    <w:p>
      <w:pPr>
        <w:pStyle w:val="28"/>
        <w:keepNext w:val="0"/>
        <w:keepLines w:val="0"/>
        <w:pageBreakBefore w:val="0"/>
        <w:kinsoku/>
        <w:wordWrap/>
        <w:overflowPunct/>
        <w:topLinePunct w:val="0"/>
        <w:bidi w:val="0"/>
        <w:snapToGrid w:val="0"/>
        <w:spacing w:line="580" w:lineRule="exact"/>
        <w:ind w:firstLine="640" w:firstLineChars="200"/>
        <w:textAlignment w:val="auto"/>
        <w:outlineLvl w:val="1"/>
        <w:rPr>
          <w:rFonts w:hint="eastAsia" w:ascii="楷体_GB2312" w:hAnsi="楷体_GB2312" w:eastAsia="楷体_GB2312" w:cs="楷体_GB2312"/>
          <w:b w:val="0"/>
          <w:bCs w:val="0"/>
          <w:sz w:val="32"/>
          <w:szCs w:val="32"/>
          <w:lang w:val="en-US" w:bidi="ar"/>
        </w:rPr>
      </w:pPr>
      <w:bookmarkStart w:id="51" w:name="_Toc955671792"/>
      <w:bookmarkStart w:id="52" w:name="_Toc403828180_WPSOffice_Level2"/>
      <w:bookmarkStart w:id="53" w:name="_Toc28821"/>
      <w:bookmarkStart w:id="54" w:name="_Toc44183104_WPSOffice_Level2"/>
      <w:r>
        <w:rPr>
          <w:rFonts w:hint="eastAsia" w:ascii="楷体_GB2312" w:hAnsi="楷体_GB2312" w:eastAsia="楷体_GB2312" w:cs="楷体_GB2312"/>
          <w:b w:val="0"/>
          <w:bCs w:val="0"/>
          <w:sz w:val="32"/>
          <w:szCs w:val="32"/>
          <w:lang w:val="en-US" w:bidi="ar"/>
        </w:rPr>
        <w:t>（一）评价目的</w:t>
      </w:r>
      <w:bookmarkEnd w:id="51"/>
      <w:bookmarkEnd w:id="52"/>
      <w:bookmarkEnd w:id="53"/>
      <w:bookmarkEnd w:id="54"/>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为扎实推进2019年</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民兵训练基地升级改造项目</w:t>
      </w:r>
      <w:r>
        <w:rPr>
          <w:rFonts w:hint="eastAsia" w:ascii="仿宋_GB2312" w:hAnsi="仿宋_GB2312" w:eastAsia="仿宋_GB2312" w:cs="仿宋_GB2312"/>
          <w:color w:val="000000" w:themeColor="text1"/>
          <w:sz w:val="32"/>
          <w:szCs w:val="32"/>
          <w:lang w:bidi="ar"/>
          <w14:textFill>
            <w14:solidFill>
              <w14:schemeClr w14:val="tx1"/>
            </w14:solidFill>
          </w14:textFill>
        </w:rPr>
        <w:t>建设工作，确保将财政专项资金落到实处，取得实效，枣庄市</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w:t>
      </w:r>
      <w:r>
        <w:rPr>
          <w:rFonts w:hint="eastAsia" w:ascii="仿宋_GB2312" w:hAnsi="仿宋_GB2312" w:eastAsia="仿宋_GB2312" w:cs="仿宋_GB2312"/>
          <w:color w:val="000000" w:themeColor="text1"/>
          <w:sz w:val="32"/>
          <w:szCs w:val="32"/>
          <w:lang w:bidi="ar"/>
          <w14:textFill>
            <w14:solidFill>
              <w14:schemeClr w14:val="tx1"/>
            </w14:solidFill>
          </w14:textFill>
        </w:rPr>
        <w:t>财政局委托</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中景瑞晟（北京）管理</w:t>
      </w:r>
      <w:r>
        <w:rPr>
          <w:rFonts w:hint="eastAsia" w:ascii="仿宋_GB2312" w:hAnsi="仿宋_GB2312" w:eastAsia="仿宋_GB2312" w:cs="仿宋_GB2312"/>
          <w:color w:val="000000" w:themeColor="text1"/>
          <w:sz w:val="32"/>
          <w:szCs w:val="32"/>
          <w:lang w:bidi="ar"/>
          <w14:textFill>
            <w14:solidFill>
              <w14:schemeClr w14:val="tx1"/>
            </w14:solidFill>
          </w14:textFill>
        </w:rPr>
        <w:t>咨询有限公司（以下简称评价机构）对该项目进行绩效评价。通过对项目的决策、过程、产出和效果四个方面进行客观、公正的评价，总结经验和发现问题,为今后此类项目的实施</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提供经验和做法</w:t>
      </w:r>
      <w:r>
        <w:rPr>
          <w:rFonts w:hint="eastAsia" w:ascii="仿宋_GB2312" w:hAnsi="仿宋_GB2312" w:eastAsia="仿宋_GB2312" w:cs="仿宋_GB2312"/>
          <w:color w:val="000000" w:themeColor="text1"/>
          <w:sz w:val="32"/>
          <w:szCs w:val="32"/>
          <w:lang w:bidi="ar"/>
          <w14:textFill>
            <w14:solidFill>
              <w14:schemeClr w14:val="tx1"/>
            </w14:solidFill>
          </w14:textFill>
        </w:rPr>
        <w:t>，落实可持续机制，以推动项目效益的持续发挥，促进财政专项资金绩效最大化显现。</w:t>
      </w:r>
    </w:p>
    <w:p>
      <w:pPr>
        <w:pStyle w:val="28"/>
        <w:keepNext w:val="0"/>
        <w:keepLines w:val="0"/>
        <w:pageBreakBefore w:val="0"/>
        <w:kinsoku/>
        <w:wordWrap/>
        <w:overflowPunct/>
        <w:topLinePunct w:val="0"/>
        <w:bidi w:val="0"/>
        <w:snapToGrid w:val="0"/>
        <w:spacing w:line="580" w:lineRule="exact"/>
        <w:ind w:firstLine="640" w:firstLineChars="200"/>
        <w:textAlignment w:val="auto"/>
        <w:outlineLvl w:val="1"/>
        <w:rPr>
          <w:rFonts w:hint="eastAsia" w:ascii="楷体_GB2312" w:hAnsi="楷体_GB2312" w:eastAsia="楷体_GB2312" w:cs="楷体_GB2312"/>
          <w:b w:val="0"/>
          <w:bCs w:val="0"/>
          <w:sz w:val="32"/>
          <w:szCs w:val="32"/>
          <w:lang w:val="en-US" w:bidi="ar"/>
        </w:rPr>
      </w:pPr>
      <w:bookmarkStart w:id="55" w:name="_Toc945612231"/>
      <w:bookmarkStart w:id="56" w:name="_Toc1091896740_WPSOffice_Level2"/>
      <w:bookmarkStart w:id="57" w:name="_Toc8465"/>
      <w:bookmarkStart w:id="58" w:name="_Toc1703570713_WPSOffice_Level2"/>
      <w:bookmarkStart w:id="59" w:name="_Toc514771147"/>
      <w:r>
        <w:rPr>
          <w:rFonts w:hint="eastAsia" w:ascii="楷体_GB2312" w:hAnsi="楷体_GB2312" w:eastAsia="楷体_GB2312" w:cs="楷体_GB2312"/>
          <w:b w:val="0"/>
          <w:bCs w:val="0"/>
          <w:sz w:val="32"/>
          <w:szCs w:val="32"/>
          <w:lang w:val="en-US" w:bidi="ar"/>
        </w:rPr>
        <w:t>（二）评价依据</w:t>
      </w:r>
      <w:bookmarkEnd w:id="55"/>
      <w:bookmarkEnd w:id="56"/>
      <w:bookmarkEnd w:id="57"/>
      <w:bookmarkEnd w:id="58"/>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1.</w:t>
      </w:r>
      <w:r>
        <w:rPr>
          <w:rFonts w:hint="eastAsia" w:ascii="仿宋_GB2312" w:hAnsi="仿宋_GB2312" w:eastAsia="仿宋_GB2312" w:cs="仿宋_GB2312"/>
          <w:color w:val="000000" w:themeColor="text1"/>
          <w:sz w:val="32"/>
          <w:szCs w:val="32"/>
          <w:lang w:bidi="ar"/>
          <w14:textFill>
            <w14:solidFill>
              <w14:schemeClr w14:val="tx1"/>
            </w14:solidFill>
          </w14:textFill>
        </w:rPr>
        <w:t>中共中央、国务院《关于全面实施预算绩效管理的意见》（中发〔</w:t>
      </w:r>
      <w:r>
        <w:rPr>
          <w:rFonts w:ascii="仿宋_GB2312" w:hAnsi="仿宋_GB2312" w:eastAsia="仿宋_GB2312" w:cs="仿宋_GB2312"/>
          <w:color w:val="000000" w:themeColor="text1"/>
          <w:sz w:val="32"/>
          <w:szCs w:val="32"/>
          <w:lang w:bidi="ar"/>
          <w14:textFill>
            <w14:solidFill>
              <w14:schemeClr w14:val="tx1"/>
            </w14:solidFill>
          </w14:textFill>
        </w:rPr>
        <w:t>2018〕34号）；</w:t>
      </w:r>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2.</w:t>
      </w:r>
      <w:r>
        <w:rPr>
          <w:rFonts w:hint="eastAsia" w:ascii="仿宋_GB2312" w:hAnsi="仿宋_GB2312" w:eastAsia="仿宋_GB2312" w:cs="仿宋_GB2312"/>
          <w:color w:val="000000" w:themeColor="text1"/>
          <w:sz w:val="32"/>
          <w:szCs w:val="32"/>
          <w:lang w:bidi="ar"/>
          <w14:textFill>
            <w14:solidFill>
              <w14:schemeClr w14:val="tx1"/>
            </w14:solidFill>
          </w14:textFill>
        </w:rPr>
        <w:t>财政部关于印发《项目支出绩效评价管理暂行办法》的通知（财预〔</w:t>
      </w:r>
      <w:r>
        <w:rPr>
          <w:rFonts w:ascii="仿宋_GB2312" w:hAnsi="仿宋_GB2312" w:eastAsia="仿宋_GB2312" w:cs="仿宋_GB2312"/>
          <w:color w:val="000000" w:themeColor="text1"/>
          <w:sz w:val="32"/>
          <w:szCs w:val="32"/>
          <w:lang w:bidi="ar"/>
          <w14:textFill>
            <w14:solidFill>
              <w14:schemeClr w14:val="tx1"/>
            </w14:solidFill>
          </w14:textFill>
        </w:rPr>
        <w:t>2020〕10号）；</w:t>
      </w:r>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3.</w:t>
      </w:r>
      <w:r>
        <w:rPr>
          <w:rFonts w:hint="eastAsia" w:ascii="仿宋_GB2312" w:hAnsi="仿宋_GB2312" w:eastAsia="仿宋_GB2312" w:cs="仿宋_GB2312"/>
          <w:color w:val="000000" w:themeColor="text1"/>
          <w:sz w:val="32"/>
          <w:szCs w:val="32"/>
          <w:lang w:bidi="ar"/>
          <w14:textFill>
            <w14:solidFill>
              <w14:schemeClr w14:val="tx1"/>
            </w14:solidFill>
          </w14:textFill>
        </w:rPr>
        <w:t>《关于全面推进预算绩效管理的实施意见》（鲁发〔</w:t>
      </w:r>
      <w:r>
        <w:rPr>
          <w:rFonts w:ascii="仿宋_GB2312" w:hAnsi="仿宋_GB2312" w:eastAsia="仿宋_GB2312" w:cs="仿宋_GB2312"/>
          <w:color w:val="000000" w:themeColor="text1"/>
          <w:sz w:val="32"/>
          <w:szCs w:val="32"/>
          <w:lang w:bidi="ar"/>
          <w14:textFill>
            <w14:solidFill>
              <w14:schemeClr w14:val="tx1"/>
            </w14:solidFill>
          </w14:textFill>
        </w:rPr>
        <w:t>2019〕2号）；</w:t>
      </w:r>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4.</w:t>
      </w:r>
      <w:r>
        <w:rPr>
          <w:rFonts w:hint="eastAsia" w:ascii="仿宋_GB2312" w:hAnsi="仿宋_GB2312" w:eastAsia="仿宋_GB2312" w:cs="仿宋_GB2312"/>
          <w:color w:val="000000" w:themeColor="text1"/>
          <w:sz w:val="32"/>
          <w:szCs w:val="32"/>
          <w:lang w:bidi="ar"/>
          <w14:textFill>
            <w14:solidFill>
              <w14:schemeClr w14:val="tx1"/>
            </w14:solidFill>
          </w14:textFill>
        </w:rPr>
        <w:t>《枣庄市直部门预算绩效目标管理办法》（枣财预〔</w:t>
      </w:r>
      <w:r>
        <w:rPr>
          <w:rFonts w:ascii="仿宋_GB2312" w:hAnsi="仿宋_GB2312" w:eastAsia="仿宋_GB2312" w:cs="仿宋_GB2312"/>
          <w:color w:val="000000" w:themeColor="text1"/>
          <w:sz w:val="32"/>
          <w:szCs w:val="32"/>
          <w:lang w:bidi="ar"/>
          <w14:textFill>
            <w14:solidFill>
              <w14:schemeClr w14:val="tx1"/>
            </w14:solidFill>
          </w14:textFill>
        </w:rPr>
        <w:t>2016〕9号）；</w:t>
      </w:r>
    </w:p>
    <w:p>
      <w:pPr>
        <w:pStyle w:val="2"/>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5.</w:t>
      </w:r>
      <w:r>
        <w:rPr>
          <w:rFonts w:hint="eastAsia" w:ascii="仿宋_GB2312" w:hAnsi="仿宋_GB2312" w:eastAsia="仿宋_GB2312" w:cs="仿宋_GB2312"/>
          <w:color w:val="000000" w:themeColor="text1"/>
          <w:sz w:val="32"/>
          <w:szCs w:val="32"/>
          <w:lang w:bidi="ar"/>
          <w14:textFill>
            <w14:solidFill>
              <w14:schemeClr w14:val="tx1"/>
            </w14:solidFill>
          </w14:textFill>
        </w:rPr>
        <w:t>《枣庄市市级预算支出项目第三方绩效评价工作规程》（枣财绩〔</w:t>
      </w:r>
      <w:r>
        <w:rPr>
          <w:rFonts w:ascii="仿宋_GB2312" w:hAnsi="仿宋_GB2312" w:eastAsia="仿宋_GB2312" w:cs="仿宋_GB2312"/>
          <w:color w:val="000000" w:themeColor="text1"/>
          <w:sz w:val="32"/>
          <w:szCs w:val="32"/>
          <w:lang w:bidi="ar"/>
          <w14:textFill>
            <w14:solidFill>
              <w14:schemeClr w14:val="tx1"/>
            </w14:solidFill>
          </w14:textFill>
        </w:rPr>
        <w:t>2017〕3号）；</w:t>
      </w:r>
    </w:p>
    <w:p>
      <w:pPr>
        <w:pStyle w:val="7"/>
        <w:keepLines w:val="0"/>
        <w:pageBreakBefore w:val="0"/>
        <w:shd w:val="clear"/>
        <w:kinsoku w:val="0"/>
        <w:wordWrap/>
        <w:overflowPunct w:val="0"/>
        <w:topLinePunct w:val="0"/>
        <w:bidi w:val="0"/>
        <w:spacing w:line="580" w:lineRule="exact"/>
        <w:ind w:left="0" w:leftChars="0" w:firstLine="640" w:firstLineChars="200"/>
        <w:jc w:val="left"/>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6.</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 xml:space="preserve">关于印发《山亭区部门预算绩效目标管理办法》的通知  </w:t>
      </w:r>
      <w:r>
        <w:rPr>
          <w:rFonts w:hint="eastAsia" w:cs="仿宋_GB2312"/>
          <w:color w:val="000000" w:themeColor="text1"/>
          <w:sz w:val="32"/>
          <w:szCs w:val="32"/>
          <w:lang w:val="en-US" w:eastAsia="zh-CN" w:bidi="ar"/>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山财绩字(2019)1号</w:t>
      </w:r>
      <w:r>
        <w:rPr>
          <w:rFonts w:hint="eastAsia" w:cs="仿宋_GB2312"/>
          <w:color w:val="000000" w:themeColor="text1"/>
          <w:sz w:val="32"/>
          <w:szCs w:val="32"/>
          <w:lang w:val="en-US" w:eastAsia="zh-CN" w:bidi="ar"/>
          <w14:textFill>
            <w14:solidFill>
              <w14:schemeClr w14:val="tx1"/>
            </w14:solidFill>
          </w14:textFill>
        </w:rPr>
        <w:t>）</w:t>
      </w:r>
    </w:p>
    <w:p>
      <w:pPr>
        <w:pStyle w:val="2"/>
        <w:spacing w:line="580" w:lineRule="exact"/>
        <w:ind w:firstLine="640"/>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7.</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《山亭区人民政府办公室关于印发〈山亭区区级部门单位预算绩效管理办法〉和〈山亭区财政专项资金预算绩效管理办法〉的通知》</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山政办字</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〔201</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9</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10号</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w:t>
      </w:r>
    </w:p>
    <w:p>
      <w:pPr>
        <w:keepNext w:val="0"/>
        <w:keepLines w:val="0"/>
        <w:pageBreakBefore w:val="0"/>
        <w:kinsoku/>
        <w:wordWrap/>
        <w:topLinePunct w:val="0"/>
        <w:bidi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8</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项目年度绩效目标申报表、项目管理制度、考核监管制度、年度项目进展情况及相关证明资料、绩效报告；</w:t>
      </w:r>
    </w:p>
    <w:p>
      <w:pPr>
        <w:keepNext w:val="0"/>
        <w:keepLines w:val="0"/>
        <w:pageBreakBefore w:val="0"/>
        <w:kinsoku/>
        <w:wordWrap/>
        <w:topLinePunct w:val="0"/>
        <w:bidi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9</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项目资金管理使用情况以及会计账簿、财务报表、会计凭证等；</w:t>
      </w:r>
    </w:p>
    <w:p>
      <w:pPr>
        <w:keepNext w:val="0"/>
        <w:keepLines w:val="0"/>
        <w:pageBreakBefore w:val="0"/>
        <w:kinsoku/>
        <w:wordWrap/>
        <w:topLinePunct w:val="0"/>
        <w:bidi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10</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其他资料。</w:t>
      </w:r>
    </w:p>
    <w:p>
      <w:pPr>
        <w:pStyle w:val="28"/>
        <w:keepNext w:val="0"/>
        <w:keepLines w:val="0"/>
        <w:pageBreakBefore w:val="0"/>
        <w:kinsoku/>
        <w:wordWrap/>
        <w:overflowPunct/>
        <w:topLinePunct w:val="0"/>
        <w:bidi w:val="0"/>
        <w:snapToGrid w:val="0"/>
        <w:spacing w:line="580" w:lineRule="exact"/>
        <w:ind w:firstLine="640" w:firstLineChars="200"/>
        <w:textAlignment w:val="auto"/>
        <w:outlineLvl w:val="1"/>
        <w:rPr>
          <w:rFonts w:hint="eastAsia" w:ascii="楷体_GB2312" w:hAnsi="楷体_GB2312" w:eastAsia="楷体_GB2312" w:cs="楷体_GB2312"/>
          <w:b w:val="0"/>
          <w:bCs w:val="0"/>
          <w:sz w:val="32"/>
          <w:szCs w:val="32"/>
          <w:lang w:val="en-US" w:bidi="ar"/>
        </w:rPr>
      </w:pPr>
      <w:bookmarkStart w:id="60" w:name="_Toc1660991587_WPSOffice_Level2"/>
      <w:bookmarkStart w:id="61" w:name="_Toc1260745565_WPSOffice_Level2"/>
      <w:bookmarkStart w:id="62" w:name="_Toc21669"/>
      <w:bookmarkStart w:id="63" w:name="_Toc1525778617"/>
      <w:r>
        <w:rPr>
          <w:rFonts w:hint="eastAsia" w:ascii="楷体_GB2312" w:hAnsi="楷体_GB2312" w:eastAsia="楷体_GB2312" w:cs="楷体_GB2312"/>
          <w:b w:val="0"/>
          <w:bCs w:val="0"/>
          <w:sz w:val="32"/>
          <w:szCs w:val="32"/>
          <w:lang w:val="en-US" w:bidi="ar"/>
        </w:rPr>
        <w:t>（三）评价对象与范围</w:t>
      </w:r>
      <w:bookmarkEnd w:id="59"/>
      <w:bookmarkEnd w:id="60"/>
      <w:bookmarkEnd w:id="61"/>
      <w:bookmarkEnd w:id="62"/>
      <w:bookmarkEnd w:id="63"/>
    </w:p>
    <w:p>
      <w:pPr>
        <w:keepNext w:val="0"/>
        <w:keepLines w:val="0"/>
        <w:pageBreakBefore w:val="0"/>
        <w:kinsoku/>
        <w:wordWrap/>
        <w:topLinePunct w:val="0"/>
        <w:bidi w:val="0"/>
        <w:snapToGrid w:val="0"/>
        <w:spacing w:line="580" w:lineRule="exact"/>
        <w:ind w:firstLine="640" w:firstLineChars="200"/>
        <w:rPr>
          <w:rFonts w:ascii="仿宋_GB2312" w:hAnsi="仿宋_GB2312" w:eastAsia="仿宋_GB2312" w:cs="仿宋_GB2312"/>
          <w:b w:val="0"/>
          <w:bCs w:val="0"/>
          <w:color w:val="000000" w:themeColor="text1"/>
          <w:sz w:val="32"/>
          <w:szCs w:val="32"/>
          <w:lang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1.评价对象：</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民兵训练基地升级改造项目</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专项资金</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163.04</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万元</w:t>
      </w:r>
      <w:r>
        <w:rPr>
          <w:rFonts w:ascii="仿宋_GB2312" w:hAnsi="仿宋_GB2312" w:eastAsia="仿宋_GB2312" w:cs="仿宋_GB2312"/>
          <w:b w:val="0"/>
          <w:bCs w:val="0"/>
          <w:color w:val="000000" w:themeColor="text1"/>
          <w:sz w:val="32"/>
          <w:szCs w:val="32"/>
          <w:lang w:bidi="ar"/>
          <w14:textFill>
            <w14:solidFill>
              <w14:schemeClr w14:val="tx1"/>
            </w14:solidFill>
          </w14:textFill>
        </w:rPr>
        <w:t>的使用绩效。</w:t>
      </w:r>
    </w:p>
    <w:p>
      <w:pPr>
        <w:pStyle w:val="2"/>
        <w:keepNext w:val="0"/>
        <w:keepLines w:val="0"/>
        <w:pageBreakBefore w:val="0"/>
        <w:kinsoku/>
        <w:wordWrap/>
        <w:topLinePunct w:val="0"/>
        <w:bidi w:val="0"/>
        <w:snapToGrid w:val="0"/>
        <w:spacing w:line="580" w:lineRule="exact"/>
        <w:ind w:firstLine="640" w:firstLineChars="200"/>
        <w:rPr>
          <w:rFonts w:ascii="仿宋_GB2312" w:hAnsi="仿宋_GB2312" w:eastAsia="仿宋_GB2312" w:cs="仿宋_GB2312"/>
          <w:b w:val="0"/>
          <w:bCs w:val="0"/>
          <w:color w:val="000000" w:themeColor="text1"/>
          <w:sz w:val="32"/>
          <w:szCs w:val="32"/>
          <w:lang w:bidi="ar"/>
          <w14:textFill>
            <w14:solidFill>
              <w14:schemeClr w14:val="tx1"/>
            </w14:solidFill>
          </w14:textFill>
        </w:rPr>
      </w:pPr>
      <w:r>
        <w:rPr>
          <w:rFonts w:ascii="仿宋_GB2312" w:hAnsi="仿宋_GB2312" w:eastAsia="仿宋_GB2312" w:cs="仿宋_GB2312"/>
          <w:b w:val="0"/>
          <w:bCs w:val="0"/>
          <w:color w:val="000000" w:themeColor="text1"/>
          <w:sz w:val="32"/>
          <w:szCs w:val="32"/>
          <w:lang w:bidi="ar"/>
          <w14:textFill>
            <w14:solidFill>
              <w14:schemeClr w14:val="tx1"/>
            </w14:solidFill>
          </w14:textFill>
        </w:rPr>
        <w:t>2.评价范围：</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民兵训练基地整体升级改造施工内容</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p>
    <w:p>
      <w:pPr>
        <w:pStyle w:val="28"/>
        <w:keepNext w:val="0"/>
        <w:keepLines w:val="0"/>
        <w:pageBreakBefore w:val="0"/>
        <w:kinsoku/>
        <w:wordWrap/>
        <w:overflowPunct/>
        <w:topLinePunct w:val="0"/>
        <w:bidi w:val="0"/>
        <w:snapToGrid w:val="0"/>
        <w:spacing w:line="580" w:lineRule="exact"/>
        <w:ind w:firstLine="640" w:firstLineChars="200"/>
        <w:textAlignment w:val="auto"/>
        <w:outlineLvl w:val="1"/>
        <w:rPr>
          <w:rFonts w:hint="eastAsia" w:ascii="楷体_GB2312" w:hAnsi="楷体_GB2312" w:eastAsia="楷体_GB2312" w:cs="楷体_GB2312"/>
          <w:b w:val="0"/>
          <w:bCs w:val="0"/>
          <w:sz w:val="32"/>
          <w:szCs w:val="32"/>
          <w:lang w:val="en-US" w:bidi="ar"/>
        </w:rPr>
      </w:pPr>
      <w:bookmarkStart w:id="64" w:name="_Toc658987092"/>
      <w:bookmarkStart w:id="65" w:name="_Toc1145675356_WPSOffice_Level2"/>
      <w:bookmarkStart w:id="66" w:name="_Toc4097"/>
      <w:bookmarkStart w:id="67" w:name="_Toc129566006_WPSOffice_Level2"/>
      <w:r>
        <w:rPr>
          <w:rFonts w:hint="eastAsia" w:ascii="楷体_GB2312" w:hAnsi="楷体_GB2312" w:eastAsia="楷体_GB2312" w:cs="楷体_GB2312"/>
          <w:b w:val="0"/>
          <w:bCs w:val="0"/>
          <w:sz w:val="32"/>
          <w:szCs w:val="32"/>
          <w:lang w:val="en-US" w:bidi="ar"/>
        </w:rPr>
        <w:t>（四）评价原则与方法</w:t>
      </w:r>
      <w:bookmarkEnd w:id="64"/>
      <w:bookmarkEnd w:id="65"/>
      <w:bookmarkEnd w:id="66"/>
      <w:bookmarkEnd w:id="67"/>
    </w:p>
    <w:p>
      <w:pPr>
        <w:pStyle w:val="28"/>
        <w:keepNext w:val="0"/>
        <w:keepLines w:val="0"/>
        <w:pageBreakBefore w:val="0"/>
        <w:widowControl w:val="0"/>
        <w:kinsoku/>
        <w:wordWrap/>
        <w:topLinePunct w:val="0"/>
        <w:bidi w:val="0"/>
        <w:spacing w:line="580" w:lineRule="exact"/>
        <w:ind w:firstLine="640" w:firstLineChars="200"/>
        <w:rPr>
          <w:rFonts w:ascii="仿宋_GB2312" w:hAnsi="仿宋_GB2312" w:eastAsia="仿宋_GB2312" w:cs="仿宋_GB2312"/>
          <w:b w:val="0"/>
          <w:bCs w:val="0"/>
          <w:color w:val="000000" w:themeColor="text1"/>
          <w:sz w:val="32"/>
          <w:szCs w:val="32"/>
          <w:lang w:bidi="ar"/>
          <w14:textFill>
            <w14:solidFill>
              <w14:schemeClr w14:val="tx1"/>
            </w14:solidFill>
          </w14:textFill>
        </w:rPr>
      </w:pPr>
      <w:bookmarkStart w:id="68" w:name="_Toc231736256_WPSOffice_Level3"/>
      <w:bookmarkStart w:id="69" w:name="_Toc2040160404_WPSOffice_Level3"/>
      <w:bookmarkStart w:id="70" w:name="_Toc1047600897_WPSOffice_Level3"/>
      <w:bookmarkStart w:id="71" w:name="_Toc1378093601_WPSOffice_Level3"/>
      <w:r>
        <w:rPr>
          <w:rFonts w:ascii="仿宋_GB2312" w:hAnsi="仿宋_GB2312" w:eastAsia="仿宋_GB2312" w:cs="仿宋_GB2312"/>
          <w:b w:val="0"/>
          <w:bCs w:val="0"/>
          <w:color w:val="000000" w:themeColor="text1"/>
          <w:sz w:val="32"/>
          <w:szCs w:val="32"/>
          <w:lang w:bidi="ar"/>
          <w14:textFill>
            <w14:solidFill>
              <w14:schemeClr w14:val="tx1"/>
            </w14:solidFill>
          </w14:textFill>
        </w:rPr>
        <w:t>1.评价原则</w:t>
      </w:r>
      <w:bookmarkEnd w:id="68"/>
      <w:bookmarkEnd w:id="69"/>
      <w:bookmarkEnd w:id="70"/>
      <w:bookmarkEnd w:id="71"/>
    </w:p>
    <w:p>
      <w:pPr>
        <w:pStyle w:val="28"/>
        <w:keepNext w:val="0"/>
        <w:keepLines w:val="0"/>
        <w:pageBreakBefore w:val="0"/>
        <w:widowControl w:val="0"/>
        <w:kinsoku/>
        <w:wordWrap/>
        <w:topLinePunct w:val="0"/>
        <w:bidi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r>
        <w:rPr>
          <w:rFonts w:ascii="仿宋_GB2312" w:hAnsi="仿宋_GB2312" w:eastAsia="仿宋_GB2312" w:cs="仿宋_GB2312"/>
          <w:b w:val="0"/>
          <w:bCs w:val="0"/>
          <w:color w:val="000000" w:themeColor="text1"/>
          <w:sz w:val="32"/>
          <w:szCs w:val="32"/>
          <w:lang w:bidi="ar"/>
          <w14:textFill>
            <w14:solidFill>
              <w14:schemeClr w14:val="tx1"/>
            </w14:solidFill>
          </w14:textFill>
        </w:rPr>
        <w:t>1）科学规范原则</w:t>
      </w:r>
      <w:r>
        <w:rPr>
          <w:rFonts w:ascii="仿宋_GB2312" w:hAnsi="仿宋_GB2312" w:eastAsia="仿宋_GB2312" w:cs="仿宋_GB2312"/>
          <w:color w:val="000000" w:themeColor="text1"/>
          <w:sz w:val="32"/>
          <w:szCs w:val="32"/>
          <w:lang w:bidi="ar"/>
          <w14:textFill>
            <w14:solidFill>
              <w14:schemeClr w14:val="tx1"/>
            </w14:solidFill>
          </w14:textFill>
        </w:rPr>
        <w:t>。严格执行规定的程序，按照科学可行的要求，采用定量与定性分析相结合的方法开展绩效评价工作。</w:t>
      </w:r>
    </w:p>
    <w:p>
      <w:pPr>
        <w:pStyle w:val="28"/>
        <w:keepNext w:val="0"/>
        <w:keepLines w:val="0"/>
        <w:pageBreakBefore w:val="0"/>
        <w:widowControl w:val="0"/>
        <w:kinsoku/>
        <w:wordWrap/>
        <w:topLinePunct w:val="0"/>
        <w:bidi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2）绩效相关原则。针对具体支出及其产出绩效进行评价，评价结果清晰反映支出和产出绩效之间的紧密对应关系。</w:t>
      </w:r>
    </w:p>
    <w:p>
      <w:pPr>
        <w:pStyle w:val="28"/>
        <w:keepNext w:val="0"/>
        <w:keepLines w:val="0"/>
        <w:pageBreakBefore w:val="0"/>
        <w:widowControl w:val="0"/>
        <w:kinsoku/>
        <w:wordWrap/>
        <w:topLinePunct w:val="0"/>
        <w:bidi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3）政策相符原则。制定评价工作方案、现场评价表格及项目评价实施工作严格执行有关政策和管理规定。</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4）依据充分原则。绩效评价所涉及的绩效报告，法律政策文件，项目计划及资金的确定与调整，项目验收与项目成果等都依据充分。评价机构以正式程序得到的资料和信息为评价的依据，非正式程序所提交的资料仅供参考。</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5）独立评价原则。以第三方的身份独立开展评价活动，不受任何机构和个人的干预和影响，独立做出评价结论。</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6）回避原则。评价工作人员和评价专家与项目承担单位无任何利害关系，以确保评价结论的客观公正。</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7）反馈原则。将评价的结果反馈给委托部门，作为有关部门以后年度安排项目预算、加强项目管理等工作的重要依据。</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8）保密原则。评价工作人员和评价专家，对与项目评价有关的所有信息资料负有保密义务，未经允许，不得散布。</w:t>
      </w:r>
    </w:p>
    <w:p>
      <w:pPr>
        <w:pStyle w:val="28"/>
        <w:widowControl w:val="0"/>
        <w:spacing w:line="580" w:lineRule="exact"/>
        <w:ind w:firstLine="640" w:firstLineChars="200"/>
        <w:rPr>
          <w:rFonts w:ascii="仿宋_GB2312" w:hAnsi="仿宋_GB2312" w:eastAsia="仿宋_GB2312" w:cs="仿宋_GB2312"/>
          <w:b w:val="0"/>
          <w:bCs w:val="0"/>
          <w:color w:val="000000" w:themeColor="text1"/>
          <w:sz w:val="32"/>
          <w:szCs w:val="32"/>
          <w:lang w:bidi="ar"/>
          <w14:textFill>
            <w14:solidFill>
              <w14:schemeClr w14:val="tx1"/>
            </w14:solidFill>
          </w14:textFill>
        </w:rPr>
      </w:pPr>
      <w:bookmarkStart w:id="72" w:name="_Toc1957337773_WPSOffice_Level3"/>
      <w:bookmarkStart w:id="73" w:name="_Toc1403402581_WPSOffice_Level3"/>
      <w:bookmarkStart w:id="74" w:name="_Toc104518379_WPSOffice_Level3"/>
      <w:bookmarkStart w:id="75" w:name="_Toc1008019112_WPSOffice_Level3"/>
      <w:r>
        <w:rPr>
          <w:rFonts w:ascii="仿宋_GB2312" w:hAnsi="仿宋_GB2312" w:eastAsia="仿宋_GB2312" w:cs="仿宋_GB2312"/>
          <w:b w:val="0"/>
          <w:bCs w:val="0"/>
          <w:color w:val="000000" w:themeColor="text1"/>
          <w:sz w:val="32"/>
          <w:szCs w:val="32"/>
          <w:lang w:bidi="ar"/>
          <w14:textFill>
            <w14:solidFill>
              <w14:schemeClr w14:val="tx1"/>
            </w14:solidFill>
          </w14:textFill>
        </w:rPr>
        <w:t>2.评价方式和方法</w:t>
      </w:r>
      <w:bookmarkEnd w:id="72"/>
      <w:bookmarkEnd w:id="73"/>
      <w:bookmarkEnd w:id="74"/>
      <w:bookmarkEnd w:id="75"/>
    </w:p>
    <w:p>
      <w:pPr>
        <w:pStyle w:val="28"/>
        <w:widowControl w:val="0"/>
        <w:spacing w:line="580" w:lineRule="exact"/>
        <w:ind w:firstLine="640"/>
        <w:rPr>
          <w:rFonts w:ascii="仿宋_GB2312" w:hAnsi="仿宋_GB2312" w:eastAsia="仿宋_GB2312" w:cs="仿宋_GB2312"/>
          <w:b w:val="0"/>
          <w:bCs w:val="0"/>
          <w:color w:val="000000" w:themeColor="text1"/>
          <w:sz w:val="32"/>
          <w:szCs w:val="32"/>
          <w:lang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r>
        <w:rPr>
          <w:rFonts w:ascii="仿宋_GB2312" w:hAnsi="仿宋_GB2312" w:eastAsia="仿宋_GB2312" w:cs="仿宋_GB2312"/>
          <w:b w:val="0"/>
          <w:bCs w:val="0"/>
          <w:color w:val="000000" w:themeColor="text1"/>
          <w:sz w:val="32"/>
          <w:szCs w:val="32"/>
          <w:lang w:bidi="ar"/>
          <w14:textFill>
            <w14:solidFill>
              <w14:schemeClr w14:val="tx1"/>
            </w14:solidFill>
          </w14:textFill>
        </w:rPr>
        <w:t>1）评价方式</w:t>
      </w:r>
    </w:p>
    <w:p>
      <w:pPr>
        <w:pStyle w:val="28"/>
        <w:widowControl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为保证绩效评价数据的真实、完整，本次对该项目进行现场评价，一方面对项目的档案资料进行现场核查和问询，保证原始数据的真实性；另一方面对项目具体开展情况进行勘察，进一步核实项目的完成程度和完成质量，确保评价结果的客观性。</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2）评价方法</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为了保证评价工作的科学性，此次评价的主要方法如下：</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因素分析法。是指通过分析影响目标、结果及成本的内外因素，综合分析绩效目标完成情况的评价方法。</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公众评价法。是指对无法直接用指标计量其效果的支出，通过专家评价、公众问卷及抽样调查，对各项绩效评价内容完成情况进行打分，并根据分值评价绩效目标完成情况的评价方法。</w:t>
      </w:r>
    </w:p>
    <w:p>
      <w:pPr>
        <w:pStyle w:val="28"/>
        <w:widowControl w:val="0"/>
        <w:spacing w:line="580" w:lineRule="exact"/>
        <w:ind w:firstLine="64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专家经验法。专家经验法是指根据</w:t>
      </w:r>
      <w:r>
        <w:rPr>
          <w:rFonts w:ascii="仿宋_GB2312" w:hAnsi="仿宋_GB2312" w:eastAsia="仿宋_GB2312" w:cs="仿宋_GB2312"/>
          <w:color w:val="000000" w:themeColor="text1"/>
          <w:sz w:val="32"/>
          <w:szCs w:val="32"/>
          <w:lang w:bidi="ar"/>
          <w14:textFill>
            <w14:solidFill>
              <w14:schemeClr w14:val="tx1"/>
            </w14:solidFill>
          </w14:textFill>
        </w:rPr>
        <w:t>行业</w:t>
      </w:r>
      <w:r>
        <w:rPr>
          <w:rFonts w:hint="eastAsia" w:ascii="仿宋_GB2312" w:hAnsi="仿宋_GB2312" w:eastAsia="仿宋_GB2312" w:cs="仿宋_GB2312"/>
          <w:color w:val="000000" w:themeColor="text1"/>
          <w:sz w:val="32"/>
          <w:szCs w:val="32"/>
          <w:lang w:bidi="ar"/>
          <w14:textFill>
            <w14:solidFill>
              <w14:schemeClr w14:val="tx1"/>
            </w14:solidFill>
          </w14:textFill>
        </w:rPr>
        <w:t>专家对相关工作规律和特点的经验，判断项目相应内容和预算合理性的方法。</w:t>
      </w:r>
      <w:bookmarkStart w:id="76" w:name="_Toc1022887665"/>
      <w:bookmarkStart w:id="77" w:name="_Toc67444784_WPSOffice_Level2"/>
      <w:bookmarkStart w:id="78" w:name="_Toc1027329290_WPSOffice_Level2"/>
    </w:p>
    <w:p>
      <w:pPr>
        <w:pStyle w:val="28"/>
        <w:widowControl w:val="0"/>
        <w:spacing w:line="580" w:lineRule="exact"/>
        <w:ind w:firstLine="640"/>
        <w:outlineLvl w:val="1"/>
        <w:rPr>
          <w:rFonts w:hint="eastAsia" w:ascii="楷体_GB2312" w:hAnsi="楷体_GB2312" w:eastAsia="楷体_GB2312" w:cs="楷体_GB2312"/>
          <w:b w:val="0"/>
          <w:bCs/>
          <w:color w:val="000000" w:themeColor="text1"/>
          <w:sz w:val="32"/>
          <w:szCs w:val="32"/>
          <w:lang w:bidi="ar"/>
          <w14:textFill>
            <w14:solidFill>
              <w14:schemeClr w14:val="tx1"/>
            </w14:solidFill>
          </w14:textFill>
        </w:rPr>
      </w:pPr>
      <w:bookmarkStart w:id="79" w:name="_Toc11282"/>
      <w:r>
        <w:rPr>
          <w:rFonts w:hint="eastAsia" w:ascii="楷体_GB2312" w:hAnsi="楷体_GB2312" w:eastAsia="楷体_GB2312" w:cs="楷体_GB2312"/>
          <w:b w:val="0"/>
          <w:bCs/>
          <w:color w:val="000000" w:themeColor="text1"/>
          <w:sz w:val="32"/>
          <w:szCs w:val="32"/>
          <w:lang w:bidi="ar"/>
          <w14:textFill>
            <w14:solidFill>
              <w14:schemeClr w14:val="tx1"/>
            </w14:solidFill>
          </w14:textFill>
        </w:rPr>
        <w:t>（五）绩效评价指标体系</w:t>
      </w:r>
      <w:bookmarkEnd w:id="76"/>
      <w:bookmarkEnd w:id="77"/>
      <w:bookmarkEnd w:id="78"/>
      <w:bookmarkEnd w:id="79"/>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本次绩效评价指标体系的设计参照财政部《关于印发</w:t>
      </w:r>
      <w:r>
        <w:rPr>
          <w:rFonts w:ascii="仿宋_GB2312" w:hAnsi="仿宋_GB2312" w:eastAsia="仿宋_GB2312" w:cs="仿宋_GB2312"/>
          <w:color w:val="000000" w:themeColor="text1"/>
          <w:sz w:val="32"/>
          <w:szCs w:val="32"/>
          <w:lang w:bidi="ar"/>
          <w14:textFill>
            <w14:solidFill>
              <w14:schemeClr w14:val="tx1"/>
            </w14:solidFill>
          </w14:textFill>
        </w:rPr>
        <w:t>&lt;</w:t>
      </w:r>
      <w:r>
        <w:rPr>
          <w:rFonts w:hint="eastAsia" w:ascii="仿宋_GB2312" w:hAnsi="仿宋_GB2312" w:eastAsia="仿宋_GB2312" w:cs="仿宋_GB2312"/>
          <w:color w:val="000000" w:themeColor="text1"/>
          <w:sz w:val="32"/>
          <w:szCs w:val="32"/>
          <w:lang w:bidi="ar"/>
          <w14:textFill>
            <w14:solidFill>
              <w14:schemeClr w14:val="tx1"/>
            </w14:solidFill>
          </w14:textFill>
        </w:rPr>
        <w:t>项目支出绩效评价管理暂行办法</w:t>
      </w:r>
      <w:r>
        <w:rPr>
          <w:rFonts w:ascii="仿宋_GB2312" w:hAnsi="仿宋_GB2312" w:eastAsia="仿宋_GB2312" w:cs="仿宋_GB2312"/>
          <w:color w:val="000000" w:themeColor="text1"/>
          <w:sz w:val="32"/>
          <w:szCs w:val="32"/>
          <w:lang w:bidi="ar"/>
          <w14:textFill>
            <w14:solidFill>
              <w14:schemeClr w14:val="tx1"/>
            </w14:solidFill>
          </w14:textFill>
        </w:rPr>
        <w:t>&gt;</w:t>
      </w:r>
      <w:r>
        <w:rPr>
          <w:rFonts w:hint="eastAsia" w:ascii="仿宋_GB2312" w:hAnsi="仿宋_GB2312" w:eastAsia="仿宋_GB2312" w:cs="仿宋_GB2312"/>
          <w:color w:val="000000" w:themeColor="text1"/>
          <w:sz w:val="32"/>
          <w:szCs w:val="32"/>
          <w:lang w:bidi="ar"/>
          <w14:textFill>
            <w14:solidFill>
              <w14:schemeClr w14:val="tx1"/>
            </w14:solidFill>
          </w14:textFill>
        </w:rPr>
        <w:t>的通知》（财预〔2020〕10号）的相关规定，对各级指标进行细化和调整，并参照专家意见和以往经验确定三级和四级指标的权重。另外，根据相关法律法规、项目绩效目标及相关管理办法及项目特点，确定绩效评价标准。（绩效评价指标体系详见附件</w:t>
      </w:r>
      <w:r>
        <w:rPr>
          <w:rFonts w:ascii="仿宋_GB2312" w:hAnsi="仿宋_GB2312" w:eastAsia="仿宋_GB2312" w:cs="仿宋_GB2312"/>
          <w:color w:val="000000" w:themeColor="text1"/>
          <w:sz w:val="32"/>
          <w:szCs w:val="32"/>
          <w:lang w:bidi="ar"/>
          <w14:textFill>
            <w14:solidFill>
              <w14:schemeClr w14:val="tx1"/>
            </w14:solidFill>
          </w14:textFill>
        </w:rPr>
        <w:t>1）</w:t>
      </w:r>
    </w:p>
    <w:p>
      <w:pPr>
        <w:keepNext/>
        <w:keepLines/>
        <w:snapToGrid w:val="0"/>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本次绩效评价级次分为</w:t>
      </w:r>
      <w:r>
        <w:rPr>
          <w:rFonts w:ascii="仿宋_GB2312" w:hAnsi="仿宋_GB2312" w:eastAsia="仿宋_GB2312" w:cs="仿宋_GB2312"/>
          <w:color w:val="000000" w:themeColor="text1"/>
          <w:sz w:val="32"/>
          <w:szCs w:val="32"/>
          <w:lang w:bidi="ar"/>
          <w14:textFill>
            <w14:solidFill>
              <w14:schemeClr w14:val="tx1"/>
            </w14:solidFill>
          </w14:textFill>
        </w:rPr>
        <w:t>4个</w:t>
      </w:r>
      <w:r>
        <w:rPr>
          <w:rFonts w:hint="eastAsia" w:ascii="仿宋_GB2312" w:hAnsi="仿宋_GB2312" w:eastAsia="仿宋_GB2312" w:cs="仿宋_GB2312"/>
          <w:color w:val="000000" w:themeColor="text1"/>
          <w:sz w:val="32"/>
          <w:szCs w:val="32"/>
          <w:lang w:bidi="ar"/>
          <w14:textFill>
            <w14:solidFill>
              <w14:schemeClr w14:val="tx1"/>
            </w14:solidFill>
          </w14:textFill>
        </w:rPr>
        <w:t>等级：</w:t>
      </w:r>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综合得分在90（含90分）以上为“优”；</w:t>
      </w:r>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综合得分在80～90分（含80分）为“良”；</w:t>
      </w:r>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综合得分在60～80分（含60分）为“中”；</w:t>
      </w:r>
    </w:p>
    <w:p>
      <w:pPr>
        <w:pStyle w:val="28"/>
        <w:widowControl w:val="0"/>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综合得分在60分以下为“差”。</w:t>
      </w:r>
    </w:p>
    <w:p>
      <w:pPr>
        <w:pStyle w:val="28"/>
        <w:widowControl w:val="0"/>
        <w:spacing w:line="580" w:lineRule="exact"/>
        <w:ind w:firstLine="640"/>
        <w:outlineLvl w:val="1"/>
        <w:rPr>
          <w:rFonts w:hint="eastAsia" w:ascii="楷体_GB2312" w:hAnsi="楷体_GB2312" w:eastAsia="楷体_GB2312" w:cs="楷体_GB2312"/>
          <w:b w:val="0"/>
          <w:bCs/>
          <w:color w:val="000000" w:themeColor="text1"/>
          <w:sz w:val="32"/>
          <w:szCs w:val="32"/>
          <w:lang w:bidi="ar"/>
          <w14:textFill>
            <w14:solidFill>
              <w14:schemeClr w14:val="tx1"/>
            </w14:solidFill>
          </w14:textFill>
        </w:rPr>
      </w:pPr>
      <w:bookmarkStart w:id="80" w:name="_Toc1820602719_WPSOffice_Level2"/>
      <w:bookmarkStart w:id="81" w:name="_Toc15394"/>
      <w:bookmarkStart w:id="82" w:name="_Toc554855150_WPSOffice_Level2"/>
      <w:bookmarkStart w:id="83" w:name="_Toc1066391420"/>
      <w:r>
        <w:rPr>
          <w:rFonts w:hint="eastAsia" w:ascii="楷体_GB2312" w:hAnsi="楷体_GB2312" w:eastAsia="楷体_GB2312" w:cs="楷体_GB2312"/>
          <w:b w:val="0"/>
          <w:bCs/>
          <w:color w:val="000000" w:themeColor="text1"/>
          <w:sz w:val="32"/>
          <w:szCs w:val="32"/>
          <w:lang w:bidi="ar"/>
          <w14:textFill>
            <w14:solidFill>
              <w14:schemeClr w14:val="tx1"/>
            </w14:solidFill>
          </w14:textFill>
        </w:rPr>
        <w:t>（六）评价人员组成</w:t>
      </w:r>
      <w:bookmarkEnd w:id="80"/>
      <w:bookmarkEnd w:id="81"/>
      <w:bookmarkEnd w:id="82"/>
      <w:bookmarkEnd w:id="83"/>
    </w:p>
    <w:p>
      <w:pPr>
        <w:spacing w:line="58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此次评价组由</w:t>
      </w:r>
      <w:r>
        <w:rPr>
          <w:rFonts w:ascii="仿宋_GB2312" w:hAnsi="仿宋_GB2312" w:eastAsia="仿宋_GB2312" w:cs="仿宋_GB2312"/>
          <w:color w:val="000000" w:themeColor="text1"/>
          <w:sz w:val="32"/>
          <w:szCs w:val="32"/>
          <w:lang w:bidi="ar"/>
          <w14:textFill>
            <w14:solidFill>
              <w14:schemeClr w14:val="tx1"/>
            </w14:solidFill>
          </w14:textFill>
        </w:rPr>
        <w:t>5</w:t>
      </w:r>
      <w:r>
        <w:rPr>
          <w:rFonts w:hint="eastAsia" w:ascii="仿宋_GB2312" w:hAnsi="仿宋_GB2312" w:eastAsia="仿宋_GB2312" w:cs="仿宋_GB2312"/>
          <w:color w:val="000000" w:themeColor="text1"/>
          <w:sz w:val="32"/>
          <w:szCs w:val="32"/>
          <w:lang w:bidi="ar"/>
          <w14:textFill>
            <w14:solidFill>
              <w14:schemeClr w14:val="tx1"/>
            </w14:solidFill>
          </w14:textFill>
        </w:rPr>
        <w:t>名工作人员和1名财务专家组成，评价小组成员与被评价项目及被评价单位不存在任何利益冲突。绩效评价专家及财务专家具有相应资质或职称，在行业领域中具有多年的从业经验，同时多次参与绩效评价工作并熟悉绩效评价的工作流程；工作人员具备绩效评价知识和经验，熟悉评价项目、评价规范和技术规范。评价小组成员及专家分工详见下表：</w:t>
      </w:r>
    </w:p>
    <w:p>
      <w:pPr>
        <w:pStyle w:val="28"/>
        <w:spacing w:line="580" w:lineRule="exact"/>
        <w:jc w:val="center"/>
        <w:rPr>
          <w:rFonts w:ascii="宋体" w:hAnsi="宋体"/>
          <w:b/>
          <w:bCs/>
          <w:color w:val="000000" w:themeColor="text1"/>
          <w:sz w:val="28"/>
          <w:szCs w:val="28"/>
          <w14:textFill>
            <w14:solidFill>
              <w14:schemeClr w14:val="tx1"/>
            </w14:solidFill>
          </w14:textFill>
        </w:rPr>
      </w:pPr>
      <w:bookmarkStart w:id="84" w:name="_Toc1076510776_WPSOffice_Level2"/>
      <w:bookmarkStart w:id="85" w:name="_Toc1522895777_WPSOffice_Level2"/>
      <w:bookmarkStart w:id="86" w:name="_Toc1455095989_WPSOffice_Level2"/>
      <w:r>
        <w:rPr>
          <w:rFonts w:hint="eastAsia" w:ascii="宋体" w:hAnsi="宋体"/>
          <w:b/>
          <w:bCs/>
          <w:color w:val="000000" w:themeColor="text1"/>
          <w:sz w:val="28"/>
          <w:szCs w:val="28"/>
          <w14:textFill>
            <w14:solidFill>
              <w14:schemeClr w14:val="tx1"/>
            </w14:solidFill>
          </w14:textFill>
        </w:rPr>
        <w:t>表</w:t>
      </w:r>
      <w:r>
        <w:rPr>
          <w:rFonts w:ascii="宋体" w:hAnsi="宋体"/>
          <w:b/>
          <w:bCs/>
          <w:color w:val="000000" w:themeColor="text1"/>
          <w:sz w:val="28"/>
          <w:szCs w:val="28"/>
          <w14:textFill>
            <w14:solidFill>
              <w14:schemeClr w14:val="tx1"/>
            </w14:solidFill>
          </w14:textFill>
        </w:rPr>
        <w:t>2</w:t>
      </w:r>
      <w:r>
        <w:rPr>
          <w:rFonts w:hint="eastAsia" w:ascii="宋体" w:hAnsi="宋体"/>
          <w:b/>
          <w:bCs/>
          <w:color w:val="000000" w:themeColor="text1"/>
          <w:sz w:val="28"/>
          <w:szCs w:val="28"/>
          <w14:textFill>
            <w14:solidFill>
              <w14:schemeClr w14:val="tx1"/>
            </w14:solidFill>
          </w14:textFill>
        </w:rPr>
        <w:t>：工作人员</w:t>
      </w:r>
      <w:r>
        <w:rPr>
          <w:rFonts w:ascii="宋体" w:hAnsi="宋体"/>
          <w:b/>
          <w:bCs/>
          <w:color w:val="000000" w:themeColor="text1"/>
          <w:sz w:val="28"/>
          <w:szCs w:val="28"/>
          <w14:textFill>
            <w14:solidFill>
              <w14:schemeClr w14:val="tx1"/>
            </w14:solidFill>
          </w14:textFill>
        </w:rPr>
        <w:t>分工情况表</w:t>
      </w:r>
      <w:bookmarkEnd w:id="84"/>
      <w:bookmarkEnd w:id="85"/>
      <w:bookmarkEnd w:id="86"/>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860"/>
        <w:gridCol w:w="1595"/>
        <w:gridCol w:w="2376"/>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4" w:type="dxa"/>
            <w:shd w:val="clear" w:color="auto" w:fill="auto"/>
            <w:vAlign w:val="center"/>
          </w:tcPr>
          <w:p>
            <w:pPr>
              <w:pStyle w:val="28"/>
              <w:spacing w:line="300" w:lineRule="exact"/>
              <w:jc w:val="left"/>
              <w:rPr>
                <w:rFonts w:hint="eastAsia" w:ascii="宋体" w:hAnsi="宋体" w:eastAsia="宋体" w:cs="宋体"/>
                <w:b/>
                <w:sz w:val="21"/>
                <w:szCs w:val="21"/>
              </w:rPr>
            </w:pPr>
            <w:r>
              <w:rPr>
                <w:rFonts w:hint="eastAsia" w:ascii="宋体" w:hAnsi="宋体" w:eastAsia="宋体" w:cs="宋体"/>
                <w:b/>
                <w:sz w:val="21"/>
                <w:szCs w:val="21"/>
              </w:rPr>
              <w:t>序号</w:t>
            </w:r>
          </w:p>
        </w:tc>
        <w:tc>
          <w:tcPr>
            <w:tcW w:w="860" w:type="dxa"/>
            <w:shd w:val="clear" w:color="auto" w:fill="auto"/>
            <w:vAlign w:val="center"/>
          </w:tcPr>
          <w:p>
            <w:pPr>
              <w:pStyle w:val="28"/>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姓名</w:t>
            </w:r>
          </w:p>
        </w:tc>
        <w:tc>
          <w:tcPr>
            <w:tcW w:w="1595" w:type="dxa"/>
            <w:shd w:val="clear" w:color="auto" w:fill="auto"/>
            <w:vAlign w:val="center"/>
          </w:tcPr>
          <w:p>
            <w:pPr>
              <w:pStyle w:val="28"/>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职务/职称</w:t>
            </w:r>
          </w:p>
        </w:tc>
        <w:tc>
          <w:tcPr>
            <w:tcW w:w="2376" w:type="dxa"/>
            <w:shd w:val="clear" w:color="auto" w:fill="auto"/>
            <w:vAlign w:val="center"/>
          </w:tcPr>
          <w:p>
            <w:pPr>
              <w:pStyle w:val="28"/>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工作单位</w:t>
            </w:r>
          </w:p>
        </w:tc>
        <w:tc>
          <w:tcPr>
            <w:tcW w:w="3481" w:type="dxa"/>
            <w:shd w:val="clear" w:color="auto" w:fill="auto"/>
            <w:vAlign w:val="center"/>
          </w:tcPr>
          <w:p>
            <w:pPr>
              <w:pStyle w:val="28"/>
              <w:spacing w:line="300" w:lineRule="exact"/>
              <w:jc w:val="center"/>
              <w:rPr>
                <w:rFonts w:hint="eastAsia" w:ascii="宋体" w:hAnsi="宋体" w:eastAsia="宋体" w:cs="宋体"/>
                <w:b/>
                <w:sz w:val="21"/>
                <w:szCs w:val="21"/>
              </w:rPr>
            </w:pPr>
            <w:r>
              <w:rPr>
                <w:rFonts w:hint="eastAsia" w:ascii="宋体" w:hAnsi="宋体" w:eastAsia="宋体" w:cs="宋体"/>
                <w:b/>
                <w:sz w:val="21"/>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664"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860"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李舒月</w:t>
            </w:r>
          </w:p>
        </w:tc>
        <w:tc>
          <w:tcPr>
            <w:tcW w:w="1595"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项目负责人/ PMP®</w:t>
            </w:r>
          </w:p>
        </w:tc>
        <w:tc>
          <w:tcPr>
            <w:tcW w:w="2376"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8"/>
              <w:spacing w:line="300" w:lineRule="exact"/>
              <w:jc w:val="left"/>
              <w:rPr>
                <w:rFonts w:hint="eastAsia" w:ascii="宋体" w:hAnsi="宋体" w:eastAsia="宋体" w:cs="宋体"/>
                <w:sz w:val="21"/>
                <w:szCs w:val="21"/>
              </w:rPr>
            </w:pPr>
            <w:r>
              <w:rPr>
                <w:rFonts w:hint="eastAsia" w:ascii="宋体" w:hAnsi="宋体" w:eastAsia="宋体" w:cs="宋体"/>
                <w:sz w:val="21"/>
                <w:szCs w:val="21"/>
              </w:rPr>
              <w:t>负责整个评价工作的监督与控制，把控阶段性成果及最终成果的质量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664"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860" w:type="dxa"/>
            <w:vAlign w:val="center"/>
          </w:tcPr>
          <w:p>
            <w:pPr>
              <w:pStyle w:val="28"/>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杨鹏冲</w:t>
            </w:r>
          </w:p>
        </w:tc>
        <w:tc>
          <w:tcPr>
            <w:tcW w:w="1595"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项目经理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8"/>
              <w:spacing w:line="300" w:lineRule="exact"/>
              <w:jc w:val="left"/>
              <w:rPr>
                <w:rFonts w:hint="eastAsia" w:ascii="宋体" w:hAnsi="宋体" w:eastAsia="宋体" w:cs="宋体"/>
                <w:sz w:val="21"/>
                <w:szCs w:val="21"/>
              </w:rPr>
            </w:pPr>
            <w:r>
              <w:rPr>
                <w:rFonts w:hint="eastAsia" w:ascii="宋体" w:hAnsi="宋体" w:eastAsia="宋体" w:cs="宋体"/>
                <w:sz w:val="21"/>
                <w:szCs w:val="21"/>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860" w:type="dxa"/>
            <w:vAlign w:val="center"/>
          </w:tcPr>
          <w:p>
            <w:pPr>
              <w:pStyle w:val="28"/>
              <w:spacing w:line="3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翟哲文</w:t>
            </w:r>
          </w:p>
        </w:tc>
        <w:tc>
          <w:tcPr>
            <w:tcW w:w="1595"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项目经理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8"/>
              <w:spacing w:line="300" w:lineRule="exact"/>
              <w:jc w:val="left"/>
              <w:rPr>
                <w:rFonts w:hint="eastAsia" w:ascii="宋体" w:hAnsi="宋体" w:eastAsia="宋体" w:cs="宋体"/>
                <w:sz w:val="21"/>
                <w:szCs w:val="21"/>
              </w:rPr>
            </w:pPr>
            <w:r>
              <w:rPr>
                <w:rFonts w:hint="eastAsia" w:ascii="宋体" w:hAnsi="宋体" w:eastAsia="宋体" w:cs="宋体"/>
                <w:sz w:val="21"/>
                <w:szCs w:val="21"/>
              </w:rPr>
              <w:t>负责评价工作前期准备、实施阶段及报告撰写各个阶段统筹安排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860" w:type="dxa"/>
            <w:vAlign w:val="center"/>
          </w:tcPr>
          <w:p>
            <w:pPr>
              <w:pStyle w:val="28"/>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张  杨</w:t>
            </w:r>
          </w:p>
        </w:tc>
        <w:tc>
          <w:tcPr>
            <w:tcW w:w="1595" w:type="dxa"/>
            <w:vAlign w:val="center"/>
          </w:tcPr>
          <w:p>
            <w:pPr>
              <w:pStyle w:val="28"/>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项目助理</w:t>
            </w:r>
          </w:p>
        </w:tc>
        <w:tc>
          <w:tcPr>
            <w:tcW w:w="2376" w:type="dxa"/>
            <w:vAlign w:val="center"/>
          </w:tcPr>
          <w:p>
            <w:pPr>
              <w:spacing w:line="300" w:lineRule="exact"/>
              <w:jc w:val="center"/>
              <w:rPr>
                <w:rFonts w:hint="eastAsia" w:ascii="宋体" w:hAnsi="宋体" w:eastAsia="宋体" w:cs="宋体"/>
                <w:sz w:val="21"/>
                <w:szCs w:val="21"/>
                <w:lang w:val="en-US" w:eastAsia="zh-CN" w:bidi="ar-SA"/>
              </w:rPr>
            </w:pPr>
            <w:r>
              <w:rPr>
                <w:rFonts w:hint="eastAsia" w:ascii="宋体" w:hAnsi="宋体" w:eastAsia="宋体" w:cs="宋体"/>
                <w:sz w:val="21"/>
                <w:szCs w:val="21"/>
              </w:rPr>
              <w:t>中景瑞晟（北京）管理咨询有限公司</w:t>
            </w:r>
          </w:p>
        </w:tc>
        <w:tc>
          <w:tcPr>
            <w:tcW w:w="3481" w:type="dxa"/>
            <w:vAlign w:val="center"/>
          </w:tcPr>
          <w:p>
            <w:pPr>
              <w:pStyle w:val="28"/>
              <w:spacing w:line="300" w:lineRule="exact"/>
              <w:jc w:val="left"/>
              <w:rPr>
                <w:rFonts w:hint="eastAsia" w:ascii="宋体" w:hAnsi="宋体" w:eastAsia="宋体" w:cs="宋体"/>
                <w:sz w:val="21"/>
                <w:szCs w:val="21"/>
                <w:lang w:val="en-US" w:eastAsia="zh-CN" w:bidi="ar-SA"/>
              </w:rPr>
            </w:pPr>
            <w:r>
              <w:rPr>
                <w:rFonts w:hint="eastAsia" w:ascii="宋体" w:hAnsi="宋体" w:eastAsia="宋体" w:cs="宋体"/>
                <w:sz w:val="21"/>
                <w:szCs w:val="21"/>
              </w:rPr>
              <w:t>负责协助完成现场评价相关工作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664"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860" w:type="dxa"/>
            <w:vAlign w:val="center"/>
          </w:tcPr>
          <w:p>
            <w:pPr>
              <w:pStyle w:val="28"/>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王悦梦</w:t>
            </w:r>
          </w:p>
        </w:tc>
        <w:tc>
          <w:tcPr>
            <w:tcW w:w="1595"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项目助理</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8"/>
              <w:spacing w:line="300" w:lineRule="exact"/>
              <w:jc w:val="left"/>
              <w:rPr>
                <w:rFonts w:hint="eastAsia" w:ascii="宋体" w:hAnsi="宋体" w:eastAsia="宋体" w:cs="宋体"/>
                <w:sz w:val="21"/>
                <w:szCs w:val="21"/>
              </w:rPr>
            </w:pPr>
            <w:r>
              <w:rPr>
                <w:rFonts w:hint="eastAsia" w:ascii="宋体" w:hAnsi="宋体" w:eastAsia="宋体" w:cs="宋体"/>
                <w:sz w:val="21"/>
                <w:szCs w:val="21"/>
              </w:rPr>
              <w:t>负责协助完成现场评价相关工作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trPr>
        <w:tc>
          <w:tcPr>
            <w:tcW w:w="664"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860" w:type="dxa"/>
            <w:vAlign w:val="center"/>
          </w:tcPr>
          <w:p>
            <w:pPr>
              <w:pStyle w:val="28"/>
              <w:spacing w:line="300" w:lineRule="exact"/>
              <w:jc w:val="center"/>
              <w:rPr>
                <w:rFonts w:hint="eastAsia" w:ascii="宋体" w:hAnsi="宋体" w:eastAsia="宋体" w:cs="宋体"/>
                <w:sz w:val="21"/>
                <w:szCs w:val="21"/>
              </w:rPr>
            </w:pPr>
            <w:r>
              <w:rPr>
                <w:rFonts w:hint="eastAsia" w:ascii="宋体" w:hAnsi="宋体" w:eastAsia="宋体" w:cs="宋体"/>
                <w:sz w:val="21"/>
                <w:szCs w:val="21"/>
              </w:rPr>
              <w:t>孙天</w:t>
            </w:r>
            <w:r>
              <w:rPr>
                <w:rFonts w:hint="eastAsia" w:ascii="宋体" w:hAnsi="宋体" w:eastAsia="宋体" w:cs="宋体"/>
                <w:sz w:val="21"/>
                <w:szCs w:val="21"/>
                <w:lang w:val="en-US" w:eastAsia="zh-CN"/>
              </w:rPr>
              <w:t>波</w:t>
            </w:r>
          </w:p>
        </w:tc>
        <w:tc>
          <w:tcPr>
            <w:tcW w:w="1595" w:type="dxa"/>
            <w:vAlign w:val="center"/>
          </w:tcPr>
          <w:p>
            <w:pPr>
              <w:pStyle w:val="28"/>
              <w:spacing w:line="3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高级会计</w:t>
            </w:r>
            <w:r>
              <w:rPr>
                <w:rFonts w:hint="eastAsia" w:ascii="宋体" w:hAnsi="宋体" w:eastAsia="宋体" w:cs="宋体"/>
                <w:sz w:val="21"/>
                <w:szCs w:val="21"/>
                <w:lang w:val="en-US" w:eastAsia="zh-CN"/>
              </w:rPr>
              <w:t>师</w:t>
            </w:r>
          </w:p>
        </w:tc>
        <w:tc>
          <w:tcPr>
            <w:tcW w:w="2376" w:type="dxa"/>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中景瑞晟（北京）管理咨询有限公司</w:t>
            </w:r>
          </w:p>
        </w:tc>
        <w:tc>
          <w:tcPr>
            <w:tcW w:w="3481" w:type="dxa"/>
            <w:vAlign w:val="center"/>
          </w:tcPr>
          <w:p>
            <w:pPr>
              <w:pStyle w:val="28"/>
              <w:spacing w:line="300" w:lineRule="exact"/>
              <w:jc w:val="left"/>
              <w:rPr>
                <w:rFonts w:hint="eastAsia" w:ascii="宋体" w:hAnsi="宋体" w:eastAsia="宋体" w:cs="宋体"/>
                <w:sz w:val="21"/>
                <w:szCs w:val="21"/>
              </w:rPr>
            </w:pPr>
            <w:r>
              <w:rPr>
                <w:rFonts w:hint="eastAsia" w:ascii="宋体" w:hAnsi="宋体" w:eastAsia="宋体" w:cs="宋体"/>
                <w:sz w:val="21"/>
                <w:szCs w:val="21"/>
              </w:rPr>
              <w:t>作为财务专家对项目的实施情况进行评价</w:t>
            </w:r>
          </w:p>
        </w:tc>
      </w:tr>
    </w:tbl>
    <w:p>
      <w:pPr>
        <w:pStyle w:val="4"/>
        <w:ind w:firstLine="643" w:firstLineChars="0"/>
        <w:jc w:val="left"/>
        <w:rPr>
          <w:rFonts w:hint="eastAsia" w:ascii="楷体_GB2312" w:hAnsi="楷体_GB2312" w:eastAsia="楷体_GB2312" w:cs="楷体_GB2312"/>
          <w:b w:val="0"/>
          <w:bCs/>
          <w:color w:val="000000" w:themeColor="text1"/>
          <w:sz w:val="32"/>
          <w:szCs w:val="32"/>
          <w:lang w:val="en-US" w:eastAsia="zh-CN" w:bidi="ar"/>
          <w14:textFill>
            <w14:solidFill>
              <w14:schemeClr w14:val="tx1"/>
            </w14:solidFill>
          </w14:textFill>
        </w:rPr>
      </w:pPr>
      <w:bookmarkStart w:id="87" w:name="_Toc13078"/>
      <w:bookmarkStart w:id="88" w:name="_Toc2089561725"/>
      <w:bookmarkStart w:id="89" w:name="_Toc1599219093_WPSOffice_Level2"/>
      <w:bookmarkStart w:id="90" w:name="_Toc366886257_WPSOffice_Level2"/>
      <w:r>
        <w:rPr>
          <w:rFonts w:hint="eastAsia" w:ascii="楷体_GB2312" w:hAnsi="楷体_GB2312" w:eastAsia="楷体_GB2312" w:cs="楷体_GB2312"/>
          <w:b w:val="0"/>
          <w:bCs/>
          <w:color w:val="000000" w:themeColor="text1"/>
          <w:sz w:val="32"/>
          <w:szCs w:val="32"/>
          <w:lang w:val="en-US" w:eastAsia="zh-CN" w:bidi="ar"/>
          <w14:textFill>
            <w14:solidFill>
              <w14:schemeClr w14:val="tx1"/>
            </w14:solidFill>
          </w14:textFill>
        </w:rPr>
        <w:t>（七）绩效评价工作过程</w:t>
      </w:r>
      <w:bookmarkEnd w:id="87"/>
      <w:bookmarkEnd w:id="88"/>
      <w:bookmarkEnd w:id="89"/>
      <w:bookmarkEnd w:id="90"/>
    </w:p>
    <w:p>
      <w:pPr>
        <w:pStyle w:val="28"/>
        <w:spacing w:line="580" w:lineRule="exact"/>
        <w:ind w:firstLine="64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本次绩效评价时间为20</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20</w:t>
      </w:r>
      <w:r>
        <w:rPr>
          <w:rFonts w:hint="eastAsia" w:ascii="仿宋_GB2312" w:hAnsi="仿宋_GB2312" w:eastAsia="仿宋_GB2312" w:cs="仿宋_GB2312"/>
          <w:color w:val="000000" w:themeColor="text1"/>
          <w:sz w:val="32"/>
          <w:szCs w:val="32"/>
          <w:lang w:bidi="ar"/>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8</w:t>
      </w:r>
      <w:r>
        <w:rPr>
          <w:rFonts w:hint="eastAsia" w:ascii="仿宋_GB2312" w:hAnsi="仿宋_GB2312" w:eastAsia="仿宋_GB2312" w:cs="仿宋_GB2312"/>
          <w:color w:val="000000" w:themeColor="text1"/>
          <w:sz w:val="32"/>
          <w:szCs w:val="32"/>
          <w:lang w:bidi="ar"/>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w:t>
      </w:r>
      <w:r>
        <w:rPr>
          <w:rFonts w:hint="eastAsia" w:ascii="仿宋_GB2312" w:hAnsi="仿宋_GB2312" w:eastAsia="仿宋_GB2312" w:cs="仿宋_GB2312"/>
          <w:color w:val="000000" w:themeColor="text1"/>
          <w:sz w:val="32"/>
          <w:szCs w:val="32"/>
          <w:lang w:bidi="ar"/>
          <w14:textFill>
            <w14:solidFill>
              <w14:schemeClr w14:val="tx1"/>
            </w14:solidFill>
          </w14:textFill>
        </w:rPr>
        <w:t>1日至</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9</w:t>
      </w:r>
      <w:r>
        <w:rPr>
          <w:rFonts w:hint="eastAsia" w:ascii="仿宋_GB2312" w:hAnsi="仿宋_GB2312" w:eastAsia="仿宋_GB2312" w:cs="仿宋_GB2312"/>
          <w:color w:val="000000" w:themeColor="text1"/>
          <w:sz w:val="32"/>
          <w:szCs w:val="32"/>
          <w:lang w:bidi="ar"/>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18</w:t>
      </w:r>
      <w:r>
        <w:rPr>
          <w:rFonts w:hint="eastAsia" w:ascii="仿宋_GB2312" w:hAnsi="仿宋_GB2312" w:eastAsia="仿宋_GB2312" w:cs="仿宋_GB2312"/>
          <w:color w:val="000000" w:themeColor="text1"/>
          <w:sz w:val="32"/>
          <w:szCs w:val="32"/>
          <w:lang w:bidi="ar"/>
          <w14:textFill>
            <w14:solidFill>
              <w14:schemeClr w14:val="tx1"/>
            </w14:solidFill>
          </w14:textFill>
        </w:rPr>
        <w:t>日，主要工作内容包括以下</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三</w:t>
      </w:r>
      <w:r>
        <w:rPr>
          <w:rFonts w:hint="eastAsia" w:ascii="仿宋_GB2312" w:hAnsi="仿宋_GB2312" w:eastAsia="仿宋_GB2312" w:cs="仿宋_GB2312"/>
          <w:color w:val="000000" w:themeColor="text1"/>
          <w:sz w:val="32"/>
          <w:szCs w:val="32"/>
          <w:lang w:bidi="ar"/>
          <w14:textFill>
            <w14:solidFill>
              <w14:schemeClr w14:val="tx1"/>
            </w14:solidFill>
          </w14:textFill>
        </w:rPr>
        <w:t>个方面：</w:t>
      </w:r>
    </w:p>
    <w:p>
      <w:pPr>
        <w:pStyle w:val="28"/>
        <w:spacing w:line="580" w:lineRule="exact"/>
        <w:ind w:firstLine="643" w:firstLineChars="200"/>
        <w:rPr>
          <w:rFonts w:ascii="仿宋_GB2312" w:hAnsi="仿宋_GB2312" w:eastAsia="仿宋_GB2312" w:cs="仿宋_GB2312"/>
          <w:b/>
          <w:bCs/>
          <w:color w:val="000000" w:themeColor="text1"/>
          <w:sz w:val="32"/>
          <w:szCs w:val="32"/>
          <w:lang w:bidi="ar"/>
          <w14:textFill>
            <w14:solidFill>
              <w14:schemeClr w14:val="tx1"/>
            </w14:solidFill>
          </w14:textFill>
        </w:rPr>
      </w:pPr>
      <w:bookmarkStart w:id="91" w:name="_Toc680269286_WPSOffice_Level3"/>
      <w:bookmarkStart w:id="92" w:name="_Toc1970013932_WPSOffice_Level3"/>
      <w:bookmarkStart w:id="93" w:name="_Toc1729154765_WPSOffice_Level3"/>
      <w:bookmarkStart w:id="94" w:name="_Toc2044863799_WPSOffice_Level3"/>
      <w:r>
        <w:rPr>
          <w:rFonts w:ascii="仿宋_GB2312" w:hAnsi="仿宋_GB2312" w:eastAsia="仿宋_GB2312" w:cs="仿宋_GB2312"/>
          <w:b/>
          <w:bCs/>
          <w:color w:val="000000" w:themeColor="text1"/>
          <w:sz w:val="32"/>
          <w:szCs w:val="32"/>
          <w:lang w:bidi="ar"/>
          <w14:textFill>
            <w14:solidFill>
              <w14:schemeClr w14:val="tx1"/>
            </w14:solidFill>
          </w14:textFill>
        </w:rPr>
        <w:t>1.</w:t>
      </w:r>
      <w:r>
        <w:rPr>
          <w:rFonts w:hint="eastAsia" w:ascii="仿宋_GB2312" w:hAnsi="仿宋_GB2312" w:eastAsia="仿宋_GB2312" w:cs="仿宋_GB2312"/>
          <w:b/>
          <w:bCs/>
          <w:color w:val="000000" w:themeColor="text1"/>
          <w:sz w:val="32"/>
          <w:szCs w:val="32"/>
          <w:lang w:bidi="ar"/>
          <w14:textFill>
            <w14:solidFill>
              <w14:schemeClr w14:val="tx1"/>
            </w14:solidFill>
          </w14:textFill>
        </w:rPr>
        <w:t>评价准备阶段（</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8</w:t>
      </w:r>
      <w:r>
        <w:rPr>
          <w:rFonts w:hint="eastAsia" w:ascii="仿宋_GB2312" w:hAnsi="仿宋_GB2312" w:eastAsia="仿宋_GB2312" w:cs="仿宋_GB2312"/>
          <w:b/>
          <w:bCs/>
          <w:color w:val="000000" w:themeColor="text1"/>
          <w:sz w:val="32"/>
          <w:szCs w:val="32"/>
          <w:lang w:bidi="ar"/>
          <w14:textFill>
            <w14:solidFill>
              <w14:schemeClr w14:val="tx1"/>
            </w14:solidFill>
          </w14:textFill>
        </w:rPr>
        <w:t>月</w:t>
      </w:r>
      <w:r>
        <w:rPr>
          <w:rFonts w:ascii="仿宋_GB2312" w:hAnsi="仿宋_GB2312" w:eastAsia="仿宋_GB2312" w:cs="仿宋_GB2312"/>
          <w:b/>
          <w:bCs/>
          <w:color w:val="000000" w:themeColor="text1"/>
          <w:sz w:val="32"/>
          <w:szCs w:val="32"/>
          <w:lang w:bidi="ar"/>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1</w:t>
      </w:r>
      <w:r>
        <w:rPr>
          <w:rFonts w:hint="eastAsia" w:ascii="仿宋_GB2312" w:hAnsi="仿宋_GB2312" w:eastAsia="仿宋_GB2312" w:cs="仿宋_GB2312"/>
          <w:b/>
          <w:bCs/>
          <w:color w:val="000000" w:themeColor="text1"/>
          <w:sz w:val="32"/>
          <w:szCs w:val="32"/>
          <w:lang w:bidi="ar"/>
          <w14:textFill>
            <w14:solidFill>
              <w14:schemeClr w14:val="tx1"/>
            </w14:solidFill>
          </w14:textFill>
        </w:rPr>
        <w:t>日-</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8</w:t>
      </w:r>
      <w:r>
        <w:rPr>
          <w:rFonts w:hint="eastAsia" w:ascii="仿宋_GB2312" w:hAnsi="仿宋_GB2312" w:eastAsia="仿宋_GB2312" w:cs="仿宋_GB2312"/>
          <w:b/>
          <w:bCs/>
          <w:color w:val="000000" w:themeColor="text1"/>
          <w:sz w:val="32"/>
          <w:szCs w:val="32"/>
          <w:lang w:bidi="ar"/>
          <w14:textFill>
            <w14:solidFill>
              <w14:schemeClr w14:val="tx1"/>
            </w14:solidFill>
          </w14:textFill>
        </w:rPr>
        <w:t>月</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31</w:t>
      </w:r>
      <w:r>
        <w:rPr>
          <w:rFonts w:hint="eastAsia" w:ascii="仿宋_GB2312" w:hAnsi="仿宋_GB2312" w:eastAsia="仿宋_GB2312" w:cs="仿宋_GB2312"/>
          <w:b/>
          <w:bCs/>
          <w:color w:val="000000" w:themeColor="text1"/>
          <w:sz w:val="32"/>
          <w:szCs w:val="32"/>
          <w:lang w:bidi="ar"/>
          <w14:textFill>
            <w14:solidFill>
              <w14:schemeClr w14:val="tx1"/>
            </w14:solidFill>
          </w14:textFill>
        </w:rPr>
        <w:t>日）</w:t>
      </w:r>
      <w:bookmarkEnd w:id="91"/>
      <w:bookmarkEnd w:id="92"/>
      <w:bookmarkEnd w:id="93"/>
      <w:bookmarkEnd w:id="94"/>
    </w:p>
    <w:p>
      <w:pPr>
        <w:pStyle w:val="7"/>
        <w:spacing w:before="0" w:line="580" w:lineRule="exact"/>
        <w:ind w:left="0" w:firstLine="640" w:firstLineChars="200"/>
        <w:outlineLvl w:val="0"/>
        <w:rPr>
          <w:color w:val="000000" w:themeColor="text1"/>
          <w:lang w:val="en-US" w:bidi="ar"/>
          <w14:textFill>
            <w14:solidFill>
              <w14:schemeClr w14:val="tx1"/>
            </w14:solidFill>
          </w14:textFill>
        </w:rPr>
      </w:pPr>
      <w:bookmarkStart w:id="95" w:name="_Toc13783"/>
      <w:bookmarkStart w:id="96" w:name="_Toc5698"/>
      <w:bookmarkStart w:id="97" w:name="_Toc7426"/>
      <w:bookmarkStart w:id="98" w:name="_Toc7940504_WPSOffice_Level3"/>
      <w:bookmarkStart w:id="99" w:name="_Toc121285678_WPSOffice_Level3"/>
      <w:r>
        <w:rPr>
          <w:rFonts w:hint="eastAsia"/>
          <w:color w:val="000000" w:themeColor="text1"/>
          <w:lang w:val="en-US" w:bidi="ar"/>
          <w14:textFill>
            <w14:solidFill>
              <w14:schemeClr w14:val="tx1"/>
            </w14:solidFill>
          </w14:textFill>
        </w:rPr>
        <w:t>首先，熟悉政策、法规和相关资料。在明确委托方要求的前提下，评价机构搜集并分析相关法律法规、政策文件以及初步的项目资料，明确评价目的、项目概况、项目背景以及项目实施的完成情况等。</w:t>
      </w:r>
      <w:bookmarkEnd w:id="95"/>
      <w:bookmarkEnd w:id="96"/>
      <w:bookmarkEnd w:id="97"/>
    </w:p>
    <w:p>
      <w:pPr>
        <w:pStyle w:val="7"/>
        <w:spacing w:before="0" w:line="580" w:lineRule="exact"/>
        <w:ind w:left="0" w:firstLine="640" w:firstLineChars="200"/>
        <w:outlineLvl w:val="0"/>
        <w:rPr>
          <w:color w:val="000000" w:themeColor="text1"/>
          <w:lang w:val="en-US" w:bidi="ar"/>
          <w14:textFill>
            <w14:solidFill>
              <w14:schemeClr w14:val="tx1"/>
            </w14:solidFill>
          </w14:textFill>
        </w:rPr>
      </w:pPr>
      <w:bookmarkStart w:id="100" w:name="_Toc6301"/>
      <w:bookmarkStart w:id="101" w:name="_Toc26203"/>
      <w:bookmarkStart w:id="102" w:name="_Toc28705"/>
      <w:r>
        <w:rPr>
          <w:rFonts w:hint="eastAsia"/>
          <w:color w:val="000000" w:themeColor="text1"/>
          <w:lang w:val="en-US" w:bidi="ar"/>
          <w14:textFill>
            <w14:solidFill>
              <w14:schemeClr w14:val="tx1"/>
            </w14:solidFill>
          </w14:textFill>
        </w:rPr>
        <w:t>其次，设计指标体系。与委托方、项目主管部门、项目单位等进行沟通、访谈，设计绩效评价指标，包括确定评价原则、评价方法、评价指标内容、确定指标权重及评价标准等。</w:t>
      </w:r>
      <w:bookmarkEnd w:id="100"/>
      <w:bookmarkEnd w:id="101"/>
      <w:bookmarkEnd w:id="102"/>
    </w:p>
    <w:p>
      <w:pPr>
        <w:pStyle w:val="7"/>
        <w:spacing w:before="0" w:line="580" w:lineRule="exact"/>
        <w:ind w:left="0" w:firstLine="640" w:firstLineChars="200"/>
        <w:outlineLvl w:val="0"/>
        <w:rPr>
          <w:color w:val="000000" w:themeColor="text1"/>
          <w:lang w:val="en-US" w:bidi="ar"/>
          <w14:textFill>
            <w14:solidFill>
              <w14:schemeClr w14:val="tx1"/>
            </w14:solidFill>
          </w14:textFill>
        </w:rPr>
      </w:pPr>
      <w:bookmarkStart w:id="103" w:name="_Toc32689"/>
      <w:bookmarkStart w:id="104" w:name="_Toc29846"/>
      <w:bookmarkStart w:id="105" w:name="_Toc23205"/>
      <w:r>
        <w:rPr>
          <w:color w:val="000000" w:themeColor="text1"/>
          <w:lang w:val="en-US" w:bidi="ar"/>
          <w14:textFill>
            <w14:solidFill>
              <w14:schemeClr w14:val="tx1"/>
            </w14:solidFill>
          </w14:textFill>
        </w:rPr>
        <w:t>再次</w:t>
      </w:r>
      <w:r>
        <w:rPr>
          <w:rFonts w:hint="eastAsia"/>
          <w:color w:val="000000" w:themeColor="text1"/>
          <w:lang w:val="en-US" w:bidi="ar"/>
          <w14:textFill>
            <w14:solidFill>
              <w14:schemeClr w14:val="tx1"/>
            </w14:solidFill>
          </w14:textFill>
        </w:rPr>
        <w:t>，制订绩效评价工作方案。就评价背景、评价目的、评价对象和内容、评价方法、评价依据和进度安排等制定初步工作方案和绩效评价指标体系并报委托方审核，依据委托方提出的意见进一步完善工作方案和指标体系。</w:t>
      </w:r>
      <w:bookmarkEnd w:id="103"/>
      <w:bookmarkEnd w:id="104"/>
      <w:bookmarkEnd w:id="105"/>
    </w:p>
    <w:p>
      <w:pPr>
        <w:pStyle w:val="7"/>
        <w:spacing w:before="0" w:line="580" w:lineRule="exact"/>
        <w:ind w:left="0" w:firstLine="640" w:firstLineChars="200"/>
        <w:outlineLvl w:val="0"/>
        <w:rPr>
          <w:color w:val="000000" w:themeColor="text1"/>
          <w:lang w:val="en-US" w:bidi="ar"/>
          <w14:textFill>
            <w14:solidFill>
              <w14:schemeClr w14:val="tx1"/>
            </w14:solidFill>
          </w14:textFill>
        </w:rPr>
      </w:pPr>
      <w:bookmarkStart w:id="106" w:name="_Toc26597"/>
      <w:bookmarkStart w:id="107" w:name="_Toc7041"/>
      <w:bookmarkStart w:id="108" w:name="_Toc7091"/>
      <w:r>
        <w:rPr>
          <w:rFonts w:hint="eastAsia"/>
          <w:color w:val="000000" w:themeColor="text1"/>
          <w:lang w:val="en-US" w:bidi="ar"/>
          <w14:textFill>
            <w14:solidFill>
              <w14:schemeClr w14:val="tx1"/>
            </w14:solidFill>
          </w14:textFill>
        </w:rPr>
        <w:t>最后，制定评价表格。评价机构根据工作需求进行资料清单、调查文本设计，包括需要由项目实施单位提供的评价资料明细、基础数据表、访谈提纲、调查表、调查问卷、现场勘查记录表等。</w:t>
      </w:r>
      <w:bookmarkEnd w:id="106"/>
      <w:bookmarkEnd w:id="107"/>
      <w:bookmarkEnd w:id="108"/>
    </w:p>
    <w:p>
      <w:pPr>
        <w:pStyle w:val="28"/>
        <w:spacing w:line="580" w:lineRule="exact"/>
        <w:ind w:firstLine="643" w:firstLineChars="200"/>
        <w:rPr>
          <w:rFonts w:ascii="仿宋_GB2312" w:hAnsi="仿宋_GB2312" w:eastAsia="仿宋_GB2312" w:cs="仿宋_GB2312"/>
          <w:b/>
          <w:bCs/>
          <w:color w:val="000000" w:themeColor="text1"/>
          <w:sz w:val="32"/>
          <w:szCs w:val="32"/>
          <w:lang w:bidi="ar"/>
          <w14:textFill>
            <w14:solidFill>
              <w14:schemeClr w14:val="tx1"/>
            </w14:solidFill>
          </w14:textFill>
        </w:rPr>
      </w:pPr>
      <w:bookmarkStart w:id="109" w:name="_Toc82953174_WPSOffice_Level3"/>
      <w:bookmarkStart w:id="110" w:name="_Toc1845066852_WPSOffice_Level3"/>
      <w:r>
        <w:rPr>
          <w:rFonts w:ascii="仿宋_GB2312" w:hAnsi="仿宋_GB2312" w:eastAsia="仿宋_GB2312" w:cs="仿宋_GB2312"/>
          <w:b/>
          <w:bCs/>
          <w:color w:val="000000" w:themeColor="text1"/>
          <w:sz w:val="32"/>
          <w:szCs w:val="32"/>
          <w:lang w:bidi="ar"/>
          <w14:textFill>
            <w14:solidFill>
              <w14:schemeClr w14:val="tx1"/>
            </w14:solidFill>
          </w14:textFill>
        </w:rPr>
        <w:t>2.</w:t>
      </w:r>
      <w:r>
        <w:rPr>
          <w:rFonts w:hint="eastAsia" w:ascii="仿宋_GB2312" w:hAnsi="仿宋_GB2312" w:eastAsia="仿宋_GB2312" w:cs="仿宋_GB2312"/>
          <w:b/>
          <w:bCs/>
          <w:color w:val="000000" w:themeColor="text1"/>
          <w:sz w:val="32"/>
          <w:szCs w:val="32"/>
          <w:lang w:bidi="ar"/>
          <w14:textFill>
            <w14:solidFill>
              <w14:schemeClr w14:val="tx1"/>
            </w14:solidFill>
          </w14:textFill>
        </w:rPr>
        <w:t>评价实施阶段（</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9</w:t>
      </w:r>
      <w:r>
        <w:rPr>
          <w:rFonts w:hint="eastAsia" w:ascii="仿宋_GB2312" w:hAnsi="仿宋_GB2312" w:eastAsia="仿宋_GB2312" w:cs="仿宋_GB2312"/>
          <w:b/>
          <w:bCs/>
          <w:color w:val="000000" w:themeColor="text1"/>
          <w:sz w:val="32"/>
          <w:szCs w:val="32"/>
          <w:lang w:bidi="ar"/>
          <w14:textFill>
            <w14:solidFill>
              <w14:schemeClr w14:val="tx1"/>
            </w14:solidFill>
          </w14:textFill>
        </w:rPr>
        <w:t>月</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1</w:t>
      </w:r>
      <w:r>
        <w:rPr>
          <w:rFonts w:hint="eastAsia" w:ascii="仿宋_GB2312" w:hAnsi="仿宋_GB2312" w:eastAsia="仿宋_GB2312" w:cs="仿宋_GB2312"/>
          <w:b/>
          <w:bCs/>
          <w:color w:val="000000" w:themeColor="text1"/>
          <w:sz w:val="32"/>
          <w:szCs w:val="32"/>
          <w:lang w:bidi="ar"/>
          <w14:textFill>
            <w14:solidFill>
              <w14:schemeClr w14:val="tx1"/>
            </w14:solidFill>
          </w14:textFill>
        </w:rPr>
        <w:t>日-</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9</w:t>
      </w:r>
      <w:r>
        <w:rPr>
          <w:rFonts w:hint="eastAsia" w:ascii="仿宋_GB2312" w:hAnsi="仿宋_GB2312" w:eastAsia="仿宋_GB2312" w:cs="仿宋_GB2312"/>
          <w:b/>
          <w:bCs/>
          <w:color w:val="000000" w:themeColor="text1"/>
          <w:sz w:val="32"/>
          <w:szCs w:val="32"/>
          <w:lang w:bidi="ar"/>
          <w14:textFill>
            <w14:solidFill>
              <w14:schemeClr w14:val="tx1"/>
            </w14:solidFill>
          </w14:textFill>
        </w:rPr>
        <w:t>月</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10</w:t>
      </w:r>
      <w:r>
        <w:rPr>
          <w:rFonts w:hint="eastAsia" w:ascii="仿宋_GB2312" w:hAnsi="仿宋_GB2312" w:eastAsia="仿宋_GB2312" w:cs="仿宋_GB2312"/>
          <w:b/>
          <w:bCs/>
          <w:color w:val="000000" w:themeColor="text1"/>
          <w:sz w:val="32"/>
          <w:szCs w:val="32"/>
          <w:lang w:bidi="ar"/>
          <w14:textFill>
            <w14:solidFill>
              <w14:schemeClr w14:val="tx1"/>
            </w14:solidFill>
          </w14:textFill>
        </w:rPr>
        <w:t>日）</w:t>
      </w:r>
      <w:bookmarkEnd w:id="98"/>
      <w:bookmarkEnd w:id="99"/>
      <w:bookmarkEnd w:id="109"/>
      <w:bookmarkEnd w:id="110"/>
    </w:p>
    <w:p>
      <w:pPr>
        <w:pStyle w:val="28"/>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评价机构依据工作需要组建评价小组到项目单位进行现场评价。采取勘察、问询、座谈、复核等多种方式，结合项目单位提供的项目资料，对项目的实施和完成情况进行核实，并对所掌握的有关信息进行分类、整理和初步分析，形成现场评价意见。</w:t>
      </w:r>
    </w:p>
    <w:p>
      <w:pPr>
        <w:pStyle w:val="28"/>
        <w:spacing w:line="580" w:lineRule="exact"/>
        <w:ind w:firstLine="643" w:firstLineChars="200"/>
        <w:rPr>
          <w:rFonts w:ascii="仿宋_GB2312" w:hAnsi="仿宋_GB2312" w:eastAsia="仿宋_GB2312" w:cs="仿宋_GB2312"/>
          <w:b/>
          <w:bCs/>
          <w:color w:val="000000" w:themeColor="text1"/>
          <w:sz w:val="32"/>
          <w:szCs w:val="32"/>
          <w:lang w:bidi="ar"/>
          <w14:textFill>
            <w14:solidFill>
              <w14:schemeClr w14:val="tx1"/>
            </w14:solidFill>
          </w14:textFill>
        </w:rPr>
      </w:pPr>
      <w:bookmarkStart w:id="111" w:name="_Toc374718884_WPSOffice_Level3"/>
      <w:bookmarkStart w:id="112" w:name="_Toc477108515_WPSOffice_Level3"/>
      <w:bookmarkStart w:id="113" w:name="_Toc486409143_WPSOffice_Level3"/>
      <w:bookmarkStart w:id="114" w:name="_Toc312064614_WPSOffice_Level3"/>
      <w:r>
        <w:rPr>
          <w:rFonts w:hint="eastAsia" w:ascii="仿宋_GB2312" w:hAnsi="仿宋_GB2312" w:eastAsia="仿宋_GB2312" w:cs="仿宋_GB2312"/>
          <w:b/>
          <w:bCs/>
          <w:color w:val="000000" w:themeColor="text1"/>
          <w:sz w:val="32"/>
          <w:szCs w:val="32"/>
          <w:lang w:bidi="ar"/>
          <w14:textFill>
            <w14:solidFill>
              <w14:schemeClr w14:val="tx1"/>
            </w14:solidFill>
          </w14:textFill>
        </w:rPr>
        <w:t>3.撰写并报送评价报告阶段（</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9</w:t>
      </w:r>
      <w:r>
        <w:rPr>
          <w:rFonts w:hint="eastAsia" w:ascii="仿宋_GB2312" w:hAnsi="仿宋_GB2312" w:eastAsia="仿宋_GB2312" w:cs="仿宋_GB2312"/>
          <w:b/>
          <w:bCs/>
          <w:color w:val="000000" w:themeColor="text1"/>
          <w:sz w:val="32"/>
          <w:szCs w:val="32"/>
          <w:lang w:bidi="ar"/>
          <w14:textFill>
            <w14:solidFill>
              <w14:schemeClr w14:val="tx1"/>
            </w14:solidFill>
          </w14:textFill>
        </w:rPr>
        <w:t>月</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11日</w:t>
      </w:r>
      <w:r>
        <w:rPr>
          <w:rFonts w:hint="eastAsia" w:ascii="仿宋_GB2312" w:hAnsi="仿宋_GB2312" w:eastAsia="仿宋_GB2312" w:cs="仿宋_GB2312"/>
          <w:b/>
          <w:bCs/>
          <w:color w:val="000000" w:themeColor="text1"/>
          <w:sz w:val="32"/>
          <w:szCs w:val="32"/>
          <w:lang w:bidi="ar"/>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9</w:t>
      </w:r>
      <w:r>
        <w:rPr>
          <w:rFonts w:hint="eastAsia" w:ascii="仿宋_GB2312" w:hAnsi="仿宋_GB2312" w:eastAsia="仿宋_GB2312" w:cs="仿宋_GB2312"/>
          <w:b/>
          <w:bCs/>
          <w:color w:val="000000" w:themeColor="text1"/>
          <w:sz w:val="32"/>
          <w:szCs w:val="32"/>
          <w:lang w:bidi="ar"/>
          <w14:textFill>
            <w14:solidFill>
              <w14:schemeClr w14:val="tx1"/>
            </w14:solidFill>
          </w14:textFill>
        </w:rPr>
        <w:t>月</w:t>
      </w:r>
      <w:r>
        <w:rPr>
          <w:rFonts w:hint="eastAsia" w:ascii="仿宋_GB2312" w:hAnsi="仿宋_GB2312" w:eastAsia="仿宋_GB2312" w:cs="仿宋_GB2312"/>
          <w:b/>
          <w:bCs/>
          <w:color w:val="000000" w:themeColor="text1"/>
          <w:sz w:val="32"/>
          <w:szCs w:val="32"/>
          <w:lang w:val="en-US" w:eastAsia="zh-CN" w:bidi="ar"/>
          <w14:textFill>
            <w14:solidFill>
              <w14:schemeClr w14:val="tx1"/>
            </w14:solidFill>
          </w14:textFill>
        </w:rPr>
        <w:t>18</w:t>
      </w:r>
      <w:r>
        <w:rPr>
          <w:rFonts w:hint="eastAsia" w:ascii="仿宋_GB2312" w:hAnsi="仿宋_GB2312" w:eastAsia="仿宋_GB2312" w:cs="仿宋_GB2312"/>
          <w:b/>
          <w:bCs/>
          <w:color w:val="000000" w:themeColor="text1"/>
          <w:sz w:val="32"/>
          <w:szCs w:val="32"/>
          <w:lang w:bidi="ar"/>
          <w14:textFill>
            <w14:solidFill>
              <w14:schemeClr w14:val="tx1"/>
            </w14:solidFill>
          </w14:textFill>
        </w:rPr>
        <w:t>日）</w:t>
      </w:r>
      <w:bookmarkEnd w:id="111"/>
      <w:bookmarkEnd w:id="112"/>
      <w:bookmarkEnd w:id="113"/>
      <w:bookmarkEnd w:id="114"/>
    </w:p>
    <w:p>
      <w:pPr>
        <w:spacing w:line="580" w:lineRule="exact"/>
        <w:ind w:firstLine="640" w:firstLineChars="200"/>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根据现场评价意见和相关调研记录，对项目立项、绩效目标、资金投入、资金管理、组织实施、项目产出、项目效益等情况进行分析评价，撰写《2019年度枣庄市</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山亭区民兵训练基地升级改造</w:t>
      </w:r>
      <w:r>
        <w:rPr>
          <w:rFonts w:hint="eastAsia" w:ascii="仿宋_GB2312" w:hAnsi="仿宋_GB2312" w:eastAsia="仿宋_GB2312" w:cs="仿宋_GB2312"/>
          <w:color w:val="000000" w:themeColor="text1"/>
          <w:sz w:val="32"/>
          <w:szCs w:val="32"/>
          <w:lang w:bidi="ar"/>
          <w14:textFill>
            <w14:solidFill>
              <w14:schemeClr w14:val="tx1"/>
            </w14:solidFill>
          </w14:textFill>
        </w:rPr>
        <w:t>项目绩效评价报告》。针对评价过程中发现的问题，提出合理性建议和改进措施，报送委托方，并根据委托方的意见进一步修改完善报告。</w:t>
      </w:r>
    </w:p>
    <w:p>
      <w:pPr>
        <w:pStyle w:val="7"/>
        <w:spacing w:before="0" w:line="580" w:lineRule="exact"/>
        <w:ind w:left="0" w:firstLine="643"/>
        <w:outlineLvl w:val="0"/>
        <w:rPr>
          <w:rFonts w:ascii="黑体" w:hAnsi="黑体" w:eastAsia="黑体" w:cs="黑体"/>
          <w:b w:val="0"/>
          <w:bCs w:val="0"/>
          <w:color w:val="000000" w:themeColor="text1"/>
          <w:lang w:val="en-US" w:bidi="ar"/>
          <w14:textFill>
            <w14:solidFill>
              <w14:schemeClr w14:val="tx1"/>
            </w14:solidFill>
          </w14:textFill>
        </w:rPr>
      </w:pPr>
      <w:bookmarkStart w:id="115" w:name="_Toc1463832684"/>
      <w:bookmarkStart w:id="116" w:name="_Toc144366311_WPSOffice_Level1"/>
      <w:bookmarkStart w:id="117" w:name="_Toc4599"/>
      <w:bookmarkStart w:id="118" w:name="_Toc362314199_WPSOffice_Level1"/>
      <w:r>
        <w:rPr>
          <w:rFonts w:hint="eastAsia" w:ascii="黑体" w:hAnsi="黑体" w:eastAsia="黑体" w:cs="黑体"/>
          <w:b w:val="0"/>
          <w:bCs w:val="0"/>
          <w:color w:val="000000" w:themeColor="text1"/>
          <w:lang w:val="en-US" w:bidi="ar"/>
          <w14:textFill>
            <w14:solidFill>
              <w14:schemeClr w14:val="tx1"/>
            </w14:solidFill>
          </w14:textFill>
        </w:rPr>
        <w:t>四、评价结论</w:t>
      </w:r>
      <w:r>
        <w:rPr>
          <w:rFonts w:ascii="黑体" w:hAnsi="黑体" w:eastAsia="黑体" w:cs="黑体"/>
          <w:b w:val="0"/>
          <w:bCs w:val="0"/>
          <w:color w:val="000000" w:themeColor="text1"/>
          <w:lang w:val="en-US" w:bidi="ar"/>
          <w14:textFill>
            <w14:solidFill>
              <w14:schemeClr w14:val="tx1"/>
            </w14:solidFill>
          </w14:textFill>
        </w:rPr>
        <w:t>及分析</w:t>
      </w:r>
      <w:bookmarkEnd w:id="115"/>
      <w:bookmarkEnd w:id="116"/>
      <w:bookmarkEnd w:id="117"/>
      <w:bookmarkEnd w:id="118"/>
    </w:p>
    <w:p>
      <w:pPr>
        <w:overflowPunct/>
        <w:autoSpaceDE/>
        <w:autoSpaceDN/>
        <w:snapToGrid w:val="0"/>
        <w:spacing w:line="580" w:lineRule="exact"/>
        <w:ind w:firstLine="643"/>
        <w:textAlignment w:val="auto"/>
        <w:outlineLvl w:val="1"/>
        <w:rPr>
          <w:rFonts w:hint="eastAsia" w:ascii="楷体_GB2312" w:hAnsi="楷体_GB2312" w:eastAsia="楷体_GB2312" w:cs="楷体_GB2312"/>
          <w:b w:val="0"/>
          <w:bCs w:val="0"/>
          <w:color w:val="000000" w:themeColor="text1"/>
          <w:sz w:val="32"/>
          <w:szCs w:val="32"/>
          <w:lang w:bidi="ar"/>
          <w14:textFill>
            <w14:solidFill>
              <w14:schemeClr w14:val="tx1"/>
            </w14:solidFill>
          </w14:textFill>
        </w:rPr>
      </w:pPr>
      <w:bookmarkStart w:id="119" w:name="_Toc82953174_WPSOffice_Level2"/>
      <w:bookmarkStart w:id="120" w:name="_Toc169970199_WPSOffice_Level2"/>
      <w:bookmarkStart w:id="121" w:name="_Toc831770862_WPSOffice_Level2"/>
      <w:bookmarkStart w:id="122" w:name="_Toc1845066852_WPSOffice_Level2"/>
      <w:bookmarkStart w:id="123" w:name="_Toc2384"/>
      <w:r>
        <w:rPr>
          <w:rFonts w:hint="eastAsia" w:ascii="楷体_GB2312" w:hAnsi="楷体_GB2312" w:eastAsia="楷体_GB2312" w:cs="楷体_GB2312"/>
          <w:b w:val="0"/>
          <w:bCs w:val="0"/>
          <w:color w:val="000000" w:themeColor="text1"/>
          <w:sz w:val="32"/>
          <w:szCs w:val="32"/>
          <w:lang w:bidi="ar"/>
          <w14:textFill>
            <w14:solidFill>
              <w14:schemeClr w14:val="tx1"/>
            </w14:solidFill>
          </w14:textFill>
        </w:rPr>
        <w:t>（一）综合评价结论</w:t>
      </w:r>
      <w:bookmarkEnd w:id="119"/>
      <w:bookmarkEnd w:id="120"/>
      <w:bookmarkEnd w:id="121"/>
      <w:bookmarkEnd w:id="122"/>
      <w:bookmarkEnd w:id="123"/>
    </w:p>
    <w:p>
      <w:pPr>
        <w:spacing w:line="58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2019年度枣庄市</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山亭区民兵训练基地升级改造</w:t>
      </w:r>
      <w:r>
        <w:rPr>
          <w:rFonts w:hint="eastAsia" w:ascii="仿宋_GB2312" w:hAnsi="仿宋_GB2312" w:eastAsia="仿宋_GB2312" w:cs="仿宋_GB2312"/>
          <w:color w:val="000000" w:themeColor="text1"/>
          <w:sz w:val="32"/>
          <w:szCs w:val="32"/>
          <w:lang w:bidi="ar"/>
          <w14:textFill>
            <w14:solidFill>
              <w14:schemeClr w14:val="tx1"/>
            </w14:solidFill>
          </w14:textFill>
        </w:rPr>
        <w:t>项目综合得分为</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91.8</w:t>
      </w:r>
      <w:r>
        <w:rPr>
          <w:rFonts w:hint="eastAsia" w:ascii="仿宋_GB2312" w:hAnsi="仿宋_GB2312" w:eastAsia="仿宋_GB2312" w:cs="仿宋_GB2312"/>
          <w:color w:val="000000" w:themeColor="text1"/>
          <w:sz w:val="32"/>
          <w:szCs w:val="32"/>
          <w:lang w:bidi="ar"/>
          <w14:textFill>
            <w14:solidFill>
              <w14:schemeClr w14:val="tx1"/>
            </w14:solidFill>
          </w14:textFill>
        </w:rPr>
        <w:t>分，评价等级为“</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优</w:t>
      </w:r>
      <w:r>
        <w:rPr>
          <w:rFonts w:hint="eastAsia" w:ascii="仿宋_GB2312" w:hAnsi="仿宋_GB2312" w:eastAsia="仿宋_GB2312" w:cs="仿宋_GB2312"/>
          <w:color w:val="000000" w:themeColor="text1"/>
          <w:sz w:val="32"/>
          <w:szCs w:val="32"/>
          <w:lang w:bidi="ar"/>
          <w14:textFill>
            <w14:solidFill>
              <w14:schemeClr w14:val="tx1"/>
            </w14:solidFill>
          </w14:textFill>
        </w:rPr>
        <w:t>”。项目总体上立项依据充分、程序</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不够</w:t>
      </w:r>
      <w:r>
        <w:rPr>
          <w:rFonts w:hint="eastAsia" w:ascii="仿宋_GB2312" w:hAnsi="仿宋_GB2312" w:eastAsia="仿宋_GB2312" w:cs="仿宋_GB2312"/>
          <w:color w:val="000000" w:themeColor="text1"/>
          <w:sz w:val="32"/>
          <w:szCs w:val="32"/>
          <w:lang w:bidi="ar"/>
          <w14:textFill>
            <w14:solidFill>
              <w14:schemeClr w14:val="tx1"/>
            </w14:solidFill>
          </w14:textFill>
        </w:rPr>
        <w:t>规范，招投标管理、合同管理、项目进度和质量管理</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较为</w:t>
      </w:r>
      <w:r>
        <w:rPr>
          <w:rFonts w:hint="eastAsia" w:ascii="仿宋_GB2312" w:hAnsi="仿宋_GB2312" w:eastAsia="仿宋_GB2312" w:cs="仿宋_GB2312"/>
          <w:color w:val="000000" w:themeColor="text1"/>
          <w:sz w:val="32"/>
          <w:szCs w:val="32"/>
          <w:lang w:bidi="ar"/>
          <w14:textFill>
            <w14:solidFill>
              <w14:schemeClr w14:val="tx1"/>
            </w14:solidFill>
          </w14:textFill>
        </w:rPr>
        <w:t>规范，资金申请和拨付流程合规，且项目成效显著。一级指标得分情况详见下表。</w:t>
      </w:r>
    </w:p>
    <w:p>
      <w:pPr>
        <w:pStyle w:val="28"/>
        <w:spacing w:line="580" w:lineRule="exact"/>
        <w:ind w:firstLine="562" w:firstLineChars="200"/>
        <w:jc w:val="center"/>
        <w:rPr>
          <w:rFonts w:ascii="宋体" w:hAnsi="宋体" w:cs="宋体"/>
          <w:b/>
          <w:bCs/>
          <w:color w:val="000000" w:themeColor="text1"/>
          <w:sz w:val="28"/>
          <w:szCs w:val="28"/>
          <w14:textFill>
            <w14:solidFill>
              <w14:schemeClr w14:val="tx1"/>
            </w14:solidFill>
          </w14:textFill>
        </w:rPr>
      </w:pPr>
      <w:bookmarkStart w:id="124" w:name="_Toc1273555566_WPSOffice_Level2"/>
      <w:bookmarkStart w:id="125" w:name="_Toc1601819311_WPSOffice_Level2"/>
      <w:bookmarkStart w:id="126" w:name="_Toc535884083_WPSOffice_Level2"/>
      <w:r>
        <w:rPr>
          <w:rFonts w:hint="eastAsia" w:ascii="宋体" w:hAnsi="宋体" w:cs="宋体"/>
          <w:b/>
          <w:bCs/>
          <w:color w:val="000000" w:themeColor="text1"/>
          <w:sz w:val="28"/>
          <w:szCs w:val="28"/>
          <w14:textFill>
            <w14:solidFill>
              <w14:schemeClr w14:val="tx1"/>
            </w14:solidFill>
          </w14:textFill>
        </w:rPr>
        <w:t>表</w:t>
      </w:r>
      <w:r>
        <w:rPr>
          <w:rFonts w:ascii="宋体" w:hAnsi="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14:textFill>
            <w14:solidFill>
              <w14:schemeClr w14:val="tx1"/>
            </w14:solidFill>
          </w14:textFill>
        </w:rPr>
        <w:t>：“雪亮工程”建设</w:t>
      </w:r>
      <w:r>
        <w:rPr>
          <w:rFonts w:ascii="宋体" w:hAnsi="宋体" w:cs="宋体"/>
          <w:b/>
          <w:bCs/>
          <w:color w:val="000000" w:themeColor="text1"/>
          <w:sz w:val="28"/>
          <w:szCs w:val="28"/>
          <w14:textFill>
            <w14:solidFill>
              <w14:schemeClr w14:val="tx1"/>
            </w14:solidFill>
          </w14:textFill>
        </w:rPr>
        <w:t>项目</w:t>
      </w:r>
      <w:r>
        <w:rPr>
          <w:rFonts w:hint="eastAsia" w:ascii="宋体" w:hAnsi="宋体" w:cs="宋体"/>
          <w:b/>
          <w:bCs/>
          <w:color w:val="000000" w:themeColor="text1"/>
          <w:sz w:val="28"/>
          <w:szCs w:val="28"/>
          <w14:textFill>
            <w14:solidFill>
              <w14:schemeClr w14:val="tx1"/>
            </w14:solidFill>
          </w14:textFill>
        </w:rPr>
        <w:t>绩效评价得分表</w:t>
      </w:r>
      <w:bookmarkEnd w:id="124"/>
      <w:bookmarkEnd w:id="125"/>
      <w:bookmarkEnd w:id="126"/>
    </w:p>
    <w:tbl>
      <w:tblPr>
        <w:tblStyle w:val="18"/>
        <w:tblW w:w="9071" w:type="dxa"/>
        <w:tblInd w:w="0" w:type="dxa"/>
        <w:tblLayout w:type="fixed"/>
        <w:tblCellMar>
          <w:top w:w="0" w:type="dxa"/>
          <w:left w:w="0" w:type="dxa"/>
          <w:bottom w:w="0" w:type="dxa"/>
          <w:right w:w="0" w:type="dxa"/>
        </w:tblCellMar>
      </w:tblPr>
      <w:tblGrid>
        <w:gridCol w:w="2584"/>
        <w:gridCol w:w="2162"/>
        <w:gridCol w:w="2162"/>
        <w:gridCol w:w="2163"/>
      </w:tblGrid>
      <w:tr>
        <w:tblPrEx>
          <w:tblCellMar>
            <w:top w:w="0" w:type="dxa"/>
            <w:left w:w="0" w:type="dxa"/>
            <w:bottom w:w="0" w:type="dxa"/>
            <w:right w:w="0" w:type="dxa"/>
          </w:tblCellMar>
        </w:tblPrEx>
        <w:trPr>
          <w:trHeight w:val="306"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评价内容</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分值</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得分</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得分率</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ascii="宋体" w:hAnsi="宋体" w:cs="宋体"/>
                <w:color w:val="000000" w:themeColor="text1"/>
                <w:lang w:bidi="ar"/>
                <w14:textFill>
                  <w14:solidFill>
                    <w14:schemeClr w14:val="tx1"/>
                  </w14:solidFill>
                </w14:textFill>
              </w:rPr>
              <w:t>决策</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000000" w:themeColor="text1"/>
                <w:lang w:eastAsia="zh-CN"/>
                <w14:textFill>
                  <w14:solidFill>
                    <w14:schemeClr w14:val="tx1"/>
                  </w14:solidFill>
                </w14:textFill>
              </w:rPr>
            </w:pPr>
            <w:r>
              <w:rPr>
                <w:rFonts w:ascii="宋体" w:hAnsi="宋体" w:cs="宋体"/>
                <w:color w:val="000000" w:themeColor="text1"/>
                <w:lang w:bidi="ar"/>
                <w14:textFill>
                  <w14:solidFill>
                    <w14:schemeClr w14:val="tx1"/>
                  </w14:solidFill>
                </w14:textFill>
              </w:rPr>
              <w:t>1</w:t>
            </w:r>
            <w:r>
              <w:rPr>
                <w:rFonts w:hint="eastAsia" w:ascii="宋体" w:hAnsi="宋体" w:cs="宋体"/>
                <w:color w:val="000000" w:themeColor="text1"/>
                <w:lang w:val="en-US" w:eastAsia="zh-CN" w:bidi="ar"/>
                <w14:textFill>
                  <w14:solidFill>
                    <w14:schemeClr w14:val="tx1"/>
                  </w14:solidFill>
                </w14:textFill>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11.9</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77.33</w:t>
            </w:r>
            <w:r>
              <w:rPr>
                <w:rFonts w:ascii="宋体" w:hAnsi="宋体" w:cs="宋体"/>
                <w:color w:val="000000" w:themeColor="text1"/>
                <w14:textFill>
                  <w14:solidFill>
                    <w14:schemeClr w14:val="tx1"/>
                  </w14:solidFill>
                </w14:textFill>
              </w:rPr>
              <w:t>%</w:t>
            </w:r>
          </w:p>
        </w:tc>
      </w:tr>
      <w:tr>
        <w:tblPrEx>
          <w:tblCellMar>
            <w:top w:w="0" w:type="dxa"/>
            <w:left w:w="0" w:type="dxa"/>
            <w:bottom w:w="0" w:type="dxa"/>
            <w:right w:w="0" w:type="dxa"/>
          </w:tblCellMar>
        </w:tblPrEx>
        <w:trPr>
          <w:cantSplit/>
          <w:trHeight w:val="403"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过程</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000000" w:themeColor="text1"/>
                <w:lang w:eastAsia="zh-CN"/>
                <w14:textFill>
                  <w14:solidFill>
                    <w14:schemeClr w14:val="tx1"/>
                  </w14:solidFill>
                </w14:textFill>
              </w:rPr>
            </w:pPr>
            <w:r>
              <w:rPr>
                <w:rFonts w:ascii="宋体" w:hAnsi="宋体" w:cs="宋体"/>
                <w:color w:val="000000" w:themeColor="text1"/>
                <w:lang w:bidi="ar"/>
                <w14:textFill>
                  <w14:solidFill>
                    <w14:schemeClr w14:val="tx1"/>
                  </w14:solidFill>
                </w14:textFill>
              </w:rPr>
              <w:t>2</w:t>
            </w:r>
            <w:r>
              <w:rPr>
                <w:rFonts w:hint="eastAsia" w:ascii="宋体" w:hAnsi="宋体" w:cs="宋体"/>
                <w:color w:val="000000" w:themeColor="text1"/>
                <w:lang w:val="en-US" w:eastAsia="zh-CN" w:bidi="ar"/>
                <w14:textFill>
                  <w14:solidFill>
                    <w14:schemeClr w14:val="tx1"/>
                  </w14:solidFill>
                </w14:textFill>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22.4</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89.6</w:t>
            </w:r>
            <w:r>
              <w:rPr>
                <w:rFonts w:ascii="宋体" w:hAnsi="宋体" w:cs="宋体"/>
                <w:color w:val="000000" w:themeColor="text1"/>
                <w14:textFill>
                  <w14:solidFill>
                    <w14:schemeClr w14:val="tx1"/>
                  </w14:solidFill>
                </w14:textFill>
              </w:rPr>
              <w:t>%</w:t>
            </w:r>
          </w:p>
        </w:tc>
      </w:tr>
      <w:tr>
        <w:tblPrEx>
          <w:tblCellMar>
            <w:top w:w="0" w:type="dxa"/>
            <w:left w:w="0" w:type="dxa"/>
            <w:bottom w:w="0" w:type="dxa"/>
            <w:right w:w="0" w:type="dxa"/>
          </w:tblCellMar>
        </w:tblPrEx>
        <w:trPr>
          <w:cantSplit/>
          <w:trHeight w:val="394"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产出</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000000" w:themeColor="text1"/>
                <w:lang w:eastAsia="zh-CN"/>
                <w14:textFill>
                  <w14:solidFill>
                    <w14:schemeClr w14:val="tx1"/>
                  </w14:solidFill>
                </w14:textFill>
              </w:rPr>
            </w:pPr>
            <w:r>
              <w:rPr>
                <w:rFonts w:ascii="宋体" w:hAnsi="宋体" w:cs="宋体"/>
                <w:color w:val="000000" w:themeColor="text1"/>
                <w14:textFill>
                  <w14:solidFill>
                    <w14:schemeClr w14:val="tx1"/>
                  </w14:solidFill>
                </w14:textFill>
              </w:rPr>
              <w:t>3</w:t>
            </w:r>
            <w:r>
              <w:rPr>
                <w:rFonts w:hint="eastAsia" w:ascii="宋体" w:hAnsi="宋体" w:cs="宋体"/>
                <w:color w:val="000000" w:themeColor="text1"/>
                <w:lang w:val="en-US" w:eastAsia="zh-CN"/>
                <w14:textFill>
                  <w14:solidFill>
                    <w14:schemeClr w14:val="tx1"/>
                  </w14:solidFill>
                </w14:textFill>
              </w:rPr>
              <w:t>0</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27.5</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91.67</w:t>
            </w:r>
            <w:r>
              <w:rPr>
                <w:rFonts w:ascii="宋体" w:hAnsi="宋体" w:cs="宋体"/>
                <w:color w:val="000000" w:themeColor="text1"/>
                <w14:textFill>
                  <w14:solidFill>
                    <w14:schemeClr w14:val="tx1"/>
                  </w14:solidFill>
                </w14:textFill>
              </w:rPr>
              <w:t>%</w:t>
            </w:r>
          </w:p>
        </w:tc>
      </w:tr>
      <w:tr>
        <w:tblPrEx>
          <w:tblCellMar>
            <w:top w:w="0" w:type="dxa"/>
            <w:left w:w="0" w:type="dxa"/>
            <w:bottom w:w="0" w:type="dxa"/>
            <w:right w:w="0" w:type="dxa"/>
          </w:tblCellMar>
        </w:tblPrEx>
        <w:trPr>
          <w:cantSplit/>
          <w:trHeight w:val="397"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效果</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bidi="ar"/>
                <w14:textFill>
                  <w14:solidFill>
                    <w14:schemeClr w14:val="tx1"/>
                  </w14:solidFill>
                </w14:textFill>
              </w:rPr>
              <w:t>30</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30</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100</w:t>
            </w:r>
            <w:r>
              <w:rPr>
                <w:rFonts w:ascii="宋体" w:hAnsi="宋体" w:cs="宋体"/>
                <w:color w:val="000000" w:themeColor="text1"/>
                <w14:textFill>
                  <w14:solidFill>
                    <w14:schemeClr w14:val="tx1"/>
                  </w14:solidFill>
                </w14:textFill>
              </w:rPr>
              <w:t>%</w:t>
            </w:r>
          </w:p>
        </w:tc>
      </w:tr>
      <w:tr>
        <w:tblPrEx>
          <w:tblCellMar>
            <w:top w:w="0" w:type="dxa"/>
            <w:left w:w="0" w:type="dxa"/>
            <w:bottom w:w="0" w:type="dxa"/>
            <w:right w:w="0" w:type="dxa"/>
          </w:tblCellMar>
        </w:tblPrEx>
        <w:trPr>
          <w:cantSplit/>
          <w:trHeight w:val="258" w:hRule="atLeast"/>
        </w:trPr>
        <w:tc>
          <w:tcPr>
            <w:tcW w:w="25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lang w:bidi="ar"/>
                <w14:textFill>
                  <w14:solidFill>
                    <w14:schemeClr w14:val="tx1"/>
                  </w14:solidFill>
                </w14:textFill>
              </w:rPr>
              <w:t>综合得分</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color w:val="000000" w:themeColor="text1"/>
                <w14:textFill>
                  <w14:solidFill>
                    <w14:schemeClr w14:val="tx1"/>
                  </w14:solidFill>
                </w14:textFill>
              </w:rPr>
            </w:pPr>
            <w:r>
              <w:rPr>
                <w:rFonts w:ascii="宋体" w:hAnsi="宋体" w:cs="宋体"/>
                <w:b/>
                <w:bCs/>
                <w:color w:val="000000" w:themeColor="text1"/>
                <w:lang w:bidi="ar"/>
                <w14:textFill>
                  <w14:solidFill>
                    <w14:schemeClr w14:val="tx1"/>
                  </w14:solidFill>
                </w14:textFill>
              </w:rPr>
              <w:t>100</w:t>
            </w: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b/>
                <w:bCs/>
                <w:color w:val="000000" w:themeColor="text1"/>
                <w:lang w:val="en-US" w:eastAsia="zh-CN"/>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91.8</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lang w:val="en-US" w:eastAsia="zh-CN"/>
                <w14:textFill>
                  <w14:solidFill>
                    <w14:schemeClr w14:val="tx1"/>
                  </w14:solidFill>
                </w14:textFill>
              </w:rPr>
              <w:t>91.8</w:t>
            </w:r>
            <w:r>
              <w:rPr>
                <w:rFonts w:ascii="宋体" w:hAnsi="宋体" w:cs="宋体"/>
                <w:b/>
                <w:bCs/>
                <w:color w:val="000000" w:themeColor="text1"/>
                <w14:textFill>
                  <w14:solidFill>
                    <w14:schemeClr w14:val="tx1"/>
                  </w14:solidFill>
                </w14:textFill>
              </w:rPr>
              <w:t>%</w:t>
            </w:r>
          </w:p>
        </w:tc>
      </w:tr>
    </w:tbl>
    <w:p>
      <w:pPr>
        <w:overflowPunct/>
        <w:autoSpaceDE/>
        <w:autoSpaceDN/>
        <w:snapToGrid w:val="0"/>
        <w:spacing w:line="580" w:lineRule="exact"/>
        <w:ind w:firstLine="643"/>
        <w:textAlignment w:val="auto"/>
        <w:outlineLvl w:val="1"/>
        <w:rPr>
          <w:rFonts w:hint="eastAsia" w:ascii="楷体_GB2312" w:hAnsi="楷体_GB2312" w:eastAsia="楷体_GB2312" w:cs="楷体_GB2312"/>
          <w:b w:val="0"/>
          <w:bCs w:val="0"/>
          <w:color w:val="000000" w:themeColor="text1"/>
          <w:sz w:val="32"/>
          <w:szCs w:val="32"/>
          <w:lang w:bidi="ar"/>
          <w14:textFill>
            <w14:solidFill>
              <w14:schemeClr w14:val="tx1"/>
            </w14:solidFill>
          </w14:textFill>
        </w:rPr>
      </w:pPr>
      <w:bookmarkStart w:id="127" w:name="_Toc57367463_WPSOffice_Level2"/>
      <w:bookmarkStart w:id="128" w:name="_Toc5807"/>
      <w:bookmarkStart w:id="129" w:name="_Toc922161185_WPSOffice_Level2"/>
      <w:bookmarkStart w:id="130" w:name="_Toc477108515_WPSOffice_Level2"/>
      <w:bookmarkStart w:id="131" w:name="_Toc374718884_WPSOffice_Level2"/>
      <w:bookmarkStart w:id="132" w:name="_Toc16779"/>
      <w:bookmarkStart w:id="133" w:name="_Toc1063259956"/>
      <w:bookmarkStart w:id="134" w:name="_Toc16622"/>
      <w:r>
        <w:rPr>
          <w:rFonts w:hint="eastAsia" w:ascii="楷体_GB2312" w:hAnsi="楷体_GB2312" w:eastAsia="楷体_GB2312" w:cs="楷体_GB2312"/>
          <w:b w:val="0"/>
          <w:bCs w:val="0"/>
          <w:color w:val="000000" w:themeColor="text1"/>
          <w:sz w:val="32"/>
          <w:szCs w:val="32"/>
          <w:lang w:bidi="ar"/>
          <w14:textFill>
            <w14:solidFill>
              <w14:schemeClr w14:val="tx1"/>
            </w14:solidFill>
          </w14:textFill>
        </w:rPr>
        <w:t>（二）各指标得分情况</w:t>
      </w:r>
      <w:bookmarkEnd w:id="127"/>
      <w:bookmarkEnd w:id="128"/>
      <w:bookmarkEnd w:id="129"/>
      <w:bookmarkEnd w:id="130"/>
      <w:bookmarkEnd w:id="131"/>
      <w:bookmarkEnd w:id="132"/>
      <w:bookmarkEnd w:id="133"/>
      <w:bookmarkEnd w:id="134"/>
    </w:p>
    <w:p>
      <w:pPr>
        <w:spacing w:line="580" w:lineRule="exact"/>
        <w:ind w:firstLine="643"/>
        <w:rPr>
          <w:rFonts w:ascii="仿宋_GB2312" w:hAnsi="仿宋_GB2312" w:eastAsia="仿宋_GB2312" w:cs="仿宋_GB2312"/>
          <w:b w:val="0"/>
          <w:bCs w:val="0"/>
          <w:color w:val="000000" w:themeColor="text1"/>
          <w:sz w:val="32"/>
          <w:szCs w:val="32"/>
          <w:lang w:bidi="ar"/>
          <w14:textFill>
            <w14:solidFill>
              <w14:schemeClr w14:val="tx1"/>
            </w14:solidFill>
          </w14:textFill>
        </w:rPr>
      </w:pPr>
      <w:bookmarkStart w:id="135" w:name="_Toc714901524_WPSOffice_Level3"/>
      <w:bookmarkStart w:id="136" w:name="_Toc58873707_WPSOffice_Level3"/>
      <w:bookmarkStart w:id="137" w:name="_Toc1478230384_WPSOffice_Level3"/>
      <w:bookmarkStart w:id="138" w:name="_Toc1755705919_WPSOffice_Level3"/>
      <w:r>
        <w:rPr>
          <w:rFonts w:ascii="仿宋_GB2312" w:hAnsi="仿宋_GB2312" w:eastAsia="仿宋_GB2312" w:cs="仿宋_GB2312"/>
          <w:b w:val="0"/>
          <w:bCs w:val="0"/>
          <w:color w:val="000000" w:themeColor="text1"/>
          <w:sz w:val="32"/>
          <w:szCs w:val="32"/>
          <w:lang w:bidi="ar"/>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决策指标</w:t>
      </w:r>
      <w:bookmarkEnd w:id="135"/>
      <w:bookmarkEnd w:id="136"/>
      <w:bookmarkEnd w:id="137"/>
      <w:bookmarkEnd w:id="138"/>
    </w:p>
    <w:p>
      <w:pPr>
        <w:snapToGrid w:val="0"/>
        <w:spacing w:line="580" w:lineRule="atLeast"/>
        <w:ind w:firstLine="562" w:firstLineChars="200"/>
        <w:jc w:val="center"/>
        <w:outlineLvl w:val="1"/>
        <w:rPr>
          <w:rFonts w:asciiTheme="minorEastAsia" w:hAnsiTheme="minorEastAsia" w:eastAsiaTheme="minorEastAsia"/>
          <w:b/>
          <w:bCs/>
          <w:color w:val="000000" w:themeColor="text1"/>
          <w:sz w:val="28"/>
          <w:szCs w:val="28"/>
          <w14:textFill>
            <w14:solidFill>
              <w14:schemeClr w14:val="tx1"/>
            </w14:solidFill>
          </w14:textFill>
        </w:rPr>
      </w:pPr>
      <w:bookmarkStart w:id="139" w:name="_Toc491898680_WPSOffice_Level2"/>
      <w:bookmarkStart w:id="140" w:name="_Toc30713"/>
      <w:bookmarkStart w:id="141" w:name="_Toc7586"/>
      <w:bookmarkStart w:id="142" w:name="_Toc2102276785_WPSOffice_Level2"/>
      <w:bookmarkStart w:id="143" w:name="_Toc373555896_WPSOffice_Level2"/>
      <w:bookmarkStart w:id="144" w:name="_Toc998653805"/>
      <w:r>
        <w:rPr>
          <w:rFonts w:asciiTheme="minorEastAsia" w:hAnsiTheme="minorEastAsia" w:eastAsiaTheme="minorEastAsia"/>
          <w:b/>
          <w:bCs/>
          <w:color w:val="000000" w:themeColor="text1"/>
          <w:sz w:val="28"/>
          <w:szCs w:val="28"/>
          <w14:textFill>
            <w14:solidFill>
              <w14:schemeClr w14:val="tx1"/>
            </w14:solidFill>
          </w14:textFill>
        </w:rPr>
        <w:t>表4：决策指标得分情况表</w:t>
      </w:r>
      <w:bookmarkEnd w:id="139"/>
      <w:bookmarkEnd w:id="140"/>
      <w:bookmarkEnd w:id="141"/>
      <w:bookmarkEnd w:id="142"/>
      <w:bookmarkEnd w:id="143"/>
      <w:bookmarkEnd w:id="144"/>
    </w:p>
    <w:tbl>
      <w:tblPr>
        <w:tblStyle w:val="18"/>
        <w:tblW w:w="9338" w:type="dxa"/>
        <w:jc w:val="center"/>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shd w:val="clear" w:color="auto" w:fill="auto"/>
          <w:tblCellMar>
            <w:top w:w="0" w:type="dxa"/>
            <w:left w:w="0" w:type="dxa"/>
            <w:bottom w:w="0" w:type="dxa"/>
            <w:right w:w="0" w:type="dxa"/>
          </w:tblCellMar>
        </w:tblPrEx>
        <w:trPr>
          <w:trHeight w:val="760"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二级指标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三级指标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r>
      <w:tr>
        <w:tblPrEx>
          <w:shd w:val="clear" w:color="auto" w:fill="auto"/>
          <w:tblCellMar>
            <w:top w:w="0" w:type="dxa"/>
            <w:left w:w="0" w:type="dxa"/>
            <w:bottom w:w="0" w:type="dxa"/>
            <w:right w:w="0" w:type="dxa"/>
          </w:tblCellMar>
        </w:tblPrEx>
        <w:trPr>
          <w:trHeight w:val="460" w:hRule="atLeast"/>
          <w:jc w:val="center"/>
        </w:trPr>
        <w:tc>
          <w:tcPr>
            <w:tcW w:w="56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决策</w:t>
            </w:r>
          </w:p>
        </w:tc>
        <w:tc>
          <w:tcPr>
            <w:tcW w:w="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5</w:t>
            </w:r>
          </w:p>
        </w:tc>
        <w:tc>
          <w:tcPr>
            <w:tcW w:w="6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11.9</w:t>
            </w:r>
          </w:p>
        </w:tc>
        <w:tc>
          <w:tcPr>
            <w:tcW w:w="66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77.33</w:t>
            </w:r>
            <w:r>
              <w:rPr>
                <w:rFonts w:hint="eastAsia" w:asciiTheme="minorEastAsia" w:hAnsiTheme="minorEastAsia" w:eastAsiaTheme="minorEastAsia" w:cstheme="minorEastAsia"/>
                <w:color w:val="000000" w:themeColor="text1"/>
                <w14:textFill>
                  <w14:solidFill>
                    <w14:schemeClr w14:val="tx1"/>
                  </w14:solidFill>
                </w14:textFill>
              </w:rPr>
              <w:t>%</w:t>
            </w: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项目立项</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4</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1.9</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47.5</w:t>
            </w:r>
            <w:r>
              <w:rPr>
                <w:rFonts w:hint="eastAsia" w:asciiTheme="minorEastAsia" w:hAnsiTheme="minorEastAsia" w:eastAsiaTheme="minorEastAsia" w:cstheme="minorEastAsia"/>
                <w:color w:val="000000" w:themeColor="text1"/>
                <w14:textFill>
                  <w14:solidFill>
                    <w14:schemeClr w14:val="tx1"/>
                  </w14:solidFill>
                </w14:textFill>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项目立项依据充分性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100%</w:t>
            </w:r>
          </w:p>
        </w:tc>
      </w:tr>
      <w:tr>
        <w:tblPrEx>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项目立项程序规范性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0.9</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22.5</w:t>
            </w:r>
            <w:r>
              <w:rPr>
                <w:rFonts w:hint="eastAsia" w:asciiTheme="minorEastAsia" w:hAnsiTheme="minorEastAsia" w:eastAsiaTheme="minorEastAsia" w:cstheme="minorEastAsia"/>
                <w:color w:val="000000" w:themeColor="text1"/>
                <w14:textFill>
                  <w14:solidFill>
                    <w14:schemeClr w14:val="tx1"/>
                  </w14:solidFill>
                </w14:textFill>
              </w:rPr>
              <w:t>%</w:t>
            </w:r>
          </w:p>
        </w:tc>
      </w:tr>
      <w:tr>
        <w:tblPrEx>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绩效目标</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4</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4</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14:textFill>
                  <w14:solidFill>
                    <w14:schemeClr w14:val="tx1"/>
                  </w14:solidFill>
                </w14:textFill>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绩效目标合理性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100%</w:t>
            </w:r>
          </w:p>
        </w:tc>
      </w:tr>
      <w:tr>
        <w:tblPrEx>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highlight w:val="yellow"/>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绩效指标明确性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100%</w:t>
            </w:r>
          </w:p>
        </w:tc>
      </w:tr>
      <w:tr>
        <w:tblPrEx>
          <w:tblCellMar>
            <w:top w:w="0" w:type="dxa"/>
            <w:left w:w="0" w:type="dxa"/>
            <w:bottom w:w="0" w:type="dxa"/>
            <w:right w:w="0" w:type="dxa"/>
          </w:tblCellMar>
        </w:tblPrEx>
        <w:trPr>
          <w:trHeight w:val="460" w:hRule="atLeast"/>
          <w:jc w:val="center"/>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资金投入</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7</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6</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85.71</w:t>
            </w:r>
            <w:r>
              <w:rPr>
                <w:rFonts w:hint="eastAsia" w:asciiTheme="minorEastAsia" w:hAnsiTheme="minorEastAsia" w:eastAsiaTheme="minorEastAsia" w:cstheme="minorEastAsia"/>
                <w:color w:val="000000" w:themeColor="text1"/>
                <w:lang w:bidi="ar"/>
                <w14:textFill>
                  <w14:solidFill>
                    <w14:schemeClr w14:val="tx1"/>
                  </w14:solidFill>
                </w14:textFill>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预算编制科学性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66.66</w:t>
            </w:r>
            <w:r>
              <w:rPr>
                <w:rFonts w:hint="eastAsia" w:asciiTheme="minorEastAsia" w:hAnsiTheme="minorEastAsia" w:eastAsiaTheme="minorEastAsia" w:cstheme="minorEastAsia"/>
                <w:color w:val="000000" w:themeColor="text1"/>
                <w14:textFill>
                  <w14:solidFill>
                    <w14:schemeClr w14:val="tx1"/>
                  </w14:solidFill>
                </w14:textFill>
              </w:rPr>
              <w:t>%</w:t>
            </w:r>
          </w:p>
        </w:tc>
      </w:tr>
      <w:tr>
        <w:tblPrEx>
          <w:tblCellMar>
            <w:top w:w="0" w:type="dxa"/>
            <w:left w:w="0" w:type="dxa"/>
            <w:bottom w:w="0" w:type="dxa"/>
            <w:right w:w="0" w:type="dxa"/>
          </w:tblCellMar>
        </w:tblPrEx>
        <w:trPr>
          <w:trHeight w:val="460" w:hRule="atLeast"/>
          <w:jc w:val="center"/>
        </w:trPr>
        <w:tc>
          <w:tcPr>
            <w:tcW w:w="561"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636"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624"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66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bidi="ar"/>
                <w14:textFill>
                  <w14:solidFill>
                    <w14:schemeClr w14:val="tx1"/>
                  </w14:solidFill>
                </w14:textFill>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资金非配合理性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100%</w:t>
            </w:r>
          </w:p>
        </w:tc>
      </w:tr>
    </w:tbl>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bookmarkStart w:id="145" w:name="_Toc1676557457_WPSOffice_Level2"/>
      <w:bookmarkStart w:id="146" w:name="_Toc417481404_WPSOffice_Level2"/>
      <w:bookmarkStart w:id="147" w:name="_Toc1259243891_WPSOffice_Level2"/>
      <w:r>
        <w:rPr>
          <w:rFonts w:hint="eastAsia" w:ascii="仿宋_GB2312" w:hAnsi="仿宋_GB2312" w:eastAsia="仿宋_GB2312" w:cs="仿宋_GB2312"/>
          <w:color w:val="000000" w:themeColor="text1"/>
          <w:sz w:val="32"/>
          <w:szCs w:val="32"/>
          <w:lang w:bidi="ar"/>
          <w14:textFill>
            <w14:solidFill>
              <w14:schemeClr w14:val="tx1"/>
            </w14:solidFill>
          </w14:textFill>
        </w:rPr>
        <w:t>（1）项目立项</w:t>
      </w:r>
      <w:bookmarkEnd w:id="145"/>
      <w:bookmarkEnd w:id="146"/>
      <w:bookmarkEnd w:id="147"/>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①</w:t>
      </w:r>
      <w:r>
        <w:rPr>
          <w:rFonts w:ascii="仿宋_GB2312" w:hAnsi="仿宋_GB2312" w:eastAsia="仿宋_GB2312" w:cs="仿宋_GB2312"/>
          <w:color w:val="000000" w:themeColor="text1"/>
          <w:sz w:val="32"/>
          <w:szCs w:val="32"/>
          <w:lang w:bidi="ar"/>
          <w14:textFill>
            <w14:solidFill>
              <w14:schemeClr w14:val="tx1"/>
            </w14:solidFill>
          </w14:textFill>
        </w:rPr>
        <w:t>项目立项依据充分性</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一是项目立项符合</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山东省国防动员委员会《关于推进近期国防动员重点工作落实的实施意见》（鲁国动【2019】13号）</w:t>
      </w:r>
      <w:r>
        <w:rPr>
          <w:rFonts w:hint="eastAsia" w:ascii="仿宋_GB2312" w:hAnsi="仿宋_GB2312" w:eastAsia="仿宋_GB2312" w:cs="仿宋_GB2312"/>
          <w:color w:val="000000" w:themeColor="text1"/>
          <w:sz w:val="32"/>
          <w:szCs w:val="32"/>
          <w:lang w:bidi="ar"/>
          <w14:textFill>
            <w14:solidFill>
              <w14:schemeClr w14:val="tx1"/>
            </w14:solidFill>
          </w14:textFill>
        </w:rPr>
        <w:t>文件要求。</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为全面提高国防后备力量建设的发展需要，切实提高民兵的政治素质及军事素质，培养一支“召之即来、来之能战、战之能胜”的民兵队伍，经山亭区领导同意选定民兵训练基地位置，由山亭区人武部负责组织并实施，</w:t>
      </w:r>
      <w:r>
        <w:rPr>
          <w:rFonts w:hint="eastAsia" w:ascii="仿宋_GB2312" w:hAnsi="仿宋_GB2312" w:eastAsia="仿宋_GB2312" w:cs="仿宋_GB2312"/>
          <w:color w:val="000000" w:themeColor="text1"/>
          <w:sz w:val="32"/>
          <w:szCs w:val="32"/>
          <w:lang w:bidi="ar"/>
          <w14:textFill>
            <w14:solidFill>
              <w14:schemeClr w14:val="tx1"/>
            </w14:solidFill>
          </w14:textFill>
        </w:rPr>
        <w:t>立项依据充分。</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二是项目立项与部门职责范围相符，属于部门履职所需。本项目主要由</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山亭区人武部</w:t>
      </w:r>
      <w:r>
        <w:rPr>
          <w:rFonts w:hint="eastAsia" w:ascii="仿宋_GB2312" w:hAnsi="仿宋_GB2312" w:eastAsia="仿宋_GB2312" w:cs="仿宋_GB2312"/>
          <w:color w:val="000000" w:themeColor="text1"/>
          <w:sz w:val="32"/>
          <w:szCs w:val="32"/>
          <w:lang w:bidi="ar"/>
          <w14:textFill>
            <w14:solidFill>
              <w14:schemeClr w14:val="tx1"/>
            </w14:solidFill>
          </w14:textFill>
        </w:rPr>
        <w:t>组织实施，项目立项与部门的职责范围相符。</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三是项目与相关部门同类项目或部门内部相关项目不重复。经过查阅相关项目批复文件，评价发现项目与相关部门同类项目或部门内部相关项目不重复。</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②立项程序规范性</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项目申报批复程序规范。枣庄</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市山亭区人武部于2019年2月12日向区政府提交了《关于升级改造山亭区民兵训练基地经费的请示》，并通过区领导批示</w:t>
      </w:r>
      <w:r>
        <w:rPr>
          <w:rFonts w:hint="eastAsia" w:ascii="仿宋_GB2312" w:hAnsi="仿宋_GB2312" w:eastAsia="仿宋_GB2312" w:cs="仿宋_GB2312"/>
          <w:color w:val="000000" w:themeColor="text1"/>
          <w:sz w:val="32"/>
          <w:szCs w:val="32"/>
          <w:lang w:bidi="ar"/>
          <w14:textFill>
            <w14:solidFill>
              <w14:schemeClr w14:val="tx1"/>
            </w14:solidFill>
          </w14:textFill>
        </w:rPr>
        <w:t>。枣庄</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市山亭区人武部未提交其他立项材料，</w:t>
      </w:r>
      <w:r>
        <w:rPr>
          <w:rFonts w:hint="eastAsia" w:ascii="仿宋_GB2312" w:hAnsi="仿宋_GB2312" w:eastAsia="仿宋_GB2312" w:cs="仿宋_GB2312"/>
          <w:color w:val="000000" w:themeColor="text1"/>
          <w:sz w:val="32"/>
          <w:szCs w:val="32"/>
          <w:lang w:bidi="ar"/>
          <w14:textFill>
            <w14:solidFill>
              <w14:schemeClr w14:val="tx1"/>
            </w14:solidFill>
          </w14:textFill>
        </w:rPr>
        <w:t>项目立项申报程序</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不够</w:t>
      </w:r>
      <w:r>
        <w:rPr>
          <w:rFonts w:hint="eastAsia" w:ascii="仿宋_GB2312" w:hAnsi="仿宋_GB2312" w:eastAsia="仿宋_GB2312" w:cs="仿宋_GB2312"/>
          <w:color w:val="000000" w:themeColor="text1"/>
          <w:sz w:val="32"/>
          <w:szCs w:val="32"/>
          <w:lang w:bidi="ar"/>
          <w14:textFill>
            <w14:solidFill>
              <w14:schemeClr w14:val="tx1"/>
            </w14:solidFill>
          </w14:textFill>
        </w:rPr>
        <w:t>规范。</w:t>
      </w:r>
    </w:p>
    <w:p>
      <w:pPr>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bookmarkStart w:id="148" w:name="_Toc780882279_WPSOffice_Level2"/>
      <w:bookmarkStart w:id="149" w:name="_Toc660734852_WPSOffice_Level2"/>
      <w:bookmarkStart w:id="150" w:name="_Toc768247512_WPSOffice_Level2"/>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ascii="仿宋_GB2312" w:hAnsi="仿宋_GB2312" w:eastAsia="仿宋_GB2312" w:cs="仿宋_GB2312"/>
          <w:color w:val="000000" w:themeColor="text1"/>
          <w:sz w:val="32"/>
          <w:szCs w:val="32"/>
          <w:lang w:bidi="ar"/>
          <w14:textFill>
            <w14:solidFill>
              <w14:schemeClr w14:val="tx1"/>
            </w14:solidFill>
          </w14:textFill>
        </w:rPr>
        <w:t>2）绩效目标</w:t>
      </w:r>
      <w:bookmarkEnd w:id="148"/>
      <w:bookmarkEnd w:id="149"/>
      <w:bookmarkEnd w:id="150"/>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本项目年度绩效目标为</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完成山亭区民兵训练基地升级改造建设任务，完成上级单位交付的训练任务</w:t>
      </w:r>
      <w:r>
        <w:rPr>
          <w:rFonts w:hint="eastAsia" w:ascii="仿宋_GB2312" w:hAnsi="仿宋_GB2312" w:eastAsia="仿宋_GB2312" w:cs="仿宋_GB2312"/>
          <w:color w:val="000000" w:themeColor="text1"/>
          <w:sz w:val="32"/>
          <w:szCs w:val="32"/>
          <w:lang w:bidi="ar"/>
          <w14:textFill>
            <w14:solidFill>
              <w14:schemeClr w14:val="tx1"/>
            </w14:solidFill>
          </w14:textFill>
        </w:rPr>
        <w:t>。且从数量、质量、时效、成本、效果和满意度等方面设置了细化、量化的评价指标，目标整体上与</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山亭区人武部</w:t>
      </w:r>
      <w:r>
        <w:rPr>
          <w:rFonts w:hint="eastAsia" w:ascii="仿宋_GB2312" w:hAnsi="仿宋_GB2312" w:eastAsia="仿宋_GB2312" w:cs="仿宋_GB2312"/>
          <w:color w:val="000000" w:themeColor="text1"/>
          <w:sz w:val="32"/>
          <w:szCs w:val="32"/>
          <w:lang w:bidi="ar"/>
          <w14:textFill>
            <w14:solidFill>
              <w14:schemeClr w14:val="tx1"/>
            </w14:solidFill>
          </w14:textFill>
        </w:rPr>
        <w:t>职责密切相关，设定的</w:t>
      </w:r>
      <w:r>
        <w:rPr>
          <w:rFonts w:ascii="仿宋_GB2312" w:hAnsi="仿宋_GB2312" w:eastAsia="仿宋_GB2312" w:cs="仿宋_GB2312"/>
          <w:color w:val="000000" w:themeColor="text1"/>
          <w:sz w:val="32"/>
          <w:szCs w:val="32"/>
          <w:lang w:bidi="ar"/>
          <w14:textFill>
            <w14:solidFill>
              <w14:schemeClr w14:val="tx1"/>
            </w14:solidFill>
          </w14:textFill>
        </w:rPr>
        <w:t>绩效目标</w:t>
      </w:r>
      <w:r>
        <w:rPr>
          <w:rFonts w:hint="eastAsia" w:ascii="仿宋_GB2312" w:hAnsi="仿宋_GB2312" w:eastAsia="仿宋_GB2312" w:cs="仿宋_GB2312"/>
          <w:color w:val="000000" w:themeColor="text1"/>
          <w:sz w:val="32"/>
          <w:szCs w:val="32"/>
          <w:lang w:bidi="ar"/>
          <w14:textFill>
            <w14:solidFill>
              <w14:schemeClr w14:val="tx1"/>
            </w14:solidFill>
          </w14:textFill>
        </w:rPr>
        <w:t>与预算确定的项目资金量相匹配。</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bookmarkStart w:id="151" w:name="_Toc1264248420_WPSOffice_Level2"/>
      <w:bookmarkStart w:id="152" w:name="_Toc1015896336_WPSOffice_Level2"/>
      <w:bookmarkStart w:id="153" w:name="_Toc332718927_WPSOffice_Level2"/>
      <w:r>
        <w:rPr>
          <w:rFonts w:ascii="仿宋_GB2312" w:hAnsi="仿宋_GB2312" w:eastAsia="仿宋_GB2312" w:cs="仿宋_GB2312"/>
          <w:color w:val="000000" w:themeColor="text1"/>
          <w:sz w:val="32"/>
          <w:szCs w:val="32"/>
          <w:lang w:bidi="ar"/>
          <w14:textFill>
            <w14:solidFill>
              <w14:schemeClr w14:val="tx1"/>
            </w14:solidFill>
          </w14:textFill>
        </w:rPr>
        <w:t>（3）资金投入</w:t>
      </w:r>
      <w:bookmarkEnd w:id="151"/>
      <w:bookmarkEnd w:id="152"/>
      <w:bookmarkEnd w:id="153"/>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年度预算依据合同约定和项目执行进度确定，预算编制依据充分、合理。</w:t>
      </w:r>
    </w:p>
    <w:p>
      <w:pPr>
        <w:pStyle w:val="12"/>
        <w:keepNext w:val="0"/>
        <w:keepLines w:val="0"/>
        <w:pageBreakBefore w:val="0"/>
        <w:widowControl/>
        <w:kinsoku/>
        <w:wordWrap/>
        <w:overflowPunct w:val="0"/>
        <w:topLinePunct w:val="0"/>
        <w:autoSpaceDE w:val="0"/>
        <w:autoSpaceDN w:val="0"/>
        <w:bidi w:val="0"/>
        <w:adjustRightInd w:val="0"/>
        <w:spacing w:line="580" w:lineRule="exact"/>
        <w:ind w:firstLine="640" w:firstLineChars="200"/>
        <w:textAlignment w:val="baseline"/>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 xml:space="preserve">    项目预算分配表遗失，无法确定预算资金分配是否合理。</w:t>
      </w:r>
    </w:p>
    <w:p>
      <w:pPr>
        <w:keepNext w:val="0"/>
        <w:keepLines w:val="0"/>
        <w:pageBreakBefore w:val="0"/>
        <w:widowControl/>
        <w:kinsoku/>
        <w:wordWrap/>
        <w:overflowPunct w:val="0"/>
        <w:topLinePunct w:val="0"/>
        <w:autoSpaceDE w:val="0"/>
        <w:autoSpaceDN w:val="0"/>
        <w:bidi w:val="0"/>
        <w:adjustRightInd w:val="0"/>
        <w:snapToGrid w:val="0"/>
        <w:spacing w:line="580" w:lineRule="exact"/>
        <w:ind w:firstLine="640" w:firstLineChars="200"/>
        <w:textAlignment w:val="baseline"/>
        <w:rPr>
          <w:color w:val="000000" w:themeColor="text1"/>
          <w:lang w:bidi="ar"/>
          <w14:textFill>
            <w14:solidFill>
              <w14:schemeClr w14:val="tx1"/>
            </w14:solidFill>
          </w14:textFill>
        </w:rPr>
      </w:pPr>
      <w:bookmarkStart w:id="154" w:name="_Toc379751745_WPSOffice_Level3"/>
      <w:bookmarkStart w:id="155" w:name="_Toc178908903_WPSOffice_Level3"/>
      <w:bookmarkStart w:id="156" w:name="_Toc1724070853_WPSOffice_Level3"/>
      <w:bookmarkStart w:id="157" w:name="_Toc175152006_WPSOffice_Level3"/>
      <w:r>
        <w:rPr>
          <w:rFonts w:ascii="仿宋_GB2312" w:hAnsi="仿宋_GB2312" w:eastAsia="仿宋_GB2312" w:cs="仿宋_GB2312"/>
          <w:color w:val="000000" w:themeColor="text1"/>
          <w:sz w:val="32"/>
          <w:szCs w:val="32"/>
          <w:lang w:bidi="ar"/>
          <w14:textFill>
            <w14:solidFill>
              <w14:schemeClr w14:val="tx1"/>
            </w14:solidFill>
          </w14:textFill>
        </w:rPr>
        <w:t>2.过程</w:t>
      </w:r>
      <w:r>
        <w:rPr>
          <w:rFonts w:hint="eastAsia" w:ascii="仿宋_GB2312" w:hAnsi="仿宋_GB2312" w:eastAsia="仿宋_GB2312" w:cs="仿宋_GB2312"/>
          <w:color w:val="000000" w:themeColor="text1"/>
          <w:sz w:val="32"/>
          <w:szCs w:val="32"/>
          <w:lang w:bidi="ar"/>
          <w14:textFill>
            <w14:solidFill>
              <w14:schemeClr w14:val="tx1"/>
            </w14:solidFill>
          </w14:textFill>
        </w:rPr>
        <w:t>指标</w:t>
      </w:r>
      <w:bookmarkEnd w:id="154"/>
      <w:bookmarkEnd w:id="155"/>
      <w:bookmarkEnd w:id="156"/>
      <w:bookmarkEnd w:id="157"/>
    </w:p>
    <w:p>
      <w:pPr>
        <w:spacing w:line="580" w:lineRule="exact"/>
        <w:ind w:firstLine="562" w:firstLineChars="200"/>
        <w:jc w:val="center"/>
        <w:rPr>
          <w:rFonts w:asciiTheme="minorEastAsia" w:hAnsiTheme="minorEastAsia" w:eastAsiaTheme="minorEastAsia" w:cstheme="minorEastAsia"/>
          <w:b/>
          <w:bCs/>
          <w:color w:val="000000" w:themeColor="text1"/>
          <w:sz w:val="28"/>
          <w:szCs w:val="28"/>
          <w:lang w:bidi="ar"/>
          <w14:textFill>
            <w14:solidFill>
              <w14:schemeClr w14:val="tx1"/>
            </w14:solidFill>
          </w14:textFill>
        </w:rPr>
      </w:pPr>
      <w:bookmarkStart w:id="158" w:name="_Toc1674725502_WPSOffice_Level2"/>
      <w:bookmarkStart w:id="159" w:name="_Toc1019991522_WPSOffice_Level2"/>
      <w:bookmarkStart w:id="160" w:name="_Toc2107072948_WPSOffice_Level2"/>
      <w:r>
        <w:rPr>
          <w:rFonts w:hint="eastAsia" w:asciiTheme="minorEastAsia" w:hAnsiTheme="minorEastAsia" w:eastAsiaTheme="minorEastAsia" w:cstheme="minorEastAsia"/>
          <w:b/>
          <w:bCs/>
          <w:color w:val="000000" w:themeColor="text1"/>
          <w:sz w:val="28"/>
          <w:szCs w:val="28"/>
          <w:lang w:bidi="ar"/>
          <w14:textFill>
            <w14:solidFill>
              <w14:schemeClr w14:val="tx1"/>
            </w14:solidFill>
          </w14:textFill>
        </w:rPr>
        <w:t>表5：</w:t>
      </w:r>
      <w:r>
        <w:rPr>
          <w:rFonts w:asciiTheme="minorEastAsia" w:hAnsiTheme="minorEastAsia" w:eastAsiaTheme="minorEastAsia" w:cstheme="minorEastAsia"/>
          <w:b/>
          <w:bCs/>
          <w:color w:val="000000" w:themeColor="text1"/>
          <w:sz w:val="28"/>
          <w:szCs w:val="28"/>
          <w:lang w:bidi="ar"/>
          <w14:textFill>
            <w14:solidFill>
              <w14:schemeClr w14:val="tx1"/>
            </w14:solidFill>
          </w14:textFill>
        </w:rPr>
        <w:t>过程指标得分情况表</w:t>
      </w:r>
      <w:bookmarkEnd w:id="158"/>
      <w:bookmarkEnd w:id="159"/>
      <w:bookmarkEnd w:id="160"/>
    </w:p>
    <w:tbl>
      <w:tblPr>
        <w:tblStyle w:val="18"/>
        <w:tblW w:w="9338" w:type="dxa"/>
        <w:jc w:val="center"/>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shd w:val="clear" w:color="auto" w:fill="auto"/>
          <w:tblCellMar>
            <w:top w:w="0" w:type="dxa"/>
            <w:left w:w="0" w:type="dxa"/>
            <w:bottom w:w="0" w:type="dxa"/>
            <w:right w:w="0" w:type="dxa"/>
          </w:tblCellMar>
        </w:tblPrEx>
        <w:trPr>
          <w:trHeight w:val="666"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二级指标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三级指标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r>
      <w:tr>
        <w:tblPrEx>
          <w:shd w:val="clear" w:color="auto" w:fill="auto"/>
          <w:tblCellMar>
            <w:top w:w="0" w:type="dxa"/>
            <w:left w:w="0" w:type="dxa"/>
            <w:bottom w:w="0" w:type="dxa"/>
            <w:right w:w="0" w:type="dxa"/>
          </w:tblCellMar>
        </w:tblPrEx>
        <w:trPr>
          <w:trHeight w:val="460" w:hRule="atLeast"/>
          <w:jc w:val="center"/>
        </w:trPr>
        <w:tc>
          <w:tcPr>
            <w:tcW w:w="5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过程</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5</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22.9</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89.6</w:t>
            </w:r>
            <w:r>
              <w:rPr>
                <w:rFonts w:hint="eastAsia" w:asciiTheme="minorEastAsia" w:hAnsiTheme="minorEastAsia" w:eastAsiaTheme="minorEastAsia" w:cstheme="minorEastAsia"/>
                <w:color w:val="000000" w:themeColor="text1"/>
                <w:lang w:bidi="ar"/>
                <w14:textFill>
                  <w14:solidFill>
                    <w14:schemeClr w14:val="tx1"/>
                  </w14:solidFill>
                </w14:textFill>
              </w:rPr>
              <w:t>%</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资金管理</w:t>
            </w: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12</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12</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100</w:t>
            </w:r>
            <w:r>
              <w:rPr>
                <w:rFonts w:hint="eastAsia" w:asciiTheme="minorEastAsia" w:hAnsiTheme="minorEastAsia" w:eastAsiaTheme="minorEastAsia" w:cstheme="minorEastAsia"/>
                <w:color w:val="000000" w:themeColor="text1"/>
                <w:lang w:bidi="ar"/>
                <w14:textFill>
                  <w14:solidFill>
                    <w14:schemeClr w14:val="tx1"/>
                  </w14:solidFill>
                </w14:textFill>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资金到位率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100</w:t>
            </w:r>
            <w:r>
              <w:rPr>
                <w:rFonts w:asciiTheme="minorEastAsia" w:hAnsiTheme="minorEastAsia" w:eastAsiaTheme="minorEastAsia" w:cstheme="minorEastAsia"/>
                <w:color w:val="000000" w:themeColor="text1"/>
                <w14:textFill>
                  <w14:solidFill>
                    <w14:schemeClr w14:val="tx1"/>
                  </w14:solidFill>
                </w14:textFill>
              </w:rPr>
              <w:t>%</w:t>
            </w:r>
          </w:p>
        </w:tc>
      </w:tr>
      <w:tr>
        <w:tblPrEx>
          <w:tblCellMar>
            <w:top w:w="0" w:type="dxa"/>
            <w:left w:w="0" w:type="dxa"/>
            <w:bottom w:w="0" w:type="dxa"/>
            <w:right w:w="0" w:type="dxa"/>
          </w:tblCellMar>
        </w:tblPrEx>
        <w:trPr>
          <w:trHeight w:val="378"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预算执行率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100</w:t>
            </w:r>
            <w:r>
              <w:rPr>
                <w:rFonts w:asciiTheme="minorEastAsia" w:hAnsiTheme="minorEastAsia" w:eastAsiaTheme="minorEastAsia" w:cstheme="minorEastAsia"/>
                <w:color w:val="000000" w:themeColor="text1"/>
                <w14:textFill>
                  <w14:solidFill>
                    <w14:schemeClr w14:val="tx1"/>
                  </w14:solidFill>
                </w14:textFill>
              </w:rPr>
              <w:t>%</w:t>
            </w:r>
          </w:p>
        </w:tc>
      </w:tr>
      <w:tr>
        <w:tblPrEx>
          <w:shd w:val="clear" w:color="auto" w:fill="auto"/>
          <w:tblCellMar>
            <w:top w:w="0" w:type="dxa"/>
            <w:left w:w="0" w:type="dxa"/>
            <w:bottom w:w="0" w:type="dxa"/>
            <w:right w:w="0" w:type="dxa"/>
          </w:tblCellMar>
        </w:tblPrEx>
        <w:trPr>
          <w:trHeight w:val="46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资金使用合规性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6</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100</w:t>
            </w:r>
            <w:r>
              <w:rPr>
                <w:rFonts w:asciiTheme="minorEastAsia" w:hAnsiTheme="minorEastAsia" w:eastAsiaTheme="minorEastAsia" w:cstheme="minorEastAsia"/>
                <w:color w:val="000000" w:themeColor="text1"/>
                <w14:textFill>
                  <w14:solidFill>
                    <w14:schemeClr w14:val="tx1"/>
                  </w14:solidFill>
                </w14:textFill>
              </w:rPr>
              <w:t>%</w:t>
            </w:r>
          </w:p>
        </w:tc>
      </w:tr>
      <w:tr>
        <w:tblPrEx>
          <w:tblCellMar>
            <w:top w:w="0" w:type="dxa"/>
            <w:left w:w="0" w:type="dxa"/>
            <w:bottom w:w="0" w:type="dxa"/>
            <w:right w:w="0" w:type="dxa"/>
          </w:tblCellMar>
        </w:tblPrEx>
        <w:trPr>
          <w:trHeight w:val="46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组织实施</w:t>
            </w: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w:t>
            </w: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6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10.4</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80</w:t>
            </w:r>
            <w:r>
              <w:rPr>
                <w:rFonts w:hint="eastAsia" w:asciiTheme="minorEastAsia" w:hAnsiTheme="minorEastAsia" w:eastAsiaTheme="minorEastAsia" w:cstheme="minorEastAsia"/>
                <w:color w:val="000000" w:themeColor="text1"/>
                <w:lang w:bidi="ar"/>
                <w14:textFill>
                  <w14:solidFill>
                    <w14:schemeClr w14:val="tx1"/>
                  </w14:solidFill>
                </w14:textFill>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管理制度健全性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100</w:t>
            </w:r>
            <w:r>
              <w:rPr>
                <w:rFonts w:asciiTheme="minorEastAsia" w:hAnsiTheme="minorEastAsia" w:eastAsiaTheme="minorEastAsia" w:cstheme="minorEastAsia"/>
                <w:color w:val="000000" w:themeColor="text1"/>
                <w14:textFill>
                  <w14:solidFill>
                    <w14:schemeClr w14:val="tx1"/>
                  </w14:solidFill>
                </w14:textFill>
              </w:rPr>
              <w:t>%</w:t>
            </w:r>
          </w:p>
        </w:tc>
      </w:tr>
      <w:tr>
        <w:tblPrEx>
          <w:shd w:val="clear" w:color="auto" w:fill="auto"/>
          <w:tblCellMar>
            <w:top w:w="0" w:type="dxa"/>
            <w:left w:w="0" w:type="dxa"/>
            <w:bottom w:w="0" w:type="dxa"/>
            <w:right w:w="0" w:type="dxa"/>
          </w:tblCellMar>
        </w:tblPrEx>
        <w:trPr>
          <w:trHeight w:val="500" w:hRule="atLeast"/>
          <w:jc w:val="center"/>
        </w:trPr>
        <w:tc>
          <w:tcPr>
            <w:tcW w:w="5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制度执行有效性</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11</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8.4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76.36</w:t>
            </w:r>
            <w:r>
              <w:rPr>
                <w:rFonts w:asciiTheme="minorEastAsia" w:hAnsiTheme="minorEastAsia" w:eastAsiaTheme="minorEastAsia" w:cstheme="minorEastAsia"/>
                <w:color w:val="000000" w:themeColor="text1"/>
                <w14:textFill>
                  <w14:solidFill>
                    <w14:schemeClr w14:val="tx1"/>
                  </w14:solidFill>
                </w14:textFill>
              </w:rPr>
              <w:t>%</w:t>
            </w:r>
          </w:p>
        </w:tc>
      </w:tr>
    </w:tbl>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bookmarkStart w:id="161" w:name="_Toc1569698006_WPSOffice_Level2"/>
      <w:bookmarkStart w:id="162" w:name="_Toc1783039900_WPSOffice_Level2"/>
      <w:bookmarkStart w:id="163" w:name="_Toc43350885_WPSOffice_Level2"/>
      <w:r>
        <w:rPr>
          <w:rFonts w:ascii="仿宋_GB2312" w:hAnsi="仿宋_GB2312" w:eastAsia="仿宋_GB2312" w:cs="仿宋_GB2312"/>
          <w:color w:val="000000" w:themeColor="text1"/>
          <w:sz w:val="32"/>
          <w:szCs w:val="32"/>
          <w:lang w:bidi="ar"/>
          <w14:textFill>
            <w14:solidFill>
              <w14:schemeClr w14:val="tx1"/>
            </w14:solidFill>
          </w14:textFill>
        </w:rPr>
        <w:t>（1）资金管理</w:t>
      </w:r>
      <w:bookmarkEnd w:id="161"/>
      <w:bookmarkEnd w:id="162"/>
      <w:bookmarkEnd w:id="163"/>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①</w:t>
      </w:r>
      <w:r>
        <w:rPr>
          <w:rFonts w:ascii="仿宋_GB2312" w:hAnsi="仿宋_GB2312" w:eastAsia="仿宋_GB2312" w:cs="仿宋_GB2312"/>
          <w:color w:val="000000" w:themeColor="text1"/>
          <w:sz w:val="32"/>
          <w:szCs w:val="32"/>
          <w:lang w:bidi="ar"/>
          <w14:textFill>
            <w14:solidFill>
              <w14:schemeClr w14:val="tx1"/>
            </w14:solidFill>
          </w14:textFill>
        </w:rPr>
        <w:t>资金到位</w:t>
      </w:r>
      <w:r>
        <w:rPr>
          <w:rFonts w:hint="eastAsia" w:ascii="仿宋_GB2312" w:hAnsi="仿宋_GB2312" w:eastAsia="仿宋_GB2312" w:cs="仿宋_GB2312"/>
          <w:color w:val="000000" w:themeColor="text1"/>
          <w:sz w:val="32"/>
          <w:szCs w:val="32"/>
          <w:lang w:bidi="ar"/>
          <w14:textFill>
            <w14:solidFill>
              <w14:schemeClr w14:val="tx1"/>
            </w14:solidFill>
          </w14:textFill>
        </w:rPr>
        <w:t>率</w:t>
      </w:r>
      <w:r>
        <w:rPr>
          <w:rFonts w:ascii="仿宋_GB2312" w:hAnsi="仿宋_GB2312" w:eastAsia="仿宋_GB2312" w:cs="仿宋_GB2312"/>
          <w:color w:val="000000" w:themeColor="text1"/>
          <w:sz w:val="32"/>
          <w:szCs w:val="32"/>
          <w:lang w:bidi="ar"/>
          <w14:textFill>
            <w14:solidFill>
              <w14:schemeClr w14:val="tx1"/>
            </w14:solidFill>
          </w14:textFill>
        </w:rPr>
        <w:t>情况</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color w:val="000000" w:themeColor="text1"/>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资金到位率</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100</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该指标评价标准为“以专项资金</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支付</w:t>
      </w:r>
      <w:r>
        <w:rPr>
          <w:rFonts w:hint="eastAsia" w:ascii="仿宋_GB2312" w:hAnsi="仿宋_GB2312" w:eastAsia="仿宋_GB2312" w:cs="仿宋_GB2312"/>
          <w:color w:val="000000" w:themeColor="text1"/>
          <w:sz w:val="32"/>
          <w:szCs w:val="32"/>
          <w:lang w:bidi="ar"/>
          <w14:textFill>
            <w14:solidFill>
              <w14:schemeClr w14:val="tx1"/>
            </w14:solidFill>
          </w14:textFill>
        </w:rPr>
        <w:t>项目</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实施</w:t>
      </w:r>
      <w:r>
        <w:rPr>
          <w:rFonts w:hint="eastAsia" w:ascii="仿宋_GB2312" w:hAnsi="仿宋_GB2312" w:eastAsia="仿宋_GB2312" w:cs="仿宋_GB2312"/>
          <w:color w:val="000000" w:themeColor="text1"/>
          <w:sz w:val="32"/>
          <w:szCs w:val="32"/>
          <w:lang w:bidi="ar"/>
          <w14:textFill>
            <w14:solidFill>
              <w14:schemeClr w14:val="tx1"/>
            </w14:solidFill>
          </w14:textFill>
        </w:rPr>
        <w:t>单位为到位”。该</w:t>
      </w:r>
      <w:r>
        <w:rPr>
          <w:rFonts w:ascii="仿宋_GB2312" w:hAnsi="仿宋_GB2312" w:eastAsia="仿宋_GB2312" w:cs="仿宋_GB2312"/>
          <w:color w:val="000000" w:themeColor="text1"/>
          <w:sz w:val="32"/>
          <w:szCs w:val="32"/>
          <w:lang w:bidi="ar"/>
          <w14:textFill>
            <w14:solidFill>
              <w14:schemeClr w14:val="tx1"/>
            </w14:solidFill>
          </w14:textFill>
        </w:rPr>
        <w:t>项目总预算为</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163.04</w:t>
      </w:r>
      <w:r>
        <w:rPr>
          <w:rFonts w:ascii="仿宋_GB2312" w:hAnsi="仿宋_GB2312" w:eastAsia="仿宋_GB2312" w:cs="仿宋_GB2312"/>
          <w:color w:val="000000" w:themeColor="text1"/>
          <w:sz w:val="32"/>
          <w:szCs w:val="32"/>
          <w:lang w:bidi="ar"/>
          <w14:textFill>
            <w14:solidFill>
              <w14:schemeClr w14:val="tx1"/>
            </w14:solidFill>
          </w14:textFill>
        </w:rPr>
        <w:t>万元，</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项目资金由</w:t>
      </w:r>
      <w:r>
        <w:rPr>
          <w:rFonts w:ascii="仿宋_GB2312" w:hAnsi="仿宋_GB2312" w:eastAsia="仿宋_GB2312" w:cs="仿宋_GB2312"/>
          <w:color w:val="000000" w:themeColor="text1"/>
          <w:sz w:val="32"/>
          <w:szCs w:val="32"/>
          <w:lang w:bidi="ar"/>
          <w14:textFill>
            <w14:solidFill>
              <w14:schemeClr w14:val="tx1"/>
            </w14:solidFill>
          </w14:textFill>
        </w:rPr>
        <w:t>枣庄市</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w:t>
      </w:r>
      <w:r>
        <w:rPr>
          <w:rFonts w:ascii="仿宋_GB2312" w:hAnsi="仿宋_GB2312" w:eastAsia="仿宋_GB2312" w:cs="仿宋_GB2312"/>
          <w:color w:val="000000" w:themeColor="text1"/>
          <w:sz w:val="32"/>
          <w:szCs w:val="32"/>
          <w:lang w:bidi="ar"/>
          <w14:textFill>
            <w14:solidFill>
              <w14:schemeClr w14:val="tx1"/>
            </w14:solidFill>
          </w14:textFill>
        </w:rPr>
        <w:t>财政局</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按山亭区人武部申请直接支付</w:t>
      </w:r>
      <w:r>
        <w:rPr>
          <w:rFonts w:ascii="仿宋_GB2312" w:hAnsi="仿宋_GB2312" w:eastAsia="仿宋_GB2312" w:cs="仿宋_GB2312"/>
          <w:color w:val="000000" w:themeColor="text1"/>
          <w:sz w:val="32"/>
          <w:szCs w:val="32"/>
          <w:lang w:bidi="ar"/>
          <w14:textFill>
            <w14:solidFill>
              <w14:schemeClr w14:val="tx1"/>
            </w14:solidFill>
          </w14:textFill>
        </w:rPr>
        <w:t>。资金到位率100%。</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color w:val="000000" w:themeColor="text1"/>
          <w:highlight w:val="yellow"/>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②</w:t>
      </w:r>
      <w:r>
        <w:rPr>
          <w:rFonts w:ascii="仿宋_GB2312" w:hAnsi="仿宋_GB2312" w:eastAsia="仿宋_GB2312" w:cs="仿宋_GB2312"/>
          <w:color w:val="000000" w:themeColor="text1"/>
          <w:sz w:val="32"/>
          <w:szCs w:val="32"/>
          <w:lang w:bidi="ar"/>
          <w14:textFill>
            <w14:solidFill>
              <w14:schemeClr w14:val="tx1"/>
            </w14:solidFill>
          </w14:textFill>
        </w:rPr>
        <w:t>预算执行率100%。项目资金</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按照合同约定由山亭区人武部于2020年5月28日申请工程款130.63</w:t>
      </w:r>
      <w:r>
        <w:rPr>
          <w:rFonts w:ascii="仿宋_GB2312" w:hAnsi="仿宋_GB2312" w:eastAsia="仿宋_GB2312" w:cs="仿宋_GB2312"/>
          <w:color w:val="000000" w:themeColor="text1"/>
          <w:sz w:val="32"/>
          <w:szCs w:val="32"/>
          <w:lang w:bidi="ar"/>
          <w14:textFill>
            <w14:solidFill>
              <w14:schemeClr w14:val="tx1"/>
            </w14:solidFill>
          </w14:textFill>
        </w:rPr>
        <w:t>万元，实际支出</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130.63</w:t>
      </w:r>
      <w:r>
        <w:rPr>
          <w:rFonts w:ascii="仿宋_GB2312" w:hAnsi="仿宋_GB2312" w:eastAsia="仿宋_GB2312" w:cs="仿宋_GB2312"/>
          <w:color w:val="000000" w:themeColor="text1"/>
          <w:sz w:val="32"/>
          <w:szCs w:val="32"/>
          <w:lang w:bidi="ar"/>
          <w14:textFill>
            <w14:solidFill>
              <w14:schemeClr w14:val="tx1"/>
            </w14:solidFill>
          </w14:textFill>
        </w:rPr>
        <w:t>万元，预算执行率100%。</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③</w:t>
      </w:r>
      <w:r>
        <w:rPr>
          <w:rFonts w:ascii="仿宋_GB2312" w:hAnsi="仿宋_GB2312" w:eastAsia="仿宋_GB2312" w:cs="仿宋_GB2312"/>
          <w:color w:val="000000" w:themeColor="text1"/>
          <w:sz w:val="32"/>
          <w:szCs w:val="32"/>
          <w:lang w:bidi="ar"/>
          <w14:textFill>
            <w14:solidFill>
              <w14:schemeClr w14:val="tx1"/>
            </w14:solidFill>
          </w14:textFill>
        </w:rPr>
        <w:t>资金使用合规性</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一是资金使用合规。评价发现资金使用符合国家财经法规和财务管理制度以及有关专项资金管理办法的规定、项目预算批复或合同规定的用途。</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二是资金拨付</w:t>
      </w:r>
      <w:r>
        <w:rPr>
          <w:rFonts w:ascii="仿宋_GB2312" w:hAnsi="仿宋_GB2312" w:eastAsia="仿宋_GB2312" w:cs="仿宋_GB2312"/>
          <w:color w:val="000000" w:themeColor="text1"/>
          <w:sz w:val="32"/>
          <w:szCs w:val="32"/>
          <w:lang w:bidi="ar"/>
          <w14:textFill>
            <w14:solidFill>
              <w14:schemeClr w14:val="tx1"/>
            </w14:solidFill>
          </w14:textFill>
        </w:rPr>
        <w:t>程序合规。</w:t>
      </w:r>
      <w:r>
        <w:rPr>
          <w:rFonts w:hint="eastAsia" w:ascii="仿宋_GB2312" w:hAnsi="仿宋_GB2312" w:eastAsia="仿宋_GB2312" w:cs="仿宋_GB2312"/>
          <w:color w:val="000000" w:themeColor="text1"/>
          <w:sz w:val="32"/>
          <w:szCs w:val="32"/>
          <w:lang w:bidi="ar"/>
          <w14:textFill>
            <w14:solidFill>
              <w14:schemeClr w14:val="tx1"/>
            </w14:solidFill>
          </w14:textFill>
        </w:rPr>
        <w:t>该项目资金拨付程序为：到达合同支付节点后，</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由山亭区人武部申请资金拨付，经财政局复核，领导审批后，财政局直接付款项目实施单位，</w:t>
      </w:r>
      <w:r>
        <w:rPr>
          <w:rFonts w:hint="eastAsia" w:ascii="仿宋_GB2312" w:hAnsi="仿宋_GB2312" w:eastAsia="仿宋_GB2312" w:cs="仿宋_GB2312"/>
          <w:color w:val="000000" w:themeColor="text1"/>
          <w:sz w:val="32"/>
          <w:szCs w:val="32"/>
          <w:lang w:bidi="ar"/>
          <w14:textFill>
            <w14:solidFill>
              <w14:schemeClr w14:val="tx1"/>
            </w14:solidFill>
          </w14:textFill>
        </w:rPr>
        <w:t>资金拨付程序合规。</w:t>
      </w:r>
      <w:r>
        <w:rPr>
          <w:rFonts w:ascii="仿宋_GB2312" w:hAnsi="仿宋_GB2312" w:eastAsia="仿宋_GB2312" w:cs="仿宋_GB2312"/>
          <w:color w:val="000000" w:themeColor="text1"/>
          <w:sz w:val="32"/>
          <w:szCs w:val="32"/>
          <w:lang w:bidi="ar"/>
          <w14:textFill>
            <w14:solidFill>
              <w14:schemeClr w14:val="tx1"/>
            </w14:solidFill>
          </w14:textFill>
        </w:rPr>
        <w:t>资金拨付程序合规</w:t>
      </w:r>
      <w:r>
        <w:rPr>
          <w:rFonts w:hint="eastAsia" w:ascii="仿宋_GB2312" w:hAnsi="仿宋_GB2312" w:eastAsia="仿宋_GB2312" w:cs="仿宋_GB2312"/>
          <w:color w:val="000000" w:themeColor="text1"/>
          <w:sz w:val="32"/>
          <w:szCs w:val="32"/>
          <w:lang w:bidi="ar"/>
          <w14:textFill>
            <w14:solidFill>
              <w14:schemeClr w14:val="tx1"/>
            </w14:solidFill>
          </w14:textFill>
        </w:rPr>
        <w:t>。</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themeColor="text1"/>
          <w:sz w:val="32"/>
          <w:szCs w:val="32"/>
          <w:lang w:bidi="ar"/>
          <w14:textFill>
            <w14:solidFill>
              <w14:schemeClr w14:val="tx1"/>
            </w14:solidFill>
          </w14:textFill>
        </w:rPr>
      </w:pPr>
      <w:bookmarkStart w:id="164" w:name="_Toc1325023872_WPSOffice_Level2"/>
      <w:bookmarkStart w:id="165" w:name="_Toc1131613852_WPSOffice_Level2"/>
      <w:bookmarkStart w:id="166" w:name="_Toc1636336353_WPSOffice_Level2"/>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r>
        <w:rPr>
          <w:rFonts w:ascii="仿宋_GB2312" w:hAnsi="仿宋_GB2312" w:eastAsia="仿宋_GB2312" w:cs="仿宋_GB2312"/>
          <w:b w:val="0"/>
          <w:bCs w:val="0"/>
          <w:color w:val="000000" w:themeColor="text1"/>
          <w:sz w:val="32"/>
          <w:szCs w:val="32"/>
          <w:lang w:bidi="ar"/>
          <w14:textFill>
            <w14:solidFill>
              <w14:schemeClr w14:val="tx1"/>
            </w14:solidFill>
          </w14:textFill>
        </w:rPr>
        <w:t>2）组织实施</w:t>
      </w:r>
      <w:bookmarkEnd w:id="164"/>
      <w:bookmarkEnd w:id="165"/>
      <w:bookmarkEnd w:id="166"/>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①</w:t>
      </w:r>
      <w:r>
        <w:rPr>
          <w:rFonts w:ascii="仿宋_GB2312" w:hAnsi="仿宋_GB2312" w:eastAsia="仿宋_GB2312" w:cs="仿宋_GB2312"/>
          <w:color w:val="000000" w:themeColor="text1"/>
          <w:sz w:val="32"/>
          <w:szCs w:val="32"/>
          <w:lang w:bidi="ar"/>
          <w14:textFill>
            <w14:solidFill>
              <w14:schemeClr w14:val="tx1"/>
            </w14:solidFill>
          </w14:textFill>
        </w:rPr>
        <w:t>管理制度健全性</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山亭区民兵训练基地升级改造</w:t>
      </w:r>
      <w:r>
        <w:rPr>
          <w:rFonts w:hint="eastAsia" w:ascii="仿宋_GB2312" w:hAnsi="仿宋_GB2312" w:eastAsia="仿宋_GB2312" w:cs="仿宋_GB2312"/>
          <w:color w:val="000000" w:themeColor="text1"/>
          <w:sz w:val="32"/>
          <w:szCs w:val="32"/>
          <w:lang w:bidi="ar"/>
          <w14:textFill>
            <w14:solidFill>
              <w14:schemeClr w14:val="tx1"/>
            </w14:solidFill>
          </w14:textFill>
        </w:rPr>
        <w:t>项目在实施过程中严格执</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行</w:t>
      </w:r>
      <w:r>
        <w:rPr>
          <w:rFonts w:hint="eastAsia" w:ascii="仿宋_GB2312" w:hAnsi="仿宋_GB2312" w:eastAsia="仿宋_GB2312" w:cs="仿宋_GB2312"/>
          <w:color w:val="000000" w:themeColor="text1"/>
          <w:sz w:val="32"/>
          <w:szCs w:val="32"/>
          <w:lang w:bidi="ar"/>
          <w14:textFill>
            <w14:solidFill>
              <w14:schemeClr w14:val="tx1"/>
            </w14:solidFill>
          </w14:textFill>
        </w:rPr>
        <w:t>招投标管理、合同管理和监理制度等，能够满足专项资金和项目管理需求。</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color w:val="000000" w:themeColor="text1"/>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②制度执行有效性</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eastAsia="仿宋_GB2312"/>
          <w:color w:val="000000" w:themeColor="text1"/>
          <w:lang w:val="en-US" w:eastAsia="zh-CN"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一是</w:t>
      </w:r>
      <w:r>
        <w:rPr>
          <w:rFonts w:hint="eastAsia" w:ascii="仿宋_GB2312" w:hAnsi="仿宋_GB2312" w:eastAsia="仿宋_GB2312" w:cs="仿宋_GB2312"/>
          <w:color w:val="000000" w:themeColor="text1"/>
          <w:sz w:val="32"/>
          <w:szCs w:val="32"/>
          <w:lang w:bidi="ar"/>
          <w14:textFill>
            <w14:solidFill>
              <w14:schemeClr w14:val="tx1"/>
            </w14:solidFill>
          </w14:textFill>
        </w:rPr>
        <w:t>组织机构的健全性</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山亭区民兵训练基地升级改造项目由山亭区人武部具体负责组织实施，未组建专门的工作领导小组，未提供专门负责人等相关文件。</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b w:val="0"/>
          <w:bCs w:val="0"/>
          <w:color w:val="000000" w:themeColor="text1"/>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二是</w:t>
      </w:r>
      <w:r>
        <w:rPr>
          <w:rFonts w:hint="eastAsia" w:ascii="仿宋_GB2312" w:hAnsi="仿宋_GB2312" w:eastAsia="仿宋_GB2312" w:cs="仿宋_GB2312"/>
          <w:color w:val="000000" w:themeColor="text1"/>
          <w:sz w:val="32"/>
          <w:szCs w:val="32"/>
          <w:lang w:bidi="ar"/>
          <w14:textFill>
            <w14:solidFill>
              <w14:schemeClr w14:val="tx1"/>
            </w14:solidFill>
          </w14:textFill>
        </w:rPr>
        <w:t>项目管理规范性</w:t>
      </w:r>
      <w:r>
        <w:rPr>
          <w:rFonts w:ascii="仿宋_GB2312" w:hAnsi="仿宋_GB2312" w:eastAsia="仿宋_GB2312" w:cs="仿宋_GB2312"/>
          <w:color w:val="000000" w:themeColor="text1"/>
          <w:sz w:val="32"/>
          <w:szCs w:val="32"/>
          <w:lang w:bidi="ar"/>
          <w14:textFill>
            <w14:solidFill>
              <w14:schemeClr w14:val="tx1"/>
            </w14:solidFill>
          </w14:textFill>
        </w:rPr>
        <w:t>。根据《</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中华人民共和国</w:t>
      </w:r>
      <w:r>
        <w:rPr>
          <w:rFonts w:ascii="仿宋_GB2312" w:hAnsi="仿宋_GB2312" w:eastAsia="仿宋_GB2312" w:cs="仿宋_GB2312"/>
          <w:color w:val="000000" w:themeColor="text1"/>
          <w:sz w:val="32"/>
          <w:szCs w:val="32"/>
          <w:lang w:bidi="ar"/>
          <w14:textFill>
            <w14:solidFill>
              <w14:schemeClr w14:val="tx1"/>
            </w14:solidFill>
          </w14:textFill>
        </w:rPr>
        <w:t>政府采购法》有关招标要求，委托招标代理机构进行公开招标，招标</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过程中</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山亭区人武部</w:t>
      </w:r>
      <w:r>
        <w:rPr>
          <w:rFonts w:ascii="仿宋_GB2312" w:hAnsi="仿宋_GB2312" w:eastAsia="仿宋_GB2312" w:cs="仿宋_GB2312"/>
          <w:color w:val="000000" w:themeColor="text1"/>
          <w:sz w:val="32"/>
          <w:szCs w:val="32"/>
          <w:lang w:bidi="ar"/>
          <w14:textFill>
            <w14:solidFill>
              <w14:schemeClr w14:val="tx1"/>
            </w14:solidFill>
          </w14:textFill>
        </w:rPr>
        <w:t>组织相关人员对入围服务机构的招标文件和现场实际情况进行了对照核实，同时也对入围企业</w:t>
      </w:r>
      <w:r>
        <w:rPr>
          <w:rFonts w:hint="eastAsia" w:ascii="仿宋_GB2312" w:hAnsi="仿宋_GB2312" w:eastAsia="仿宋_GB2312" w:cs="仿宋_GB2312"/>
          <w:color w:val="000000" w:themeColor="text1"/>
          <w:sz w:val="32"/>
          <w:szCs w:val="32"/>
          <w:lang w:bidi="ar"/>
          <w14:textFill>
            <w14:solidFill>
              <w14:schemeClr w14:val="tx1"/>
            </w14:solidFill>
          </w14:textFill>
        </w:rPr>
        <w:t>资质业绩</w:t>
      </w:r>
      <w:r>
        <w:rPr>
          <w:rFonts w:ascii="仿宋_GB2312" w:hAnsi="仿宋_GB2312" w:eastAsia="仿宋_GB2312" w:cs="仿宋_GB2312"/>
          <w:color w:val="000000" w:themeColor="text1"/>
          <w:sz w:val="32"/>
          <w:szCs w:val="32"/>
          <w:lang w:bidi="ar"/>
          <w14:textFill>
            <w14:solidFill>
              <w14:schemeClr w14:val="tx1"/>
            </w14:solidFill>
          </w14:textFill>
        </w:rPr>
        <w:t>、专业人员人数、等基本情况、承</w:t>
      </w:r>
      <w:r>
        <w:rPr>
          <w:rFonts w:hint="eastAsia" w:ascii="仿宋_GB2312" w:hAnsi="仿宋_GB2312" w:eastAsia="仿宋_GB2312" w:cs="仿宋_GB2312"/>
          <w:color w:val="000000" w:themeColor="text1"/>
          <w:sz w:val="32"/>
          <w:szCs w:val="32"/>
          <w:lang w:bidi="ar"/>
          <w14:textFill>
            <w14:solidFill>
              <w14:schemeClr w14:val="tx1"/>
            </w14:solidFill>
          </w14:textFill>
        </w:rPr>
        <w:t>建</w:t>
      </w:r>
      <w:r>
        <w:rPr>
          <w:rFonts w:ascii="仿宋_GB2312" w:hAnsi="仿宋_GB2312" w:eastAsia="仿宋_GB2312" w:cs="仿宋_GB2312"/>
          <w:color w:val="000000" w:themeColor="text1"/>
          <w:sz w:val="32"/>
          <w:szCs w:val="32"/>
          <w:lang w:bidi="ar"/>
          <w14:textFill>
            <w14:solidFill>
              <w14:schemeClr w14:val="tx1"/>
            </w14:solidFill>
          </w14:textFill>
        </w:rPr>
        <w:t>能力进行综合考察、分析比对</w:t>
      </w:r>
      <w:r>
        <w:rPr>
          <w:rFonts w:hint="eastAsia" w:ascii="仿宋_GB2312" w:hAnsi="仿宋_GB2312" w:eastAsia="仿宋_GB2312" w:cs="仿宋_GB2312"/>
          <w:color w:val="000000" w:themeColor="text1"/>
          <w:sz w:val="32"/>
          <w:szCs w:val="32"/>
          <w:lang w:bidi="ar"/>
          <w14:textFill>
            <w14:solidFill>
              <w14:schemeClr w14:val="tx1"/>
            </w14:solidFill>
          </w14:textFill>
        </w:rPr>
        <w:t>并</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与</w:t>
      </w:r>
      <w:r>
        <w:rPr>
          <w:rFonts w:hint="eastAsia" w:ascii="仿宋_GB2312" w:hAnsi="仿宋_GB2312" w:eastAsia="仿宋_GB2312" w:cs="仿宋_GB2312"/>
          <w:color w:val="000000" w:themeColor="text1"/>
          <w:sz w:val="32"/>
          <w:szCs w:val="32"/>
          <w:lang w:bidi="ar"/>
          <w14:textFill>
            <w14:solidFill>
              <w14:schemeClr w14:val="tx1"/>
            </w14:solidFill>
          </w14:textFill>
        </w:rPr>
        <w:t>中标单位</w:t>
      </w:r>
      <w:r>
        <w:rPr>
          <w:rFonts w:ascii="仿宋_GB2312" w:hAnsi="仿宋_GB2312" w:eastAsia="仿宋_GB2312" w:cs="仿宋_GB2312"/>
          <w:color w:val="000000" w:themeColor="text1"/>
          <w:sz w:val="32"/>
          <w:szCs w:val="32"/>
          <w:lang w:bidi="ar"/>
          <w14:textFill>
            <w14:solidFill>
              <w14:schemeClr w14:val="tx1"/>
            </w14:solidFill>
          </w14:textFill>
        </w:rPr>
        <w:t>签订合同，明确了双方的权利和义务，从风险防范、人员、技术</w:t>
      </w:r>
      <w:r>
        <w:rPr>
          <w:rFonts w:ascii="仿宋_GB2312" w:hAnsi="仿宋_GB2312" w:eastAsia="仿宋_GB2312" w:cs="仿宋_GB2312"/>
          <w:b w:val="0"/>
          <w:bCs w:val="0"/>
          <w:color w:val="000000" w:themeColor="text1"/>
          <w:sz w:val="32"/>
          <w:szCs w:val="32"/>
          <w:lang w:bidi="ar"/>
          <w14:textFill>
            <w14:solidFill>
              <w14:schemeClr w14:val="tx1"/>
            </w14:solidFill>
          </w14:textFill>
        </w:rPr>
        <w:t>等方面保障了项目</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顺利</w:t>
      </w:r>
      <w:r>
        <w:rPr>
          <w:rFonts w:ascii="仿宋_GB2312" w:hAnsi="仿宋_GB2312" w:eastAsia="仿宋_GB2312" w:cs="仿宋_GB2312"/>
          <w:b w:val="0"/>
          <w:bCs w:val="0"/>
          <w:color w:val="000000" w:themeColor="text1"/>
          <w:sz w:val="32"/>
          <w:szCs w:val="32"/>
          <w:lang w:bidi="ar"/>
          <w14:textFill>
            <w14:solidFill>
              <w14:schemeClr w14:val="tx1"/>
            </w14:solidFill>
          </w14:textFill>
        </w:rPr>
        <w:t>实施。</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b w:val="0"/>
          <w:bCs w:val="0"/>
          <w:color w:val="000000" w:themeColor="text1"/>
          <w:lang w:bidi="ar"/>
          <w14:textFill>
            <w14:solidFill>
              <w14:schemeClr w14:val="tx1"/>
            </w14:solidFill>
          </w14:textFill>
        </w:rPr>
      </w:pPr>
      <w:r>
        <w:rPr>
          <w:rFonts w:ascii="仿宋_GB2312" w:hAnsi="仿宋_GB2312" w:eastAsia="仿宋_GB2312" w:cs="仿宋_GB2312"/>
          <w:b w:val="0"/>
          <w:bCs w:val="0"/>
          <w:color w:val="000000" w:themeColor="text1"/>
          <w:sz w:val="32"/>
          <w:szCs w:val="32"/>
          <w:lang w:bidi="ar"/>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会计核算规范性。</w:t>
      </w:r>
      <w:r>
        <w:rPr>
          <w:rFonts w:ascii="仿宋_GB2312" w:hAnsi="仿宋_GB2312" w:eastAsia="仿宋_GB2312" w:cs="仿宋_GB2312"/>
          <w:b w:val="0"/>
          <w:bCs w:val="0"/>
          <w:color w:val="000000" w:themeColor="text1"/>
          <w:sz w:val="32"/>
          <w:szCs w:val="32"/>
          <w:lang w:bidi="ar"/>
          <w14:textFill>
            <w14:solidFill>
              <w14:schemeClr w14:val="tx1"/>
            </w14:solidFill>
          </w14:textFill>
        </w:rPr>
        <w:t>项目单位</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严格执行</w:t>
      </w:r>
      <w:r>
        <w:rPr>
          <w:rFonts w:hint="eastAsia" w:ascii="仿宋_GB2312" w:hAnsi="仿宋_GB2312" w:eastAsia="仿宋_GB2312" w:cs="仿宋_GB2312"/>
          <w:b w:val="0"/>
          <w:bCs w:val="0"/>
          <w:color w:val="000000" w:themeColor="text1"/>
          <w:sz w:val="32"/>
          <w:szCs w:val="32"/>
          <w:lang w:eastAsia="zh-CN" w:bidi="ar"/>
          <w14:textFill>
            <w14:solidFill>
              <w14:schemeClr w14:val="tx1"/>
            </w14:solidFill>
          </w14:textFill>
        </w:rPr>
        <w:t>会计核算制度</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，会计核算执行情况较好</w:t>
      </w:r>
      <w:r>
        <w:rPr>
          <w:rFonts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b w:val="0"/>
          <w:bCs w:val="0"/>
          <w:color w:val="000000" w:themeColor="text1"/>
          <w:lang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四是组织机构监控有效性。项目单位在项目实施过程中对各个点进行定期及不定期抽查，</w:t>
      </w:r>
      <w:r>
        <w:rPr>
          <w:rFonts w:hint="eastAsia" w:ascii="仿宋_GB2312" w:hAnsi="仿宋_GB2312" w:eastAsia="仿宋_GB2312" w:cs="仿宋_GB2312"/>
          <w:b w:val="0"/>
          <w:bCs w:val="0"/>
          <w:color w:val="000000" w:themeColor="text1"/>
          <w:sz w:val="32"/>
          <w:szCs w:val="32"/>
          <w:highlight w:val="none"/>
          <w:lang w:val="en-US" w:eastAsia="zh-CN" w:bidi="ar"/>
          <w14:textFill>
            <w14:solidFill>
              <w14:schemeClr w14:val="tx1"/>
            </w14:solidFill>
          </w14:textFill>
        </w:rPr>
        <w:t>但</w:t>
      </w:r>
      <w:r>
        <w:rPr>
          <w:rFonts w:hint="eastAsia" w:ascii="仿宋_GB2312" w:hAnsi="仿宋_GB2312" w:eastAsia="仿宋_GB2312" w:cs="仿宋_GB2312"/>
          <w:b w:val="0"/>
          <w:bCs w:val="0"/>
          <w:color w:val="000000" w:themeColor="text1"/>
          <w:sz w:val="32"/>
          <w:szCs w:val="32"/>
          <w:highlight w:val="none"/>
          <w:lang w:bidi="ar"/>
          <w14:textFill>
            <w14:solidFill>
              <w14:schemeClr w14:val="tx1"/>
            </w14:solidFill>
          </w14:textFill>
        </w:rPr>
        <w:t>并</w:t>
      </w:r>
      <w:r>
        <w:rPr>
          <w:rFonts w:hint="eastAsia" w:ascii="仿宋_GB2312" w:hAnsi="仿宋_GB2312" w:eastAsia="仿宋_GB2312" w:cs="仿宋_GB2312"/>
          <w:b w:val="0"/>
          <w:bCs w:val="0"/>
          <w:color w:val="000000" w:themeColor="text1"/>
          <w:sz w:val="32"/>
          <w:szCs w:val="32"/>
          <w:highlight w:val="none"/>
          <w:lang w:eastAsia="zh-CN" w:bidi="ar"/>
          <w14:textFill>
            <w14:solidFill>
              <w14:schemeClr w14:val="tx1"/>
            </w14:solidFill>
          </w14:textFill>
        </w:rPr>
        <w:t>未</w:t>
      </w:r>
      <w:r>
        <w:rPr>
          <w:rFonts w:hint="eastAsia" w:ascii="仿宋_GB2312" w:hAnsi="仿宋_GB2312" w:eastAsia="仿宋_GB2312" w:cs="仿宋_GB2312"/>
          <w:b w:val="0"/>
          <w:bCs w:val="0"/>
          <w:color w:val="000000" w:themeColor="text1"/>
          <w:sz w:val="32"/>
          <w:szCs w:val="32"/>
          <w:highlight w:val="none"/>
          <w:lang w:bidi="ar"/>
          <w14:textFill>
            <w14:solidFill>
              <w14:schemeClr w14:val="tx1"/>
            </w14:solidFill>
          </w14:textFill>
        </w:rPr>
        <w:t>形成</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会议纪要或整改记录，组织机构监控执行情况</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较差</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b w:val="0"/>
          <w:bCs w:val="0"/>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五是调整手续完备性</w:t>
      </w:r>
      <w:r>
        <w:rPr>
          <w:rFonts w:hint="eastAsia" w:ascii="仿宋_GB2312" w:hAnsi="仿宋_GB2312" w:eastAsia="仿宋_GB2312" w:cs="仿宋_GB2312"/>
          <w:b w:val="0"/>
          <w:bCs w:val="0"/>
          <w:color w:val="000000" w:themeColor="text1"/>
          <w:sz w:val="32"/>
          <w:szCs w:val="32"/>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在项目实施阶段，经山亭区人武部、跟踪审计单位、监理单位、施工单位共同现场核对测量计算，增加项目9项、增加工程量1项，共计52.1万元，审减3.99万元，最终审定价为48.11万元，并出具工程预算评审报告，但并未提供相关手续，项目调整手续完备性较差。</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eastAsia="仿宋_GB2312"/>
          <w:b w:val="0"/>
          <w:bCs w:val="0"/>
          <w:color w:val="000000" w:themeColor="text1"/>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六是</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档案齐全性。</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该</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在2020年12月31日实施完成并出具质量评估报告</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但</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项目单位未及时按照档案管理相关规范进行归档，未安排专人管理档案。</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档案管理不规范。</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themeColor="text1"/>
          <w:sz w:val="32"/>
          <w:szCs w:val="32"/>
          <w:lang w:bidi="ar"/>
          <w14:textFill>
            <w14:solidFill>
              <w14:schemeClr w14:val="tx1"/>
            </w14:solidFill>
          </w14:textFill>
        </w:rPr>
      </w:pPr>
      <w:bookmarkStart w:id="167" w:name="_Toc1727168452_WPSOffice_Level3"/>
      <w:bookmarkStart w:id="168" w:name="_Toc444826921_WPSOffice_Level3"/>
      <w:bookmarkStart w:id="169" w:name="_Toc166179331_WPSOffice_Level3"/>
      <w:bookmarkStart w:id="170" w:name="_Toc461977400_WPSOffice_Level3"/>
      <w:r>
        <w:rPr>
          <w:rFonts w:ascii="仿宋_GB2312" w:hAnsi="仿宋_GB2312" w:eastAsia="仿宋_GB2312" w:cs="仿宋_GB2312"/>
          <w:b w:val="0"/>
          <w:bCs w:val="0"/>
          <w:color w:val="000000" w:themeColor="text1"/>
          <w:sz w:val="32"/>
          <w:szCs w:val="32"/>
          <w:lang w:bidi="ar"/>
          <w14:textFill>
            <w14:solidFill>
              <w14:schemeClr w14:val="tx1"/>
            </w14:solidFill>
          </w14:textFill>
        </w:rPr>
        <w:t>3.项目产出</w:t>
      </w:r>
      <w:bookmarkEnd w:id="167"/>
      <w:bookmarkEnd w:id="168"/>
      <w:bookmarkEnd w:id="169"/>
      <w:bookmarkEnd w:id="170"/>
    </w:p>
    <w:p>
      <w:pPr>
        <w:pStyle w:val="7"/>
        <w:spacing w:before="0" w:line="580" w:lineRule="exact"/>
        <w:ind w:left="0" w:firstLine="562" w:firstLineChars="200"/>
        <w:jc w:val="center"/>
        <w:rPr>
          <w:color w:val="000000" w:themeColor="text1"/>
          <w:lang w:val="en-US"/>
          <w14:textFill>
            <w14:solidFill>
              <w14:schemeClr w14:val="tx1"/>
            </w14:solidFill>
          </w14:textFill>
        </w:rPr>
      </w:pPr>
      <w:bookmarkStart w:id="171" w:name="_Toc1229501389_WPSOffice_Level2"/>
      <w:bookmarkStart w:id="172" w:name="_Toc918832732_WPSOffice_Level2"/>
      <w:bookmarkStart w:id="173" w:name="_Toc270797314_WPSOffice_Level2"/>
      <w:r>
        <w:rPr>
          <w:rFonts w:hint="eastAsia" w:asciiTheme="minorEastAsia" w:hAnsiTheme="minorEastAsia" w:eastAsiaTheme="minorEastAsia" w:cstheme="minorEastAsia"/>
          <w:b/>
          <w:bCs/>
          <w:color w:val="000000" w:themeColor="text1"/>
          <w:sz w:val="28"/>
          <w:szCs w:val="28"/>
          <w14:textFill>
            <w14:solidFill>
              <w14:schemeClr w14:val="tx1"/>
            </w14:solidFill>
          </w14:textFill>
        </w:rPr>
        <w:t>表</w:t>
      </w:r>
      <w:r>
        <w:rPr>
          <w:rFonts w:asciiTheme="minorEastAsia" w:hAnsiTheme="minorEastAsia" w:eastAsiaTheme="minorEastAsia" w:cstheme="minorEastAsia"/>
          <w:b/>
          <w:bCs/>
          <w:color w:val="000000" w:themeColor="text1"/>
          <w:sz w:val="28"/>
          <w:szCs w:val="28"/>
          <w:lang w:val="en-US"/>
          <w14:textFill>
            <w14:solidFill>
              <w14:schemeClr w14:val="tx1"/>
            </w14:solidFill>
          </w14:textFill>
        </w:rPr>
        <w:t>6</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：产出指标得分情况表</w:t>
      </w:r>
      <w:bookmarkEnd w:id="171"/>
      <w:bookmarkEnd w:id="172"/>
      <w:bookmarkEnd w:id="173"/>
    </w:p>
    <w:tbl>
      <w:tblPr>
        <w:tblStyle w:val="18"/>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30" w:hRule="atLeast"/>
          <w:jc w:val="center"/>
        </w:trPr>
        <w:tc>
          <w:tcPr>
            <w:tcW w:w="561"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一级指标</w:t>
            </w:r>
          </w:p>
        </w:tc>
        <w:tc>
          <w:tcPr>
            <w:tcW w:w="63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660"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10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二级指标</w:t>
            </w:r>
          </w:p>
        </w:tc>
        <w:tc>
          <w:tcPr>
            <w:tcW w:w="593"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1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5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三级指标</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58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0" w:hRule="atLeast"/>
          <w:jc w:val="center"/>
        </w:trPr>
        <w:tc>
          <w:tcPr>
            <w:tcW w:w="561"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产出</w:t>
            </w:r>
          </w:p>
        </w:tc>
        <w:tc>
          <w:tcPr>
            <w:tcW w:w="636" w:type="dxa"/>
            <w:vMerge w:val="restart"/>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3</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0</w:t>
            </w:r>
          </w:p>
        </w:tc>
        <w:tc>
          <w:tcPr>
            <w:tcW w:w="624" w:type="dxa"/>
            <w:vMerge w:val="restart"/>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27.5</w:t>
            </w:r>
          </w:p>
        </w:tc>
        <w:tc>
          <w:tcPr>
            <w:tcW w:w="660"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91.67</w:t>
            </w:r>
            <w:r>
              <w:rPr>
                <w:rFonts w:hint="eastAsia" w:asciiTheme="minorEastAsia" w:hAnsiTheme="minorEastAsia" w:eastAsiaTheme="minorEastAsia" w:cstheme="minorEastAsia"/>
                <w:color w:val="000000" w:themeColor="text1"/>
                <w:lang w:bidi="ar"/>
                <w14:textFill>
                  <w14:solidFill>
                    <w14:schemeClr w14:val="tx1"/>
                  </w14:solidFill>
                </w14:textFill>
              </w:rPr>
              <w:t>%</w:t>
            </w:r>
          </w:p>
        </w:tc>
        <w:tc>
          <w:tcPr>
            <w:tcW w:w="110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产出数量</w:t>
            </w:r>
          </w:p>
        </w:tc>
        <w:tc>
          <w:tcPr>
            <w:tcW w:w="593"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10</w:t>
            </w:r>
          </w:p>
        </w:tc>
        <w:tc>
          <w:tcPr>
            <w:tcW w:w="61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w:t>
            </w:r>
          </w:p>
        </w:tc>
        <w:tc>
          <w:tcPr>
            <w:tcW w:w="85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100%</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实际完成率</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10</w:t>
            </w:r>
          </w:p>
        </w:tc>
        <w:tc>
          <w:tcPr>
            <w:tcW w:w="58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10</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产出质量</w:t>
            </w:r>
          </w:p>
        </w:tc>
        <w:tc>
          <w:tcPr>
            <w:tcW w:w="593"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asciiTheme="minorEastAsia" w:hAnsiTheme="minorEastAsia" w:eastAsiaTheme="minorEastAsia" w:cstheme="minorEastAsia"/>
                <w:color w:val="000000" w:themeColor="text1"/>
                <w:lang w:bidi="ar"/>
                <w14:textFill>
                  <w14:solidFill>
                    <w14:schemeClr w14:val="tx1"/>
                  </w14:solidFill>
                </w14:textFill>
              </w:rPr>
              <w:t>1</w:t>
            </w:r>
            <w:r>
              <w:rPr>
                <w:rFonts w:hint="eastAsia" w:asciiTheme="minorEastAsia" w:hAnsiTheme="minorEastAsia" w:eastAsiaTheme="minorEastAsia" w:cstheme="minorEastAsia"/>
                <w:color w:val="000000" w:themeColor="text1"/>
                <w:lang w:bidi="ar"/>
                <w14:textFill>
                  <w14:solidFill>
                    <w14:schemeClr w14:val="tx1"/>
                  </w14:solidFill>
                </w14:textFill>
              </w:rPr>
              <w:t>0</w:t>
            </w:r>
          </w:p>
        </w:tc>
        <w:tc>
          <w:tcPr>
            <w:tcW w:w="612" w:type="dxa"/>
            <w:vMerge w:val="restart"/>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9</w:t>
            </w:r>
          </w:p>
        </w:tc>
        <w:tc>
          <w:tcPr>
            <w:tcW w:w="852"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9</w:t>
            </w:r>
            <w:r>
              <w:rPr>
                <w:rFonts w:hint="eastAsia" w:asciiTheme="minorEastAsia" w:hAnsiTheme="minorEastAsia" w:eastAsiaTheme="minorEastAsia" w:cstheme="minorEastAsia"/>
                <w:color w:val="000000" w:themeColor="text1"/>
                <w:lang w:bidi="ar"/>
                <w14:textFill>
                  <w14:solidFill>
                    <w14:schemeClr w14:val="tx1"/>
                  </w14:solidFill>
                </w14:textFill>
              </w:rPr>
              <w:t>0%</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 xml:space="preserve">项目建设完成的质量情况 </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5</w:t>
            </w:r>
          </w:p>
        </w:tc>
        <w:tc>
          <w:tcPr>
            <w:tcW w:w="58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5</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593"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612"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852"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验收程序规范性</w:t>
            </w:r>
          </w:p>
        </w:tc>
        <w:tc>
          <w:tcPr>
            <w:tcW w:w="62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asciiTheme="minorEastAsia" w:hAnsiTheme="minorEastAsia" w:eastAsiaTheme="minorEastAsia" w:cstheme="minorEastAsia"/>
                <w:color w:val="000000" w:themeColor="text1"/>
                <w:lang w:bidi="ar"/>
                <w14:textFill>
                  <w14:solidFill>
                    <w14:schemeClr w14:val="tx1"/>
                  </w14:solidFill>
                </w14:textFill>
              </w:rPr>
              <w:t>5</w:t>
            </w:r>
          </w:p>
        </w:tc>
        <w:tc>
          <w:tcPr>
            <w:tcW w:w="588"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4</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8</w:t>
            </w:r>
            <w:r>
              <w:rPr>
                <w:rFonts w:hint="eastAsia" w:asciiTheme="minorEastAsia" w:hAnsiTheme="minorEastAsia" w:eastAsiaTheme="minorEastAsia" w:cstheme="minorEastAsia"/>
                <w:color w:val="000000" w:themeColor="text1"/>
                <w:lang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产出时效</w:t>
            </w:r>
          </w:p>
        </w:tc>
        <w:tc>
          <w:tcPr>
            <w:tcW w:w="593" w:type="dxa"/>
            <w:vMerge w:val="restart"/>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6</w:t>
            </w:r>
          </w:p>
        </w:tc>
        <w:tc>
          <w:tcPr>
            <w:tcW w:w="612" w:type="dxa"/>
            <w:vMerge w:val="restart"/>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6</w:t>
            </w:r>
          </w:p>
        </w:tc>
        <w:tc>
          <w:tcPr>
            <w:tcW w:w="852" w:type="dxa"/>
            <w:vMerge w:val="restart"/>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100%</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按时开工率</w:t>
            </w:r>
          </w:p>
        </w:tc>
        <w:tc>
          <w:tcPr>
            <w:tcW w:w="624"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588"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9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593"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12"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852" w:type="dxa"/>
            <w:vMerge w:val="continue"/>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按时完工率</w:t>
            </w:r>
          </w:p>
        </w:tc>
        <w:tc>
          <w:tcPr>
            <w:tcW w:w="624"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588"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561"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产出成本</w:t>
            </w:r>
          </w:p>
        </w:tc>
        <w:tc>
          <w:tcPr>
            <w:tcW w:w="593"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4</w:t>
            </w:r>
          </w:p>
        </w:tc>
        <w:tc>
          <w:tcPr>
            <w:tcW w:w="612" w:type="dxa"/>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p>
        </w:tc>
        <w:tc>
          <w:tcPr>
            <w:tcW w:w="852"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62.5</w:t>
            </w:r>
            <w:r>
              <w:rPr>
                <w:rFonts w:hint="eastAsia" w:asciiTheme="minorEastAsia" w:hAnsiTheme="minorEastAsia" w:eastAsiaTheme="minorEastAsia" w:cstheme="minorEastAsia"/>
                <w:color w:val="000000" w:themeColor="text1"/>
                <w:lang w:bidi="ar"/>
                <w14:textFill>
                  <w14:solidFill>
                    <w14:schemeClr w14:val="tx1"/>
                  </w14:solidFill>
                </w14:textFill>
              </w:rPr>
              <w:t>%</w:t>
            </w:r>
          </w:p>
        </w:tc>
        <w:tc>
          <w:tcPr>
            <w:tcW w:w="1608"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成本节约率</w:t>
            </w:r>
          </w:p>
        </w:tc>
        <w:tc>
          <w:tcPr>
            <w:tcW w:w="624" w:type="dxa"/>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4</w:t>
            </w:r>
          </w:p>
        </w:tc>
        <w:tc>
          <w:tcPr>
            <w:tcW w:w="588" w:type="dxa"/>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2.5</w:t>
            </w:r>
          </w:p>
        </w:tc>
        <w:tc>
          <w:tcPr>
            <w:tcW w:w="876" w:type="dxa"/>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62.5</w:t>
            </w:r>
            <w:r>
              <w:rPr>
                <w:rFonts w:hint="eastAsia" w:asciiTheme="minorEastAsia" w:hAnsiTheme="minorEastAsia" w:eastAsiaTheme="minorEastAsia" w:cstheme="minorEastAsia"/>
                <w:color w:val="000000" w:themeColor="text1"/>
                <w:lang w:bidi="ar"/>
                <w14:textFill>
                  <w14:solidFill>
                    <w14:schemeClr w14:val="tx1"/>
                  </w14:solidFill>
                </w14:textFill>
              </w:rPr>
              <w:t>%</w:t>
            </w:r>
          </w:p>
        </w:tc>
      </w:tr>
    </w:tbl>
    <w:p>
      <w:pPr>
        <w:keepNext w:val="0"/>
        <w:keepLines w:val="0"/>
        <w:pageBreakBefore w:val="0"/>
        <w:widowControl/>
        <w:shd w:val="clear"/>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themeColor="text1"/>
          <w:sz w:val="32"/>
          <w:szCs w:val="32"/>
          <w:lang w:bidi="ar"/>
          <w14:textFill>
            <w14:solidFill>
              <w14:schemeClr w14:val="tx1"/>
            </w14:solidFill>
          </w14:textFill>
        </w:rPr>
      </w:pPr>
      <w:bookmarkStart w:id="174" w:name="_Toc266821147_WPSOffice_Level2"/>
      <w:bookmarkStart w:id="175" w:name="_Toc1142193489_WPSOffice_Level2"/>
      <w:bookmarkStart w:id="176" w:name="_Toc772608405_WPSOffice_Level2"/>
      <w:r>
        <w:rPr>
          <w:rFonts w:ascii="仿宋_GB2312" w:hAnsi="仿宋_GB2312" w:eastAsia="仿宋_GB2312" w:cs="仿宋_GB2312"/>
          <w:b w:val="0"/>
          <w:bCs w:val="0"/>
          <w:color w:val="000000" w:themeColor="text1"/>
          <w:sz w:val="32"/>
          <w:szCs w:val="32"/>
          <w:lang w:bidi="ar"/>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产出数量</w:t>
      </w:r>
      <w:bookmarkEnd w:id="174"/>
      <w:bookmarkEnd w:id="175"/>
      <w:bookmarkEnd w:id="176"/>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和质量</w:t>
      </w:r>
    </w:p>
    <w:p>
      <w:pPr>
        <w:keepNext w:val="0"/>
        <w:keepLines w:val="0"/>
        <w:pageBreakBefore w:val="0"/>
        <w:widowControl/>
        <w:shd w:val="clear"/>
        <w:kinsoku/>
        <w:wordWrap/>
        <w:overflowPunct w:val="0"/>
        <w:topLinePunct w:val="0"/>
        <w:autoSpaceDE w:val="0"/>
        <w:autoSpaceDN w:val="0"/>
        <w:bidi w:val="0"/>
        <w:adjustRightInd w:val="0"/>
        <w:snapToGrid/>
        <w:spacing w:line="580" w:lineRule="exact"/>
        <w:ind w:firstLine="640" w:firstLineChars="200"/>
        <w:textAlignment w:val="baseline"/>
        <w:rPr>
          <w:b w:val="0"/>
          <w:bCs w:val="0"/>
          <w:color w:val="000000" w:themeColor="text1"/>
          <w:lang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实际</w:t>
      </w:r>
      <w:r>
        <w:rPr>
          <w:rFonts w:ascii="仿宋_GB2312" w:hAnsi="仿宋_GB2312" w:eastAsia="仿宋_GB2312" w:cs="仿宋_GB2312"/>
          <w:b w:val="0"/>
          <w:bCs w:val="0"/>
          <w:color w:val="000000" w:themeColor="text1"/>
          <w:sz w:val="32"/>
          <w:szCs w:val="32"/>
          <w:lang w:bidi="ar"/>
          <w14:textFill>
            <w14:solidFill>
              <w14:schemeClr w14:val="tx1"/>
            </w14:solidFill>
          </w14:textFill>
        </w:rPr>
        <w:t>完成率100%。</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山亭区人武部</w:t>
      </w:r>
      <w:r>
        <w:rPr>
          <w:rFonts w:ascii="仿宋_GB2312" w:hAnsi="仿宋_GB2312" w:eastAsia="仿宋_GB2312" w:cs="仿宋_GB2312"/>
          <w:b w:val="0"/>
          <w:bCs w:val="0"/>
          <w:color w:val="000000" w:themeColor="text1"/>
          <w:sz w:val="32"/>
          <w:szCs w:val="32"/>
          <w:lang w:bidi="ar"/>
          <w14:textFill>
            <w14:solidFill>
              <w14:schemeClr w14:val="tx1"/>
            </w14:solidFill>
          </w14:textFill>
        </w:rPr>
        <w:t>申报预算设定</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年度建设任务</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训练教学楼楼顶维修650㎡、老旧墙体及墙砖地砖铲除9543㎡、墙体粉刷6576㎡、训练场地平整2600㎡、场地道路6022㎡、训练场地硬化2894㎡、门窗安装更换等</w:t>
      </w:r>
      <w:r>
        <w:rPr>
          <w:rFonts w:ascii="仿宋_GB2312" w:hAnsi="仿宋_GB2312" w:eastAsia="仿宋_GB2312" w:cs="仿宋_GB2312"/>
          <w:b w:val="0"/>
          <w:bCs w:val="0"/>
          <w:color w:val="000000" w:themeColor="text1"/>
          <w:sz w:val="32"/>
          <w:szCs w:val="32"/>
          <w:lang w:bidi="ar"/>
          <w14:textFill>
            <w14:solidFill>
              <w14:schemeClr w14:val="tx1"/>
            </w14:solidFill>
          </w14:textFill>
        </w:rPr>
        <w:t>，验收合格率达到100%</w:t>
      </w:r>
      <w:r>
        <w:rPr>
          <w:rFonts w:hint="eastAsia" w:ascii="仿宋_GB2312" w:hAnsi="仿宋_GB2312" w:eastAsia="仿宋_GB2312" w:cs="仿宋_GB2312"/>
          <w:b w:val="0"/>
          <w:bCs w:val="0"/>
          <w:color w:val="000000" w:themeColor="text1"/>
          <w:sz w:val="32"/>
          <w:szCs w:val="32"/>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实际完成</w:t>
      </w:r>
      <w:r>
        <w:rPr>
          <w:rFonts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训练教学楼楼顶维修650㎡、老旧墙体及墙砖地砖铲除9543㎡、墙体粉刷6576㎡、训练场地平整2600㎡、场地道路6022㎡、训练场地硬化2894㎡、门窗安装更换等</w:t>
      </w:r>
      <w:r>
        <w:rPr>
          <w:rFonts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实际完成率</w:t>
      </w:r>
      <w:r>
        <w:rPr>
          <w:rFonts w:ascii="仿宋_GB2312" w:hAnsi="仿宋_GB2312" w:eastAsia="仿宋_GB2312" w:cs="仿宋_GB2312"/>
          <w:b w:val="0"/>
          <w:bCs w:val="0"/>
          <w:color w:val="000000" w:themeColor="text1"/>
          <w:sz w:val="32"/>
          <w:szCs w:val="32"/>
          <w:lang w:bidi="ar"/>
          <w14:textFill>
            <w14:solidFill>
              <w14:schemeClr w14:val="tx1"/>
            </w14:solidFill>
          </w14:textFill>
        </w:rPr>
        <w:t>100%。</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并于</w:t>
      </w:r>
      <w:r>
        <w:rPr>
          <w:rFonts w:ascii="仿宋_GB2312" w:hAnsi="仿宋_GB2312" w:eastAsia="仿宋_GB2312" w:cs="仿宋_GB2312"/>
          <w:b w:val="0"/>
          <w:bCs w:val="0"/>
          <w:color w:val="000000" w:themeColor="text1"/>
          <w:sz w:val="32"/>
          <w:szCs w:val="32"/>
          <w:lang w:bidi="ar"/>
          <w14:textFill>
            <w14:solidFill>
              <w14:schemeClr w14:val="tx1"/>
            </w14:solidFill>
          </w14:textFill>
        </w:rPr>
        <w:t>2020年</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12</w:t>
      </w:r>
      <w:r>
        <w:rPr>
          <w:rFonts w:ascii="仿宋_GB2312" w:hAnsi="仿宋_GB2312" w:eastAsia="仿宋_GB2312" w:cs="仿宋_GB2312"/>
          <w:b w:val="0"/>
          <w:bCs w:val="0"/>
          <w:color w:val="000000" w:themeColor="text1"/>
          <w:sz w:val="32"/>
          <w:szCs w:val="32"/>
          <w:lang w:bidi="ar"/>
          <w14:textFill>
            <w14:solidFill>
              <w14:schemeClr w14:val="tx1"/>
            </w14:solidFill>
          </w14:textFill>
        </w:rPr>
        <w:t>月</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25日</w:t>
      </w:r>
      <w:r>
        <w:rPr>
          <w:rFonts w:ascii="仿宋_GB2312" w:hAnsi="仿宋_GB2312" w:eastAsia="仿宋_GB2312" w:cs="仿宋_GB2312"/>
          <w:b w:val="0"/>
          <w:bCs w:val="0"/>
          <w:color w:val="000000" w:themeColor="text1"/>
          <w:sz w:val="32"/>
          <w:szCs w:val="32"/>
          <w:lang w:bidi="ar"/>
          <w14:textFill>
            <w14:solidFill>
              <w14:schemeClr w14:val="tx1"/>
            </w14:solidFill>
          </w14:textFill>
        </w:rPr>
        <w:t>出具了</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工程质量评估</w:t>
      </w:r>
      <w:r>
        <w:rPr>
          <w:rFonts w:ascii="仿宋_GB2312" w:hAnsi="仿宋_GB2312" w:eastAsia="仿宋_GB2312" w:cs="仿宋_GB2312"/>
          <w:b w:val="0"/>
          <w:bCs w:val="0"/>
          <w:color w:val="000000" w:themeColor="text1"/>
          <w:sz w:val="32"/>
          <w:szCs w:val="32"/>
          <w:lang w:bidi="ar"/>
          <w14:textFill>
            <w14:solidFill>
              <w14:schemeClr w14:val="tx1"/>
            </w14:solidFill>
          </w14:textFill>
        </w:rPr>
        <w:t>报告</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，验收合格率100%。</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但验收报告出具时间早于实际验收时间，项目验收程序不规范。</w:t>
      </w:r>
    </w:p>
    <w:p>
      <w:pPr>
        <w:keepNext w:val="0"/>
        <w:keepLines w:val="0"/>
        <w:pageBreakBefore w:val="0"/>
        <w:widowControl/>
        <w:shd w:val="clear"/>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themeColor="text1"/>
          <w:sz w:val="32"/>
          <w:szCs w:val="32"/>
          <w:lang w:bidi="ar"/>
          <w14:textFill>
            <w14:solidFill>
              <w14:schemeClr w14:val="tx1"/>
            </w14:solidFill>
          </w14:textFill>
        </w:rPr>
      </w:pPr>
      <w:bookmarkStart w:id="177" w:name="_Toc568898784_WPSOffice_Level2"/>
      <w:bookmarkStart w:id="178" w:name="_Toc1604993465_WPSOffice_Level2"/>
      <w:bookmarkStart w:id="179" w:name="_Toc1697834331_WPSOffice_Level2"/>
      <w:r>
        <w:rPr>
          <w:rFonts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2</w:t>
      </w:r>
      <w:r>
        <w:rPr>
          <w:rFonts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产出时效</w:t>
      </w:r>
      <w:bookmarkEnd w:id="177"/>
      <w:bookmarkEnd w:id="178"/>
      <w:bookmarkEnd w:id="179"/>
    </w:p>
    <w:p>
      <w:pPr>
        <w:keepNext w:val="0"/>
        <w:keepLines w:val="0"/>
        <w:pageBreakBefore w:val="0"/>
        <w:widowControl/>
        <w:shd w:val="clear"/>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b w:val="0"/>
          <w:bCs w:val="0"/>
          <w:color w:val="000000" w:themeColor="text1"/>
          <w:sz w:val="32"/>
          <w:szCs w:val="32"/>
          <w:lang w:val="en-US" w:eastAsia="zh-CN" w:bidi="ar"/>
          <w14:textFill>
            <w14:solidFill>
              <w14:schemeClr w14:val="tx1"/>
            </w14:solidFill>
          </w14:textFill>
        </w:rPr>
      </w:pPr>
      <w:r>
        <w:rPr>
          <w:rFonts w:ascii="仿宋_GB2312" w:hAnsi="仿宋_GB2312" w:eastAsia="仿宋_GB2312" w:cs="仿宋_GB2312"/>
          <w:b w:val="0"/>
          <w:bCs w:val="0"/>
          <w:color w:val="000000" w:themeColor="text1"/>
          <w:sz w:val="32"/>
          <w:szCs w:val="32"/>
          <w:lang w:bidi="ar"/>
          <w14:textFill>
            <w14:solidFill>
              <w14:schemeClr w14:val="tx1"/>
            </w14:solidFill>
          </w14:textFill>
        </w:rPr>
        <w:t>评价发现，</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山亭区人武部及时完成了2019年山亭区民兵训练基地升级改造任务。</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山亭区民兵训练基地升级改造</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计划开工时间2019年11月1日，计划完工时间2019年12月31日。项目实际开工时间2019年11月1日，并于2019年12月31日完成项目收尾清理工，项目产出时效性良好。</w:t>
      </w:r>
    </w:p>
    <w:p>
      <w:pPr>
        <w:keepNext w:val="0"/>
        <w:keepLines w:val="0"/>
        <w:pageBreakBefore w:val="0"/>
        <w:widowControl/>
        <w:shd w:val="clear"/>
        <w:kinsoku/>
        <w:wordWrap/>
        <w:overflowPunct w:val="0"/>
        <w:topLinePunct w:val="0"/>
        <w:autoSpaceDE w:val="0"/>
        <w:autoSpaceDN w:val="0"/>
        <w:bidi w:val="0"/>
        <w:adjustRightInd w:val="0"/>
        <w:snapToGrid/>
        <w:spacing w:line="580" w:lineRule="exact"/>
        <w:ind w:firstLine="640" w:firstLineChars="200"/>
        <w:textAlignment w:val="baseline"/>
        <w:rPr>
          <w:rFonts w:hint="eastAsia" w:eastAsia="仿宋_GB2312"/>
          <w:b w:val="0"/>
          <w:bCs w:val="0"/>
          <w:color w:val="000000" w:themeColor="text1"/>
          <w:lang w:val="en-US" w:eastAsia="zh-CN"/>
          <w14:textFill>
            <w14:solidFill>
              <w14:schemeClr w14:val="tx1"/>
            </w14:solidFill>
          </w14:textFill>
        </w:rPr>
      </w:pPr>
      <w:r>
        <w:rPr>
          <w:rFonts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3</w:t>
      </w:r>
      <w:r>
        <w:rPr>
          <w:rFonts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产出</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成本</w:t>
      </w:r>
    </w:p>
    <w:p>
      <w:pPr>
        <w:keepNext w:val="0"/>
        <w:keepLines w:val="0"/>
        <w:pageBreakBefore w:val="0"/>
        <w:widowControl/>
        <w:shd w:val="clear"/>
        <w:kinsoku/>
        <w:wordWrap/>
        <w:overflowPunct w:val="0"/>
        <w:topLinePunct w:val="0"/>
        <w:autoSpaceDE w:val="0"/>
        <w:autoSpaceDN w:val="0"/>
        <w:bidi w:val="0"/>
        <w:adjustRightInd w:val="0"/>
        <w:snapToGrid/>
        <w:spacing w:line="580" w:lineRule="exact"/>
        <w:ind w:firstLine="640" w:firstLineChars="200"/>
        <w:textAlignment w:val="baseline"/>
        <w:rPr>
          <w:b w:val="0"/>
          <w:bCs w:val="0"/>
          <w:color w:val="000000" w:themeColor="text1"/>
          <w:lang w:bidi="ar"/>
          <w14:textFill>
            <w14:solidFill>
              <w14:schemeClr w14:val="tx1"/>
            </w14:solidFill>
          </w14:textFill>
        </w:rPr>
      </w:pPr>
      <w:r>
        <w:rPr>
          <w:rFonts w:ascii="仿宋_GB2312" w:hAnsi="仿宋_GB2312" w:eastAsia="仿宋_GB2312" w:cs="仿宋_GB2312"/>
          <w:b w:val="0"/>
          <w:bCs w:val="0"/>
          <w:color w:val="000000" w:themeColor="text1"/>
          <w:sz w:val="32"/>
          <w:szCs w:val="32"/>
          <w:lang w:bidi="ar"/>
          <w14:textFill>
            <w14:solidFill>
              <w14:schemeClr w14:val="tx1"/>
            </w14:solidFill>
          </w14:textFill>
        </w:rPr>
        <w:t>评价发现</w:t>
      </w:r>
      <w:r>
        <w:rPr>
          <w:rFonts w:hint="eastAsia" w:ascii="仿宋_GB2312" w:hAnsi="仿宋_GB2312" w:eastAsia="仿宋_GB2312" w:cs="仿宋_GB2312"/>
          <w:b w:val="0"/>
          <w:bCs w:val="0"/>
          <w:color w:val="000000" w:themeColor="text1"/>
          <w:sz w:val="32"/>
          <w:szCs w:val="32"/>
          <w:lang w:eastAsia="zh-CN"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山亭区民兵训练基地升级改造</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总资金预算额度163.04万元</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t>合同内工程量及变更增加工程量合计造价审定金额为186.61万元，超出预算资金额度14.46%</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pageBreakBefore w:val="0"/>
        <w:widowControl/>
        <w:numPr>
          <w:ilvl w:val="255"/>
          <w:numId w:val="0"/>
        </w:numPr>
        <w:shd w:val="clear"/>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b w:val="0"/>
          <w:bCs w:val="0"/>
          <w:color w:val="000000" w:themeColor="text1"/>
          <w:sz w:val="32"/>
          <w:szCs w:val="32"/>
          <w:lang w:val="zh-CN" w:bidi="ar"/>
          <w14:textFill>
            <w14:solidFill>
              <w14:schemeClr w14:val="tx1"/>
            </w14:solidFill>
          </w14:textFill>
        </w:rPr>
      </w:pPr>
      <w:bookmarkStart w:id="180" w:name="_Toc815486040_WPSOffice_Level3"/>
      <w:bookmarkStart w:id="181" w:name="_Toc1247275017_WPSOffice_Level3"/>
      <w:bookmarkStart w:id="182" w:name="_Toc983716265_WPSOffice_Level3"/>
      <w:bookmarkStart w:id="183" w:name="_Toc1300777895_WPSOffice_Level3"/>
      <w:r>
        <w:rPr>
          <w:rFonts w:ascii="仿宋_GB2312" w:hAnsi="仿宋_GB2312" w:eastAsia="仿宋_GB2312" w:cs="仿宋_GB2312"/>
          <w:b w:val="0"/>
          <w:bCs w:val="0"/>
          <w:color w:val="000000" w:themeColor="text1"/>
          <w:sz w:val="32"/>
          <w:szCs w:val="32"/>
          <w:lang w:val="zh-CN" w:bidi="ar"/>
          <w14:textFill>
            <w14:solidFill>
              <w14:schemeClr w14:val="tx1"/>
            </w14:solidFill>
          </w14:textFill>
        </w:rPr>
        <w:t>4.效果指标</w:t>
      </w:r>
      <w:bookmarkEnd w:id="180"/>
      <w:bookmarkEnd w:id="181"/>
      <w:bookmarkEnd w:id="182"/>
      <w:bookmarkEnd w:id="183"/>
    </w:p>
    <w:p>
      <w:pPr>
        <w:pStyle w:val="2"/>
        <w:ind w:firstLine="562"/>
        <w:jc w:val="center"/>
        <w:rPr>
          <w:color w:val="000000" w:themeColor="text1"/>
          <w14:textFill>
            <w14:solidFill>
              <w14:schemeClr w14:val="tx1"/>
            </w14:solidFill>
          </w14:textFill>
        </w:rPr>
      </w:pPr>
      <w:bookmarkStart w:id="184" w:name="_Toc1556274727_WPSOffice_Level2"/>
      <w:bookmarkStart w:id="185" w:name="_Toc1145193735_WPSOffice_Level2"/>
      <w:bookmarkStart w:id="186" w:name="_Toc795291155_WPSOffice_Level2"/>
      <w:r>
        <w:rPr>
          <w:rFonts w:hint="eastAsia" w:asciiTheme="minorEastAsia" w:hAnsiTheme="minorEastAsia" w:eastAsiaTheme="minorEastAsia" w:cstheme="minorEastAsia"/>
          <w:b/>
          <w:bCs/>
          <w:color w:val="000000" w:themeColor="text1"/>
          <w:sz w:val="28"/>
          <w:szCs w:val="28"/>
          <w:lang w:bidi="ar"/>
          <w14:textFill>
            <w14:solidFill>
              <w14:schemeClr w14:val="tx1"/>
            </w14:solidFill>
          </w14:textFill>
        </w:rPr>
        <w:t>表7</w:t>
      </w:r>
      <w:r>
        <w:rPr>
          <w:rFonts w:asciiTheme="minorEastAsia" w:hAnsiTheme="minorEastAsia" w:eastAsiaTheme="minorEastAsia" w:cstheme="minorEastAsia"/>
          <w:b/>
          <w:bCs/>
          <w:color w:val="000000" w:themeColor="text1"/>
          <w:sz w:val="28"/>
          <w:szCs w:val="28"/>
          <w:lang w:bidi="ar"/>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lang w:bidi="ar"/>
          <w14:textFill>
            <w14:solidFill>
              <w14:schemeClr w14:val="tx1"/>
            </w14:solidFill>
          </w14:textFill>
        </w:rPr>
        <w:t>效果指标得分情况表</w:t>
      </w:r>
      <w:bookmarkEnd w:id="184"/>
      <w:bookmarkEnd w:id="185"/>
      <w:bookmarkEnd w:id="186"/>
    </w:p>
    <w:tbl>
      <w:tblPr>
        <w:tblStyle w:val="18"/>
        <w:tblW w:w="9338" w:type="dxa"/>
        <w:tblInd w:w="0" w:type="dxa"/>
        <w:shd w:val="clear" w:color="auto" w:fill="auto"/>
        <w:tblLayout w:type="fixed"/>
        <w:tblCellMar>
          <w:top w:w="0" w:type="dxa"/>
          <w:left w:w="0" w:type="dxa"/>
          <w:bottom w:w="0" w:type="dxa"/>
          <w:right w:w="0" w:type="dxa"/>
        </w:tblCellMar>
      </w:tblPr>
      <w:tblGrid>
        <w:gridCol w:w="561"/>
        <w:gridCol w:w="636"/>
        <w:gridCol w:w="624"/>
        <w:gridCol w:w="660"/>
        <w:gridCol w:w="1104"/>
        <w:gridCol w:w="593"/>
        <w:gridCol w:w="612"/>
        <w:gridCol w:w="852"/>
        <w:gridCol w:w="1608"/>
        <w:gridCol w:w="624"/>
        <w:gridCol w:w="588"/>
        <w:gridCol w:w="876"/>
      </w:tblGrid>
      <w:tr>
        <w:tblPrEx>
          <w:shd w:val="clear" w:color="auto" w:fill="auto"/>
          <w:tblCellMar>
            <w:top w:w="0" w:type="dxa"/>
            <w:left w:w="0" w:type="dxa"/>
            <w:bottom w:w="0" w:type="dxa"/>
            <w:right w:w="0" w:type="dxa"/>
          </w:tblCellMar>
        </w:tblPrEx>
        <w:trPr>
          <w:trHeight w:val="630" w:hRule="atLeast"/>
        </w:trPr>
        <w:tc>
          <w:tcPr>
            <w:tcW w:w="5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一级指标</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10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二级指标</w:t>
            </w:r>
          </w:p>
        </w:tc>
        <w:tc>
          <w:tcPr>
            <w:tcW w:w="5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三级指标</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分值</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lang w:bidi="ar"/>
                <w14:textFill>
                  <w14:solidFill>
                    <w14:schemeClr w14:val="tx1"/>
                  </w14:solidFill>
                </w14:textFill>
              </w:rPr>
              <w:t>得分率</w:t>
            </w:r>
          </w:p>
        </w:tc>
      </w:tr>
      <w:tr>
        <w:tblPrEx>
          <w:shd w:val="clear" w:color="auto" w:fill="auto"/>
          <w:tblCellMar>
            <w:top w:w="0" w:type="dxa"/>
            <w:left w:w="0" w:type="dxa"/>
            <w:bottom w:w="0" w:type="dxa"/>
            <w:right w:w="0" w:type="dxa"/>
          </w:tblCellMar>
        </w:tblPrEx>
        <w:trPr>
          <w:trHeight w:val="500" w:hRule="atLeast"/>
        </w:trPr>
        <w:tc>
          <w:tcPr>
            <w:tcW w:w="56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效果</w:t>
            </w:r>
          </w:p>
        </w:tc>
        <w:tc>
          <w:tcPr>
            <w:tcW w:w="63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30</w:t>
            </w:r>
          </w:p>
        </w:tc>
        <w:tc>
          <w:tcPr>
            <w:tcW w:w="62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30</w:t>
            </w:r>
          </w:p>
        </w:tc>
        <w:tc>
          <w:tcPr>
            <w:tcW w:w="66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14:textFill>
                  <w14:solidFill>
                    <w14:schemeClr w14:val="tx1"/>
                  </w14:solidFill>
                </w14:textFill>
              </w:rPr>
              <w:t>%</w:t>
            </w:r>
          </w:p>
        </w:tc>
        <w:tc>
          <w:tcPr>
            <w:tcW w:w="110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项目效益</w:t>
            </w:r>
          </w:p>
        </w:tc>
        <w:tc>
          <w:tcPr>
            <w:tcW w:w="593"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30</w:t>
            </w:r>
          </w:p>
        </w:tc>
        <w:tc>
          <w:tcPr>
            <w:tcW w:w="61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30</w:t>
            </w:r>
          </w:p>
        </w:tc>
        <w:tc>
          <w:tcPr>
            <w:tcW w:w="852"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100</w:t>
            </w:r>
            <w:r>
              <w:rPr>
                <w:rFonts w:hint="eastAsia" w:asciiTheme="minorEastAsia" w:hAnsiTheme="minorEastAsia" w:eastAsiaTheme="minorEastAsia" w:cstheme="minorEastAsia"/>
                <w:color w:val="000000" w:themeColor="text1"/>
                <w14:textFill>
                  <w14:solidFill>
                    <w14:schemeClr w14:val="tx1"/>
                  </w14:solidFill>
                </w14:textFill>
              </w:rPr>
              <w:t>%</w:t>
            </w: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社会效益</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10</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lang w:bidi="ar"/>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100%</w:t>
            </w:r>
          </w:p>
        </w:tc>
      </w:tr>
      <w:tr>
        <w:tblPrEx>
          <w:shd w:val="clear" w:color="auto" w:fill="auto"/>
          <w:tblCellMar>
            <w:top w:w="0" w:type="dxa"/>
            <w:left w:w="0" w:type="dxa"/>
            <w:bottom w:w="0" w:type="dxa"/>
            <w:right w:w="0" w:type="dxa"/>
          </w:tblCellMar>
        </w:tblPrEx>
        <w:trPr>
          <w:trHeight w:val="500" w:hRule="atLeast"/>
        </w:trPr>
        <w:tc>
          <w:tcPr>
            <w:tcW w:w="56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593"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61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852"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可持续性影响</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6</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6</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86.67%</w:t>
            </w:r>
          </w:p>
        </w:tc>
      </w:tr>
      <w:tr>
        <w:tblPrEx>
          <w:shd w:val="clear" w:color="auto" w:fill="auto"/>
          <w:tblCellMar>
            <w:top w:w="0" w:type="dxa"/>
            <w:left w:w="0" w:type="dxa"/>
            <w:bottom w:w="0" w:type="dxa"/>
            <w:right w:w="0" w:type="dxa"/>
          </w:tblCellMar>
        </w:tblPrEx>
        <w:trPr>
          <w:trHeight w:val="380" w:hRule="atLeast"/>
        </w:trPr>
        <w:tc>
          <w:tcPr>
            <w:tcW w:w="56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3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2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6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10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593"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61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852"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Theme="minorEastAsia" w:hAnsiTheme="minorEastAsia" w:eastAsiaTheme="minorEastAsia" w:cstheme="minorEastAsia"/>
                <w:color w:val="000000" w:themeColor="text1"/>
                <w14:textFill>
                  <w14:solidFill>
                    <w14:schemeClr w14:val="tx1"/>
                  </w14:solidFill>
                </w14:textFill>
              </w:rPr>
            </w:pPr>
          </w:p>
        </w:tc>
        <w:tc>
          <w:tcPr>
            <w:tcW w:w="16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bidi="ar"/>
                <w14:textFill>
                  <w14:solidFill>
                    <w14:schemeClr w14:val="tx1"/>
                  </w14:solidFill>
                </w14:textFill>
              </w:rPr>
              <w:t>服务对象满意度</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bidi="ar"/>
                <w14:textFill>
                  <w14:solidFill>
                    <w14:schemeClr w14:val="tx1"/>
                  </w14:solidFill>
                </w14:textFill>
              </w:rPr>
              <w:t>14</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14</w:t>
            </w:r>
          </w:p>
        </w:tc>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91</w:t>
            </w:r>
            <w:r>
              <w:rPr>
                <w:rFonts w:asciiTheme="minorEastAsia" w:hAnsiTheme="minorEastAsia" w:eastAsiaTheme="minorEastAsia" w:cstheme="minorEastAsia"/>
                <w:color w:val="000000" w:themeColor="text1"/>
                <w14:textFill>
                  <w14:solidFill>
                    <w14:schemeClr w14:val="tx1"/>
                  </w14:solidFill>
                </w14:textFill>
              </w:rPr>
              <w:t>%</w:t>
            </w:r>
          </w:p>
        </w:tc>
      </w:tr>
    </w:tbl>
    <w:p>
      <w:pPr>
        <w:keepNext w:val="0"/>
        <w:keepLines w:val="0"/>
        <w:pageBreakBefore w:val="0"/>
        <w:widowControl/>
        <w:numPr>
          <w:ilvl w:val="255"/>
          <w:numId w:val="0"/>
        </w:numPr>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bookmarkStart w:id="187" w:name="_Toc1522659731_WPSOffice_Level2"/>
      <w:bookmarkStart w:id="188" w:name="_Toc2105999876_WPSOffice_Level2"/>
      <w:bookmarkStart w:id="189" w:name="_Toc520223157_WPSOffice_Level2"/>
      <w:r>
        <w:rPr>
          <w:rFonts w:hint="eastAsia" w:ascii="仿宋_GB2312" w:hAnsi="仿宋_GB2312" w:eastAsia="仿宋_GB2312" w:cs="仿宋_GB2312"/>
          <w:color w:val="000000" w:themeColor="text1"/>
          <w:sz w:val="32"/>
          <w:szCs w:val="32"/>
          <w:lang w:bidi="ar"/>
          <w14:textFill>
            <w14:solidFill>
              <w14:schemeClr w14:val="tx1"/>
            </w14:solidFill>
          </w14:textFill>
        </w:rPr>
        <w:t>（1）项目效益</w:t>
      </w:r>
      <w:bookmarkEnd w:id="187"/>
      <w:bookmarkEnd w:id="188"/>
      <w:bookmarkEnd w:id="189"/>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①</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社会效益</w:t>
      </w:r>
    </w:p>
    <w:p>
      <w:pPr>
        <w:pStyle w:val="12"/>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评价发现，山亭区人武部通过山亭区民兵训练基地升级改造项目有效的改善了民兵训练基地的基础条件，山亭区人武部严格贯彻落实《关于推进近期国防动员重点工作落实的实施意见》（鲁国动【2019】13号）文件精神，按照民兵训练基地建设标准执行，完善基地基础设施，有效的保障了上级交给山亭区人武部的训练任务。</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②可持续影响</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ascii="仿宋_GB2312" w:hAnsi="仿宋_GB2312" w:eastAsia="仿宋_GB2312" w:cs="仿宋_GB2312"/>
          <w:color w:val="000000" w:themeColor="text1"/>
          <w:sz w:val="32"/>
          <w:szCs w:val="32"/>
          <w:lang w:bidi="ar"/>
          <w14:textFill>
            <w14:solidFill>
              <w14:schemeClr w14:val="tx1"/>
            </w14:solidFill>
          </w14:textFill>
        </w:rPr>
        <w:t>评价发现</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本项目政策和资金保障充分，</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建设效果良好，有效保障山亭区人武部每年的训练任务且持续有效</w:t>
      </w:r>
      <w:r>
        <w:rPr>
          <w:rFonts w:hint="eastAsia" w:ascii="仿宋_GB2312" w:hAnsi="仿宋_GB2312" w:eastAsia="仿宋_GB2312" w:cs="仿宋_GB2312"/>
          <w:color w:val="000000" w:themeColor="text1"/>
          <w:sz w:val="32"/>
          <w:szCs w:val="32"/>
          <w:lang w:bidi="ar"/>
          <w14:textFill>
            <w14:solidFill>
              <w14:schemeClr w14:val="tx1"/>
            </w14:solidFill>
          </w14:textFill>
        </w:rPr>
        <w:t>，项目可持续影响较好。</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default" w:ascii="仿宋_GB2312" w:hAnsi="仿宋_GB2312" w:eastAsia="仿宋_GB2312" w:cs="仿宋_GB2312"/>
          <w:color w:val="000000" w:themeColor="text1"/>
          <w:sz w:val="32"/>
          <w:szCs w:val="32"/>
          <w:lang w:bidi="ar"/>
          <w14:textFill>
            <w14:solidFill>
              <w14:schemeClr w14:val="tx1"/>
            </w14:solidFill>
          </w14:textFill>
        </w:rPr>
        <w:t>③</w:t>
      </w:r>
      <w:r>
        <w:rPr>
          <w:rFonts w:hint="eastAsia" w:ascii="仿宋_GB2312" w:hAnsi="仿宋_GB2312" w:eastAsia="仿宋_GB2312" w:cs="仿宋_GB2312"/>
          <w:color w:val="000000" w:themeColor="text1"/>
          <w:sz w:val="32"/>
          <w:szCs w:val="32"/>
          <w:lang w:bidi="ar"/>
          <w14:textFill>
            <w14:solidFill>
              <w14:schemeClr w14:val="tx1"/>
            </w14:solidFill>
          </w14:textFill>
        </w:rPr>
        <w:t>服务对象满意度</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本次满意度调查问卷受益部门满意度调查共发放调查问卷37份，问卷从民兵训练基地升级改造是否有必要、民兵训练基地升级改造的项目实施效果如何、民兵训练基地升级改造规模是否满足训练需求、民兵训练基地升级改造后的训练设施是否齐全、民兵训练基地升级改造后训练设施是否实用、民兵训练基地升级改造后可使用年限等方面收集了相关满意度。统计结果显示，受训人员与主管部门满意度均为100%。</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outlineLvl w:val="0"/>
        <w:rPr>
          <w:rFonts w:hint="eastAsia" w:ascii="仿宋_GB2312" w:hAnsi="仿宋_GB2312" w:eastAsia="仿宋_GB2312" w:cs="仿宋_GB2312"/>
          <w:color w:val="000000" w:themeColor="text1"/>
          <w:sz w:val="32"/>
          <w:szCs w:val="32"/>
          <w:lang w:bidi="ar"/>
          <w14:textFill>
            <w14:solidFill>
              <w14:schemeClr w14:val="tx1"/>
            </w14:solidFill>
          </w14:textFill>
        </w:rPr>
      </w:pPr>
      <w:bookmarkStart w:id="190" w:name="_Toc1298603348_WPSOffice_Level1"/>
      <w:bookmarkStart w:id="191" w:name="_Toc1789799330"/>
      <w:bookmarkStart w:id="192" w:name="_Toc1855551514_WPSOffice_Level1"/>
      <w:bookmarkStart w:id="193" w:name="_Toc18817"/>
      <w:r>
        <w:rPr>
          <w:rFonts w:hint="eastAsia" w:ascii="黑体" w:hAnsi="黑体" w:eastAsia="黑体" w:cs="黑体"/>
          <w:color w:val="000000" w:themeColor="text1"/>
          <w:sz w:val="32"/>
          <w:szCs w:val="32"/>
          <w:lang w:val="en-US" w:eastAsia="zh-CN" w:bidi="ar"/>
          <w14:textFill>
            <w14:solidFill>
              <w14:schemeClr w14:val="tx1"/>
            </w14:solidFill>
          </w14:textFill>
        </w:rPr>
        <w:t>五、项目主要绩效</w:t>
      </w:r>
      <w:bookmarkEnd w:id="190"/>
      <w:bookmarkEnd w:id="191"/>
      <w:bookmarkEnd w:id="192"/>
      <w:bookmarkEnd w:id="193"/>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2020年度基干民兵训练任务按照山亭区人武部年初计划有序的安排部署，紧密结合民兵预备役工作的实际和特点，狠抓落实、讲求实效，通过教育及训练，有效的提高了广大民兵预备役人员的思想政治素质及军事应急战备能力，达到了预期效果。截止2020年9月为止，山亭区人武部已完成训练任务如下：1、2020年5月-6月份在民兵训练基地完成90人基干民兵为期45天的刺杀操科目训练，并在全市双争双创活动中得到省军区首长的好评；2、2020年9月初在民兵训练基地完成全区150名合格应征青年进行为期10天的役前封闭式训练。通过对民兵训练基地的改造项目，有效的保障了训练任务的完成。</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line="580" w:lineRule="exact"/>
        <w:ind w:firstLine="640" w:firstLineChars="200"/>
        <w:textAlignment w:val="baseline"/>
        <w:outlineLvl w:val="0"/>
        <w:rPr>
          <w:rFonts w:hint="eastAsia" w:ascii="黑体" w:hAnsi="黑体" w:eastAsia="黑体" w:cs="黑体"/>
          <w:color w:val="000000" w:themeColor="text1"/>
          <w:sz w:val="32"/>
          <w:szCs w:val="32"/>
          <w:lang w:bidi="ar"/>
          <w14:textFill>
            <w14:solidFill>
              <w14:schemeClr w14:val="tx1"/>
            </w14:solidFill>
          </w14:textFill>
        </w:rPr>
      </w:pPr>
      <w:bookmarkStart w:id="194" w:name="_Toc878545437"/>
      <w:bookmarkStart w:id="195" w:name="_Toc32734"/>
      <w:bookmarkStart w:id="196" w:name="_Toc496774064_WPSOffice_Level1"/>
      <w:bookmarkStart w:id="197" w:name="_Toc750165375_WPSOffice_Level1"/>
      <w:r>
        <w:rPr>
          <w:rFonts w:hint="eastAsia" w:ascii="黑体" w:hAnsi="黑体" w:eastAsia="黑体" w:cs="黑体"/>
          <w:color w:val="000000" w:themeColor="text1"/>
          <w:sz w:val="32"/>
          <w:szCs w:val="32"/>
          <w:lang w:val="en-US" w:eastAsia="zh-CN" w:bidi="ar"/>
          <w14:textFill>
            <w14:solidFill>
              <w14:schemeClr w14:val="tx1"/>
            </w14:solidFill>
          </w14:textFill>
        </w:rPr>
        <w:t>六、</w:t>
      </w:r>
      <w:r>
        <w:rPr>
          <w:rFonts w:hint="eastAsia" w:ascii="黑体" w:hAnsi="黑体" w:eastAsia="黑体" w:cs="黑体"/>
          <w:color w:val="000000" w:themeColor="text1"/>
          <w:sz w:val="32"/>
          <w:szCs w:val="32"/>
          <w:lang w:bidi="ar"/>
          <w14:textFill>
            <w14:solidFill>
              <w14:schemeClr w14:val="tx1"/>
            </w14:solidFill>
          </w14:textFill>
        </w:rPr>
        <w:t>存在的问题和</w:t>
      </w:r>
      <w:r>
        <w:rPr>
          <w:rFonts w:ascii="黑体" w:hAnsi="黑体" w:eastAsia="黑体" w:cs="黑体"/>
          <w:color w:val="000000" w:themeColor="text1"/>
          <w:sz w:val="32"/>
          <w:szCs w:val="32"/>
          <w:lang w:bidi="ar"/>
          <w14:textFill>
            <w14:solidFill>
              <w14:schemeClr w14:val="tx1"/>
            </w14:solidFill>
          </w14:textFill>
        </w:rPr>
        <w:t>建议</w:t>
      </w:r>
      <w:bookmarkEnd w:id="194"/>
      <w:bookmarkEnd w:id="195"/>
      <w:bookmarkEnd w:id="196"/>
      <w:bookmarkEnd w:id="197"/>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本次现场评价发现</w:t>
      </w:r>
      <w:bookmarkStart w:id="198" w:name="_Toc152966088_WPSOffice_Level1"/>
      <w:bookmarkStart w:id="199" w:name="_Toc1763086534"/>
      <w:bookmarkStart w:id="200" w:name="_Toc2012757759_WPSOffice_Level1"/>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山亭区人武部在本项目的实施过程中存在的一些问题：</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1.在项目的立项过程中的可行性研究报告、立项申报等文件未进行申报或丢失，资料未进行及时收集管理，管理方式粗放；</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2.组织机构监控，项目调整手续不完备。项目实施过程中针对项目实施有专项检查但并未形成有效的工作检查记录；项目实施内容调整增项出具了工程评审预算报告，但缺少调整增项手续；</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3.项目验收不规范不严谨，施工日志验收时间为2019年12月31日进行验收，监理公司于2019年12月25日出具工程质量评估报告；</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4.因项目前期工程预算不到位，实际审定金额为186.61万元超出预算资金额度163.04万元14.46%。</w:t>
      </w:r>
    </w:p>
    <w:p>
      <w:pPr>
        <w:pStyle w:val="12"/>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本次现场评价相关建议：建议项目主管单位完善项目立项的相关申请及批复手续；加强项目管理，在以项目实施过程中加强监督检查并形成有效的管理文件；加强项目相关资料的收集管理工作。</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outlineLvl w:val="0"/>
        <w:rPr>
          <w:rFonts w:ascii="黑体" w:hAnsi="黑体" w:eastAsia="黑体" w:cs="黑体"/>
          <w:color w:val="000000" w:themeColor="text1"/>
          <w:sz w:val="32"/>
          <w:szCs w:val="32"/>
          <w:lang w:bidi="ar"/>
          <w14:textFill>
            <w14:solidFill>
              <w14:schemeClr w14:val="tx1"/>
            </w14:solidFill>
          </w14:textFill>
        </w:rPr>
      </w:pPr>
      <w:bookmarkStart w:id="201" w:name="_Toc32663"/>
      <w:r>
        <w:rPr>
          <w:rFonts w:hint="eastAsia" w:ascii="黑体" w:hAnsi="黑体" w:eastAsia="黑体" w:cs="黑体"/>
          <w:color w:val="000000" w:themeColor="text1"/>
          <w:sz w:val="32"/>
          <w:szCs w:val="32"/>
          <w:lang w:val="en-US" w:eastAsia="zh-CN" w:bidi="ar"/>
          <w14:textFill>
            <w14:solidFill>
              <w14:schemeClr w14:val="tx1"/>
            </w14:solidFill>
          </w14:textFill>
        </w:rPr>
        <w:t>七</w:t>
      </w:r>
      <w:r>
        <w:rPr>
          <w:rFonts w:hint="eastAsia" w:ascii="黑体" w:hAnsi="黑体" w:eastAsia="黑体" w:cs="黑体"/>
          <w:color w:val="000000" w:themeColor="text1"/>
          <w:sz w:val="32"/>
          <w:szCs w:val="32"/>
          <w:lang w:bidi="ar"/>
          <w14:textFill>
            <w14:solidFill>
              <w14:schemeClr w14:val="tx1"/>
            </w14:solidFill>
          </w14:textFill>
        </w:rPr>
        <w:t>、本报告的局限性</w:t>
      </w:r>
      <w:bookmarkEnd w:id="198"/>
      <w:bookmarkEnd w:id="199"/>
      <w:bookmarkEnd w:id="200"/>
      <w:bookmarkEnd w:id="201"/>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本报告所基于的数据具有一定的局限性，主要体现在以下两个方面：</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一是本次评价所收集数据的真实性是基于各项目单位提供的资料具有真实性和可靠性，数据统计和分析工作是在假设所有信息都是在项目实施过程中实际发生的基础上进行的。</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二是本报告在对评价结果分析时所陈述的没有提供资料是指，项目单位在评价期间未能及时向评价组提供所需资料，不代表项目单位在项目实施过程中没有收集或整理相关信息。</w:t>
      </w:r>
    </w:p>
    <w:p>
      <w:pPr>
        <w:keepNext w:val="0"/>
        <w:keepLines w:val="0"/>
        <w:pageBreakBefore w:val="0"/>
        <w:widowControl/>
        <w:numPr>
          <w:ilvl w:val="255"/>
          <w:numId w:val="0"/>
        </w:numPr>
        <w:kinsoku/>
        <w:wordWrap/>
        <w:overflowPunct w:val="0"/>
        <w:topLinePunct w:val="0"/>
        <w:autoSpaceDE w:val="0"/>
        <w:autoSpaceDN w:val="0"/>
        <w:bidi w:val="0"/>
        <w:adjustRightInd w:val="0"/>
        <w:snapToGrid/>
        <w:spacing w:line="580" w:lineRule="exact"/>
        <w:ind w:firstLine="640" w:firstLineChars="200"/>
        <w:textAlignment w:val="baseline"/>
        <w:outlineLvl w:val="0"/>
        <w:rPr>
          <w:rFonts w:ascii="黑体" w:hAnsi="黑体" w:eastAsia="黑体" w:cs="黑体"/>
          <w:color w:val="000000" w:themeColor="text1"/>
          <w:sz w:val="32"/>
          <w:szCs w:val="32"/>
          <w:lang w:bidi="ar"/>
          <w14:textFill>
            <w14:solidFill>
              <w14:schemeClr w14:val="tx1"/>
            </w14:solidFill>
          </w14:textFill>
        </w:rPr>
      </w:pPr>
      <w:bookmarkStart w:id="202" w:name="_Toc363115557_WPSOffice_Level1"/>
      <w:bookmarkStart w:id="203" w:name="_Toc1257247969_WPSOffice_Level1"/>
      <w:bookmarkStart w:id="204" w:name="_Toc27883"/>
      <w:bookmarkStart w:id="205" w:name="_Toc1216015632"/>
      <w:r>
        <w:rPr>
          <w:rFonts w:hint="eastAsia" w:ascii="黑体" w:hAnsi="黑体" w:eastAsia="黑体" w:cs="黑体"/>
          <w:color w:val="000000" w:themeColor="text1"/>
          <w:sz w:val="32"/>
          <w:szCs w:val="32"/>
          <w:lang w:val="en-US" w:eastAsia="zh-CN" w:bidi="ar"/>
          <w14:textFill>
            <w14:solidFill>
              <w14:schemeClr w14:val="tx1"/>
            </w14:solidFill>
          </w14:textFill>
        </w:rPr>
        <w:t>八</w:t>
      </w:r>
      <w:r>
        <w:rPr>
          <w:rFonts w:hint="eastAsia" w:ascii="黑体" w:hAnsi="黑体" w:eastAsia="黑体" w:cs="黑体"/>
          <w:color w:val="000000" w:themeColor="text1"/>
          <w:sz w:val="32"/>
          <w:szCs w:val="32"/>
          <w:lang w:bidi="ar"/>
          <w14:textFill>
            <w14:solidFill>
              <w14:schemeClr w14:val="tx1"/>
            </w14:solidFill>
          </w14:textFill>
        </w:rPr>
        <w:t>、附件</w:t>
      </w:r>
      <w:bookmarkEnd w:id="202"/>
      <w:bookmarkEnd w:id="203"/>
      <w:bookmarkEnd w:id="204"/>
      <w:bookmarkEnd w:id="205"/>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bidi="ar"/>
          <w14:textFill>
            <w14:solidFill>
              <w14:schemeClr w14:val="tx1"/>
            </w14:solidFill>
          </w14:textFill>
        </w:rPr>
      </w:pPr>
      <w:bookmarkStart w:id="206" w:name="_Toc1935886438_WPSOffice_Level2"/>
      <w:bookmarkStart w:id="207" w:name="_Toc1948441656_WPSOffice_Level2"/>
      <w:bookmarkStart w:id="208" w:name="_Toc1729154765_WPSOffice_Level1"/>
      <w:bookmarkStart w:id="209" w:name="_Toc1681642071_WPSOffice_Level2"/>
      <w:bookmarkStart w:id="210" w:name="_Toc1246491259_WPSOffice_Level2"/>
      <w:bookmarkStart w:id="211" w:name="_Toc986019086_WPSOffice_Level2"/>
      <w:r>
        <w:rPr>
          <w:rFonts w:ascii="仿宋_GB2312" w:hAnsi="仿宋_GB2312" w:eastAsia="仿宋_GB2312" w:cs="仿宋_GB2312"/>
          <w:color w:val="000000" w:themeColor="text1"/>
          <w:sz w:val="32"/>
          <w:szCs w:val="32"/>
          <w:lang w:bidi="ar"/>
          <w14:textFill>
            <w14:solidFill>
              <w14:schemeClr w14:val="tx1"/>
            </w14:solidFill>
          </w14:textFill>
        </w:rPr>
        <w:t>1.</w:t>
      </w:r>
      <w:bookmarkEnd w:id="206"/>
      <w:bookmarkEnd w:id="207"/>
      <w:bookmarkEnd w:id="208"/>
      <w:bookmarkEnd w:id="209"/>
      <w:bookmarkEnd w:id="210"/>
      <w:bookmarkEnd w:id="211"/>
      <w:r>
        <w:rPr>
          <w:rFonts w:hint="eastAsia" w:ascii="仿宋_GB2312" w:hAnsi="仿宋_GB2312" w:eastAsia="仿宋_GB2312" w:cs="仿宋_GB2312"/>
          <w:color w:val="000000" w:themeColor="text1"/>
          <w:sz w:val="32"/>
          <w:szCs w:val="32"/>
          <w:lang w:bidi="ar"/>
          <w14:textFill>
            <w14:solidFill>
              <w14:schemeClr w14:val="tx1"/>
            </w14:solidFill>
          </w14:textFill>
        </w:rPr>
        <w:t>2019年度枣庄市山亭区民兵训练基地建设项目绩效评价指标体系</w:t>
      </w:r>
    </w:p>
    <w:p>
      <w:pPr>
        <w:pStyle w:val="2"/>
        <w:keepNext w:val="0"/>
        <w:keepLines w:val="0"/>
        <w:pageBreakBefore w:val="0"/>
        <w:widowControl/>
        <w:kinsoku/>
        <w:wordWrap/>
        <w:overflowPunct w:val="0"/>
        <w:topLinePunct w:val="0"/>
        <w:autoSpaceDE w:val="0"/>
        <w:autoSpaceDN w:val="0"/>
        <w:bidi w:val="0"/>
        <w:adjustRightInd w:val="0"/>
        <w:snapToGrid/>
        <w:spacing w:line="580" w:lineRule="exact"/>
        <w:textAlignment w:val="baseline"/>
        <w:rPr>
          <w:rFonts w:hint="default" w:eastAsia="仿宋_GB2312"/>
          <w:lang w:val="en-US" w:eastAsia="zh-CN"/>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2.2019年度枣庄市山亭区民兵训练基地建设项目绩效评价评分意见表</w:t>
      </w:r>
    </w:p>
    <w:p>
      <w:pPr>
        <w:keepNext w:val="0"/>
        <w:keepLines w:val="0"/>
        <w:pageBreakBefore w:val="0"/>
        <w:widowControl/>
        <w:kinsoku/>
        <w:wordWrap/>
        <w:overflowPunct w:val="0"/>
        <w:topLinePunct w:val="0"/>
        <w:autoSpaceDE w:val="0"/>
        <w:autoSpaceDN w:val="0"/>
        <w:bidi w:val="0"/>
        <w:adjustRightInd w:val="0"/>
        <w:snapToGrid/>
        <w:spacing w:line="580" w:lineRule="exact"/>
        <w:ind w:firstLine="640" w:firstLineChars="200"/>
        <w:textAlignment w:val="baseline"/>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3.</w:t>
      </w:r>
      <w:r>
        <w:rPr>
          <w:rFonts w:hint="eastAsia" w:ascii="仿宋_GB2312" w:hAnsi="仿宋_GB2312" w:eastAsia="仿宋_GB2312" w:cs="仿宋_GB2312"/>
          <w:color w:val="000000" w:themeColor="text1"/>
          <w:sz w:val="32"/>
          <w:szCs w:val="32"/>
          <w:lang w:bidi="ar"/>
          <w14:textFill>
            <w14:solidFill>
              <w14:schemeClr w14:val="tx1"/>
            </w14:solidFill>
          </w14:textFill>
        </w:rPr>
        <w:t>2019年度枣庄市山亭区民兵训练基地建设项目绩效评价调查问卷统计分析--主管部门</w:t>
      </w:r>
    </w:p>
    <w:p>
      <w:pPr>
        <w:pStyle w:val="2"/>
        <w:keepNext w:val="0"/>
        <w:keepLines w:val="0"/>
        <w:pageBreakBefore w:val="0"/>
        <w:widowControl/>
        <w:kinsoku/>
        <w:wordWrap/>
        <w:overflowPunct w:val="0"/>
        <w:topLinePunct w:val="0"/>
        <w:autoSpaceDE w:val="0"/>
        <w:autoSpaceDN w:val="0"/>
        <w:bidi w:val="0"/>
        <w:adjustRightInd w:val="0"/>
        <w:snapToGrid/>
        <w:spacing w:line="580" w:lineRule="exact"/>
        <w:textAlignment w:val="baseline"/>
        <w:rPr>
          <w:rFonts w:hint="default" w:eastAsia="仿宋_GB2312"/>
          <w:lang w:val="en-US" w:eastAsia="zh-CN"/>
        </w:rPr>
      </w:pP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4.2019年度枣庄市山亭区民兵训练基地建设项目绩效评价调查问卷统计分析--受训人员</w:t>
      </w:r>
    </w:p>
    <w:sectPr>
      <w:footerReference r:id="rId5" w:type="first"/>
      <w:footerReference r:id="rId4" w:type="default"/>
      <w:pgSz w:w="11907" w:h="16840"/>
      <w:pgMar w:top="2098" w:right="1418" w:bottom="1871" w:left="1531" w:header="851" w:footer="680" w:gutter="0"/>
      <w:pgNumType w:start="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637521-FDAD-448B-BA44-875ECFEF00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C3C015A2-DC97-498C-9BB1-A2F004637115}"/>
  </w:font>
  <w:font w:name="文星简黑体">
    <w:altName w:val="黑体"/>
    <w:panose1 w:val="00000000000000000000"/>
    <w:charset w:val="86"/>
    <w:family w:val="auto"/>
    <w:pitch w:val="default"/>
    <w:sig w:usb0="00000000" w:usb1="00000000" w:usb2="00000000" w:usb3="00000000" w:csb0="00000000" w:csb1="00000000"/>
    <w:embedRegular r:id="rId3" w:fontKey="{09A9B0EB-33FE-4041-974A-36E56EE94D0F}"/>
  </w:font>
  <w:font w:name="Microsoft YaHei UI">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0" w:usb1="00000000" w:usb2="00000000" w:usb3="00000000" w:csb0="00000000" w:csb1="00000000"/>
    <w:embedRegular r:id="rId4" w:fontKey="{F9FF105A-825B-4954-B52B-09940FDBC750}"/>
  </w:font>
  <w:font w:name="楷体_GB2312">
    <w:panose1 w:val="02010609030101010101"/>
    <w:charset w:val="86"/>
    <w:family w:val="auto"/>
    <w:pitch w:val="default"/>
    <w:sig w:usb0="00000001" w:usb1="080E0000" w:usb2="00000000" w:usb3="00000000" w:csb0="00040000" w:csb1="00000000"/>
    <w:embedRegular r:id="rId5" w:fontKey="{FFB5CBAD-1625-4F87-9EDC-5BC9599B2D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jc w:val="center"/>
                    </w:pPr>
                  </w:p>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10421702"/>
                          </w:sdtPr>
                          <w:sdtContent>
                            <w:p>
                              <w:pPr>
                                <w:pStyle w:val="10"/>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910421702"/>
                    </w:sdtPr>
                    <w:sdtContent>
                      <w:p>
                        <w:pPr>
                          <w:pStyle w:val="10"/>
                          <w:jc w:val="center"/>
                        </w:pPr>
                      </w:p>
                    </w:sdtContent>
                  </w:sdt>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26</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jc w:val="center"/>
                    </w:pPr>
                  </w:p>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2843204"/>
                          </w:sdtPr>
                          <w:sdtContent>
                            <w:p>
                              <w:pPr>
                                <w:pStyle w:val="10"/>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1212843204"/>
                    </w:sdtPr>
                    <w:sdtContent>
                      <w:p>
                        <w:pPr>
                          <w:pStyle w:val="10"/>
                          <w:jc w:val="center"/>
                        </w:pPr>
                      </w:p>
                    </w:sdtContent>
                  </w:sdt>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8"/>
    <w:rsid w:val="00003A81"/>
    <w:rsid w:val="00006C80"/>
    <w:rsid w:val="00010B9F"/>
    <w:rsid w:val="00016160"/>
    <w:rsid w:val="00017238"/>
    <w:rsid w:val="00017335"/>
    <w:rsid w:val="000178FE"/>
    <w:rsid w:val="00020891"/>
    <w:rsid w:val="00020B04"/>
    <w:rsid w:val="00021F4D"/>
    <w:rsid w:val="00022DE9"/>
    <w:rsid w:val="00025FB7"/>
    <w:rsid w:val="000265B7"/>
    <w:rsid w:val="00027070"/>
    <w:rsid w:val="00032740"/>
    <w:rsid w:val="000357FF"/>
    <w:rsid w:val="00036AC1"/>
    <w:rsid w:val="00037366"/>
    <w:rsid w:val="0003786F"/>
    <w:rsid w:val="0004093C"/>
    <w:rsid w:val="000428A1"/>
    <w:rsid w:val="00042995"/>
    <w:rsid w:val="00042C08"/>
    <w:rsid w:val="0004428D"/>
    <w:rsid w:val="000468BD"/>
    <w:rsid w:val="0004794C"/>
    <w:rsid w:val="000538FA"/>
    <w:rsid w:val="000565DB"/>
    <w:rsid w:val="00057627"/>
    <w:rsid w:val="00057E80"/>
    <w:rsid w:val="00060C50"/>
    <w:rsid w:val="00062660"/>
    <w:rsid w:val="00062DF7"/>
    <w:rsid w:val="00063D53"/>
    <w:rsid w:val="00063DF6"/>
    <w:rsid w:val="00071B6A"/>
    <w:rsid w:val="000720AC"/>
    <w:rsid w:val="000740E7"/>
    <w:rsid w:val="00074610"/>
    <w:rsid w:val="000758BC"/>
    <w:rsid w:val="00076701"/>
    <w:rsid w:val="00077761"/>
    <w:rsid w:val="00077CBF"/>
    <w:rsid w:val="0008015F"/>
    <w:rsid w:val="00080F5A"/>
    <w:rsid w:val="00083E60"/>
    <w:rsid w:val="00085A33"/>
    <w:rsid w:val="00085A9D"/>
    <w:rsid w:val="000924A3"/>
    <w:rsid w:val="00092C14"/>
    <w:rsid w:val="00092F7A"/>
    <w:rsid w:val="00094FAB"/>
    <w:rsid w:val="00095547"/>
    <w:rsid w:val="000A032E"/>
    <w:rsid w:val="000A1578"/>
    <w:rsid w:val="000A1DAC"/>
    <w:rsid w:val="000A1F74"/>
    <w:rsid w:val="000A27DF"/>
    <w:rsid w:val="000A2932"/>
    <w:rsid w:val="000A4196"/>
    <w:rsid w:val="000A4B61"/>
    <w:rsid w:val="000A5862"/>
    <w:rsid w:val="000A71C9"/>
    <w:rsid w:val="000B0C99"/>
    <w:rsid w:val="000B0FF1"/>
    <w:rsid w:val="000B12F8"/>
    <w:rsid w:val="000B2E1F"/>
    <w:rsid w:val="000B671A"/>
    <w:rsid w:val="000B69ED"/>
    <w:rsid w:val="000B7829"/>
    <w:rsid w:val="000C05A8"/>
    <w:rsid w:val="000C3A7F"/>
    <w:rsid w:val="000C48F6"/>
    <w:rsid w:val="000C622D"/>
    <w:rsid w:val="000C7093"/>
    <w:rsid w:val="000C71A0"/>
    <w:rsid w:val="000C7CB5"/>
    <w:rsid w:val="000D0D07"/>
    <w:rsid w:val="000D47AD"/>
    <w:rsid w:val="000D7640"/>
    <w:rsid w:val="000D7C21"/>
    <w:rsid w:val="000E2AC9"/>
    <w:rsid w:val="000E2C0A"/>
    <w:rsid w:val="000E3DF4"/>
    <w:rsid w:val="000E49C8"/>
    <w:rsid w:val="000F4349"/>
    <w:rsid w:val="000F4814"/>
    <w:rsid w:val="000F5343"/>
    <w:rsid w:val="00103D14"/>
    <w:rsid w:val="00105B50"/>
    <w:rsid w:val="0011116A"/>
    <w:rsid w:val="0012101B"/>
    <w:rsid w:val="00123101"/>
    <w:rsid w:val="00123616"/>
    <w:rsid w:val="0012483E"/>
    <w:rsid w:val="0012708C"/>
    <w:rsid w:val="00130049"/>
    <w:rsid w:val="001302F7"/>
    <w:rsid w:val="0013091C"/>
    <w:rsid w:val="00132FD1"/>
    <w:rsid w:val="001376AE"/>
    <w:rsid w:val="00137747"/>
    <w:rsid w:val="00140C87"/>
    <w:rsid w:val="00140E41"/>
    <w:rsid w:val="00141415"/>
    <w:rsid w:val="00141C1B"/>
    <w:rsid w:val="001426D9"/>
    <w:rsid w:val="00142AAB"/>
    <w:rsid w:val="001439C9"/>
    <w:rsid w:val="001443C3"/>
    <w:rsid w:val="00150328"/>
    <w:rsid w:val="0015713C"/>
    <w:rsid w:val="0016124D"/>
    <w:rsid w:val="00164832"/>
    <w:rsid w:val="00165064"/>
    <w:rsid w:val="00166E7D"/>
    <w:rsid w:val="00167E13"/>
    <w:rsid w:val="0017043E"/>
    <w:rsid w:val="00172A27"/>
    <w:rsid w:val="001733DE"/>
    <w:rsid w:val="00176922"/>
    <w:rsid w:val="0017751B"/>
    <w:rsid w:val="001776F0"/>
    <w:rsid w:val="00177C6F"/>
    <w:rsid w:val="00181FD4"/>
    <w:rsid w:val="00182EF0"/>
    <w:rsid w:val="0018479E"/>
    <w:rsid w:val="00185451"/>
    <w:rsid w:val="00191001"/>
    <w:rsid w:val="00193D81"/>
    <w:rsid w:val="0019429F"/>
    <w:rsid w:val="00194841"/>
    <w:rsid w:val="00195D07"/>
    <w:rsid w:val="00196241"/>
    <w:rsid w:val="001970A5"/>
    <w:rsid w:val="001A0C94"/>
    <w:rsid w:val="001A15B3"/>
    <w:rsid w:val="001A2958"/>
    <w:rsid w:val="001A2B31"/>
    <w:rsid w:val="001A3E94"/>
    <w:rsid w:val="001A3FEB"/>
    <w:rsid w:val="001A6DCB"/>
    <w:rsid w:val="001B0160"/>
    <w:rsid w:val="001B23A1"/>
    <w:rsid w:val="001B2985"/>
    <w:rsid w:val="001B5A0E"/>
    <w:rsid w:val="001C1897"/>
    <w:rsid w:val="001C1C5E"/>
    <w:rsid w:val="001C22FE"/>
    <w:rsid w:val="001C2433"/>
    <w:rsid w:val="001C3994"/>
    <w:rsid w:val="001C45FA"/>
    <w:rsid w:val="001C524C"/>
    <w:rsid w:val="001C7CE2"/>
    <w:rsid w:val="001D3AD7"/>
    <w:rsid w:val="001D432F"/>
    <w:rsid w:val="001D5B26"/>
    <w:rsid w:val="001E1A16"/>
    <w:rsid w:val="001E355B"/>
    <w:rsid w:val="001F04AC"/>
    <w:rsid w:val="001F2CA3"/>
    <w:rsid w:val="001F3AA1"/>
    <w:rsid w:val="001F442B"/>
    <w:rsid w:val="001F7E49"/>
    <w:rsid w:val="00200896"/>
    <w:rsid w:val="002009A3"/>
    <w:rsid w:val="00205097"/>
    <w:rsid w:val="0020789A"/>
    <w:rsid w:val="00207F79"/>
    <w:rsid w:val="00210CD0"/>
    <w:rsid w:val="002117FD"/>
    <w:rsid w:val="00212C0F"/>
    <w:rsid w:val="00213469"/>
    <w:rsid w:val="00213AE2"/>
    <w:rsid w:val="002165E8"/>
    <w:rsid w:val="0022029E"/>
    <w:rsid w:val="00222512"/>
    <w:rsid w:val="0022626C"/>
    <w:rsid w:val="002330EB"/>
    <w:rsid w:val="00234806"/>
    <w:rsid w:val="00234DFD"/>
    <w:rsid w:val="00235B10"/>
    <w:rsid w:val="00236646"/>
    <w:rsid w:val="00241D76"/>
    <w:rsid w:val="00244119"/>
    <w:rsid w:val="00244CEE"/>
    <w:rsid w:val="0024568A"/>
    <w:rsid w:val="00245E70"/>
    <w:rsid w:val="00250BF2"/>
    <w:rsid w:val="0025332D"/>
    <w:rsid w:val="002565EA"/>
    <w:rsid w:val="002627B2"/>
    <w:rsid w:val="002658EB"/>
    <w:rsid w:val="00265C13"/>
    <w:rsid w:val="002713F9"/>
    <w:rsid w:val="00271F83"/>
    <w:rsid w:val="002831EF"/>
    <w:rsid w:val="002840E1"/>
    <w:rsid w:val="00284482"/>
    <w:rsid w:val="00284C1D"/>
    <w:rsid w:val="00287724"/>
    <w:rsid w:val="00292302"/>
    <w:rsid w:val="002939B8"/>
    <w:rsid w:val="00296033"/>
    <w:rsid w:val="002A022C"/>
    <w:rsid w:val="002A23AB"/>
    <w:rsid w:val="002A650B"/>
    <w:rsid w:val="002B0770"/>
    <w:rsid w:val="002B1371"/>
    <w:rsid w:val="002B166B"/>
    <w:rsid w:val="002B2673"/>
    <w:rsid w:val="002B7E2C"/>
    <w:rsid w:val="002C0448"/>
    <w:rsid w:val="002C16BE"/>
    <w:rsid w:val="002C56FC"/>
    <w:rsid w:val="002C7A15"/>
    <w:rsid w:val="002C7C19"/>
    <w:rsid w:val="002D5826"/>
    <w:rsid w:val="002D61BF"/>
    <w:rsid w:val="002E1CC8"/>
    <w:rsid w:val="002E45CE"/>
    <w:rsid w:val="002E5152"/>
    <w:rsid w:val="002E5EEA"/>
    <w:rsid w:val="002E64AA"/>
    <w:rsid w:val="002F26B6"/>
    <w:rsid w:val="002F3CE4"/>
    <w:rsid w:val="002F467D"/>
    <w:rsid w:val="002F6C38"/>
    <w:rsid w:val="002F76EF"/>
    <w:rsid w:val="00301E70"/>
    <w:rsid w:val="00302ED4"/>
    <w:rsid w:val="00304112"/>
    <w:rsid w:val="00313053"/>
    <w:rsid w:val="0031444E"/>
    <w:rsid w:val="003153B0"/>
    <w:rsid w:val="00322409"/>
    <w:rsid w:val="00322BFC"/>
    <w:rsid w:val="0032307F"/>
    <w:rsid w:val="00323801"/>
    <w:rsid w:val="0032396D"/>
    <w:rsid w:val="003242D6"/>
    <w:rsid w:val="00325618"/>
    <w:rsid w:val="0032603B"/>
    <w:rsid w:val="00326298"/>
    <w:rsid w:val="00326A32"/>
    <w:rsid w:val="00327C0A"/>
    <w:rsid w:val="00330D9C"/>
    <w:rsid w:val="003339B1"/>
    <w:rsid w:val="00335154"/>
    <w:rsid w:val="0033515F"/>
    <w:rsid w:val="0033621B"/>
    <w:rsid w:val="00340FDF"/>
    <w:rsid w:val="00342251"/>
    <w:rsid w:val="00342416"/>
    <w:rsid w:val="00343611"/>
    <w:rsid w:val="003454B2"/>
    <w:rsid w:val="00345C1D"/>
    <w:rsid w:val="00347666"/>
    <w:rsid w:val="00347EE8"/>
    <w:rsid w:val="00350793"/>
    <w:rsid w:val="00352FCF"/>
    <w:rsid w:val="0035359C"/>
    <w:rsid w:val="0036089C"/>
    <w:rsid w:val="0036524E"/>
    <w:rsid w:val="00366FA2"/>
    <w:rsid w:val="00370318"/>
    <w:rsid w:val="003703ED"/>
    <w:rsid w:val="003718BD"/>
    <w:rsid w:val="00372852"/>
    <w:rsid w:val="003729B9"/>
    <w:rsid w:val="00374729"/>
    <w:rsid w:val="003811C5"/>
    <w:rsid w:val="00385965"/>
    <w:rsid w:val="00387DEB"/>
    <w:rsid w:val="00387E88"/>
    <w:rsid w:val="0039000B"/>
    <w:rsid w:val="00397ABE"/>
    <w:rsid w:val="003A0ACF"/>
    <w:rsid w:val="003A35A5"/>
    <w:rsid w:val="003A3B24"/>
    <w:rsid w:val="003A4E41"/>
    <w:rsid w:val="003A584C"/>
    <w:rsid w:val="003A608F"/>
    <w:rsid w:val="003A6C27"/>
    <w:rsid w:val="003B2608"/>
    <w:rsid w:val="003B5AEE"/>
    <w:rsid w:val="003B5F6F"/>
    <w:rsid w:val="003B7ED0"/>
    <w:rsid w:val="003C4647"/>
    <w:rsid w:val="003C7A6B"/>
    <w:rsid w:val="003D2B75"/>
    <w:rsid w:val="003D4453"/>
    <w:rsid w:val="003D5E12"/>
    <w:rsid w:val="003D7A09"/>
    <w:rsid w:val="003E201A"/>
    <w:rsid w:val="003E2791"/>
    <w:rsid w:val="003E2B69"/>
    <w:rsid w:val="003E3E40"/>
    <w:rsid w:val="003E3FFE"/>
    <w:rsid w:val="003E5C3D"/>
    <w:rsid w:val="003E685D"/>
    <w:rsid w:val="003E6B70"/>
    <w:rsid w:val="003F2C23"/>
    <w:rsid w:val="003F5F64"/>
    <w:rsid w:val="003F6DBE"/>
    <w:rsid w:val="003F7525"/>
    <w:rsid w:val="003F7A7F"/>
    <w:rsid w:val="004026F6"/>
    <w:rsid w:val="004040EF"/>
    <w:rsid w:val="00406BF7"/>
    <w:rsid w:val="004129FA"/>
    <w:rsid w:val="004136F6"/>
    <w:rsid w:val="00414F34"/>
    <w:rsid w:val="004163EB"/>
    <w:rsid w:val="00417926"/>
    <w:rsid w:val="004229B4"/>
    <w:rsid w:val="004245EF"/>
    <w:rsid w:val="00425036"/>
    <w:rsid w:val="00425521"/>
    <w:rsid w:val="00426682"/>
    <w:rsid w:val="00430AF9"/>
    <w:rsid w:val="004311D0"/>
    <w:rsid w:val="0043237C"/>
    <w:rsid w:val="0043351B"/>
    <w:rsid w:val="00433679"/>
    <w:rsid w:val="004348F4"/>
    <w:rsid w:val="00436D0F"/>
    <w:rsid w:val="00441ACC"/>
    <w:rsid w:val="0044531B"/>
    <w:rsid w:val="00446A20"/>
    <w:rsid w:val="004479C4"/>
    <w:rsid w:val="00447DEA"/>
    <w:rsid w:val="00451A96"/>
    <w:rsid w:val="004553B8"/>
    <w:rsid w:val="0045624D"/>
    <w:rsid w:val="00457E1D"/>
    <w:rsid w:val="0046063A"/>
    <w:rsid w:val="00467515"/>
    <w:rsid w:val="0047479D"/>
    <w:rsid w:val="00477E81"/>
    <w:rsid w:val="00477FC8"/>
    <w:rsid w:val="00482C99"/>
    <w:rsid w:val="004840F4"/>
    <w:rsid w:val="004848E7"/>
    <w:rsid w:val="004857E6"/>
    <w:rsid w:val="004861A7"/>
    <w:rsid w:val="00486B44"/>
    <w:rsid w:val="00486E6F"/>
    <w:rsid w:val="0049076C"/>
    <w:rsid w:val="00491102"/>
    <w:rsid w:val="00493812"/>
    <w:rsid w:val="00495A12"/>
    <w:rsid w:val="00496234"/>
    <w:rsid w:val="0049702C"/>
    <w:rsid w:val="00497FBA"/>
    <w:rsid w:val="004A59B2"/>
    <w:rsid w:val="004A7120"/>
    <w:rsid w:val="004A7DFB"/>
    <w:rsid w:val="004B0E82"/>
    <w:rsid w:val="004B1063"/>
    <w:rsid w:val="004B372C"/>
    <w:rsid w:val="004B5DCA"/>
    <w:rsid w:val="004B63B2"/>
    <w:rsid w:val="004B69A8"/>
    <w:rsid w:val="004B7955"/>
    <w:rsid w:val="004C1946"/>
    <w:rsid w:val="004C2A62"/>
    <w:rsid w:val="004C3ED0"/>
    <w:rsid w:val="004C41AC"/>
    <w:rsid w:val="004C52F5"/>
    <w:rsid w:val="004C6CE0"/>
    <w:rsid w:val="004C770B"/>
    <w:rsid w:val="004D275D"/>
    <w:rsid w:val="004E0647"/>
    <w:rsid w:val="004E148C"/>
    <w:rsid w:val="004E44A9"/>
    <w:rsid w:val="004E472D"/>
    <w:rsid w:val="004E65A4"/>
    <w:rsid w:val="004F05AE"/>
    <w:rsid w:val="004F1920"/>
    <w:rsid w:val="004F1E58"/>
    <w:rsid w:val="004F450F"/>
    <w:rsid w:val="004F4EA5"/>
    <w:rsid w:val="004F5F59"/>
    <w:rsid w:val="004F6BC3"/>
    <w:rsid w:val="00500E58"/>
    <w:rsid w:val="00501461"/>
    <w:rsid w:val="00502E88"/>
    <w:rsid w:val="0050391A"/>
    <w:rsid w:val="00506514"/>
    <w:rsid w:val="00512737"/>
    <w:rsid w:val="00512845"/>
    <w:rsid w:val="00513620"/>
    <w:rsid w:val="005140E7"/>
    <w:rsid w:val="00514D00"/>
    <w:rsid w:val="005160EA"/>
    <w:rsid w:val="00520B24"/>
    <w:rsid w:val="00522135"/>
    <w:rsid w:val="00522218"/>
    <w:rsid w:val="00523EF3"/>
    <w:rsid w:val="00526A59"/>
    <w:rsid w:val="00527250"/>
    <w:rsid w:val="005328CA"/>
    <w:rsid w:val="005331CC"/>
    <w:rsid w:val="00535DFF"/>
    <w:rsid w:val="005364B9"/>
    <w:rsid w:val="00537406"/>
    <w:rsid w:val="00537ADA"/>
    <w:rsid w:val="00540D63"/>
    <w:rsid w:val="00542BA7"/>
    <w:rsid w:val="00544A06"/>
    <w:rsid w:val="005472E7"/>
    <w:rsid w:val="005506B4"/>
    <w:rsid w:val="00550F45"/>
    <w:rsid w:val="00552727"/>
    <w:rsid w:val="00554249"/>
    <w:rsid w:val="005545DC"/>
    <w:rsid w:val="00557A56"/>
    <w:rsid w:val="0056062E"/>
    <w:rsid w:val="00563D48"/>
    <w:rsid w:val="0056439C"/>
    <w:rsid w:val="0056749B"/>
    <w:rsid w:val="00570114"/>
    <w:rsid w:val="005710B1"/>
    <w:rsid w:val="00572C01"/>
    <w:rsid w:val="00572F7E"/>
    <w:rsid w:val="0057306D"/>
    <w:rsid w:val="00575858"/>
    <w:rsid w:val="005763F4"/>
    <w:rsid w:val="00576BD7"/>
    <w:rsid w:val="0058234F"/>
    <w:rsid w:val="00582505"/>
    <w:rsid w:val="00584CB9"/>
    <w:rsid w:val="00591280"/>
    <w:rsid w:val="00591C6D"/>
    <w:rsid w:val="00593007"/>
    <w:rsid w:val="00595EC5"/>
    <w:rsid w:val="005977D3"/>
    <w:rsid w:val="005A013B"/>
    <w:rsid w:val="005A0396"/>
    <w:rsid w:val="005A1986"/>
    <w:rsid w:val="005A3B77"/>
    <w:rsid w:val="005A71F1"/>
    <w:rsid w:val="005A7921"/>
    <w:rsid w:val="005B060A"/>
    <w:rsid w:val="005B0EA3"/>
    <w:rsid w:val="005B1179"/>
    <w:rsid w:val="005B17BF"/>
    <w:rsid w:val="005B1824"/>
    <w:rsid w:val="005B1A28"/>
    <w:rsid w:val="005B2784"/>
    <w:rsid w:val="005B7938"/>
    <w:rsid w:val="005C0E59"/>
    <w:rsid w:val="005C2E4B"/>
    <w:rsid w:val="005C32EC"/>
    <w:rsid w:val="005C491D"/>
    <w:rsid w:val="005C67BC"/>
    <w:rsid w:val="005C6C96"/>
    <w:rsid w:val="005D0720"/>
    <w:rsid w:val="005D3169"/>
    <w:rsid w:val="005E1A9F"/>
    <w:rsid w:val="005E2270"/>
    <w:rsid w:val="005E24FB"/>
    <w:rsid w:val="005E2BD4"/>
    <w:rsid w:val="005E4FBD"/>
    <w:rsid w:val="005E502C"/>
    <w:rsid w:val="005E51D7"/>
    <w:rsid w:val="005E7E73"/>
    <w:rsid w:val="005F154D"/>
    <w:rsid w:val="005F16D4"/>
    <w:rsid w:val="005F31D5"/>
    <w:rsid w:val="005F47E0"/>
    <w:rsid w:val="005F4829"/>
    <w:rsid w:val="005F5CBB"/>
    <w:rsid w:val="00600C1C"/>
    <w:rsid w:val="006073E2"/>
    <w:rsid w:val="00607627"/>
    <w:rsid w:val="00607A79"/>
    <w:rsid w:val="00612651"/>
    <w:rsid w:val="00612A02"/>
    <w:rsid w:val="0061687F"/>
    <w:rsid w:val="006174D1"/>
    <w:rsid w:val="00617B99"/>
    <w:rsid w:val="0062052F"/>
    <w:rsid w:val="00622A44"/>
    <w:rsid w:val="00622DD2"/>
    <w:rsid w:val="00623B1E"/>
    <w:rsid w:val="00625D15"/>
    <w:rsid w:val="00626613"/>
    <w:rsid w:val="00631D77"/>
    <w:rsid w:val="00632D04"/>
    <w:rsid w:val="00633D6D"/>
    <w:rsid w:val="006362E4"/>
    <w:rsid w:val="006366BE"/>
    <w:rsid w:val="00636768"/>
    <w:rsid w:val="006402CA"/>
    <w:rsid w:val="006426DE"/>
    <w:rsid w:val="006460D1"/>
    <w:rsid w:val="00646900"/>
    <w:rsid w:val="00651A96"/>
    <w:rsid w:val="00651ECF"/>
    <w:rsid w:val="0065327A"/>
    <w:rsid w:val="006539A6"/>
    <w:rsid w:val="00653DB5"/>
    <w:rsid w:val="00654E6B"/>
    <w:rsid w:val="0065576E"/>
    <w:rsid w:val="00657CB3"/>
    <w:rsid w:val="00661251"/>
    <w:rsid w:val="0066183C"/>
    <w:rsid w:val="006649F4"/>
    <w:rsid w:val="00665B70"/>
    <w:rsid w:val="006675A6"/>
    <w:rsid w:val="00667794"/>
    <w:rsid w:val="00671704"/>
    <w:rsid w:val="006717DC"/>
    <w:rsid w:val="00673482"/>
    <w:rsid w:val="006759D2"/>
    <w:rsid w:val="00681FB3"/>
    <w:rsid w:val="006833AA"/>
    <w:rsid w:val="00687C6A"/>
    <w:rsid w:val="00690148"/>
    <w:rsid w:val="0069064C"/>
    <w:rsid w:val="00691CEB"/>
    <w:rsid w:val="0069291E"/>
    <w:rsid w:val="00693C03"/>
    <w:rsid w:val="006949F7"/>
    <w:rsid w:val="0069712F"/>
    <w:rsid w:val="006A0320"/>
    <w:rsid w:val="006A0ECE"/>
    <w:rsid w:val="006A2A8F"/>
    <w:rsid w:val="006A5F2A"/>
    <w:rsid w:val="006B1BAA"/>
    <w:rsid w:val="006B5319"/>
    <w:rsid w:val="006B6FB7"/>
    <w:rsid w:val="006C06E4"/>
    <w:rsid w:val="006C4FEE"/>
    <w:rsid w:val="006C5508"/>
    <w:rsid w:val="006C6300"/>
    <w:rsid w:val="006D1028"/>
    <w:rsid w:val="006D1D03"/>
    <w:rsid w:val="006E05B6"/>
    <w:rsid w:val="006E07B1"/>
    <w:rsid w:val="006E3139"/>
    <w:rsid w:val="006E49AE"/>
    <w:rsid w:val="006E59C7"/>
    <w:rsid w:val="006F08A3"/>
    <w:rsid w:val="006F4769"/>
    <w:rsid w:val="006F4CC4"/>
    <w:rsid w:val="006F61AE"/>
    <w:rsid w:val="006F6BC5"/>
    <w:rsid w:val="0070030B"/>
    <w:rsid w:val="00704EC8"/>
    <w:rsid w:val="0070602B"/>
    <w:rsid w:val="0070613B"/>
    <w:rsid w:val="007065E6"/>
    <w:rsid w:val="007070DA"/>
    <w:rsid w:val="007116A9"/>
    <w:rsid w:val="00712021"/>
    <w:rsid w:val="00713883"/>
    <w:rsid w:val="00713DAA"/>
    <w:rsid w:val="00715762"/>
    <w:rsid w:val="00720E6F"/>
    <w:rsid w:val="007226AA"/>
    <w:rsid w:val="007231F4"/>
    <w:rsid w:val="00724406"/>
    <w:rsid w:val="00724C82"/>
    <w:rsid w:val="00724CAB"/>
    <w:rsid w:val="00726ABB"/>
    <w:rsid w:val="00726C56"/>
    <w:rsid w:val="00727A2E"/>
    <w:rsid w:val="00730717"/>
    <w:rsid w:val="00730918"/>
    <w:rsid w:val="00731617"/>
    <w:rsid w:val="00732CAE"/>
    <w:rsid w:val="00733772"/>
    <w:rsid w:val="00733E28"/>
    <w:rsid w:val="007341E0"/>
    <w:rsid w:val="00734CB5"/>
    <w:rsid w:val="00742B2D"/>
    <w:rsid w:val="00743302"/>
    <w:rsid w:val="00743BDB"/>
    <w:rsid w:val="00745E56"/>
    <w:rsid w:val="00747567"/>
    <w:rsid w:val="00751480"/>
    <w:rsid w:val="00751811"/>
    <w:rsid w:val="0075226B"/>
    <w:rsid w:val="0075303F"/>
    <w:rsid w:val="0075376F"/>
    <w:rsid w:val="00754730"/>
    <w:rsid w:val="00756CFE"/>
    <w:rsid w:val="007606E1"/>
    <w:rsid w:val="007607C1"/>
    <w:rsid w:val="0076322B"/>
    <w:rsid w:val="00764397"/>
    <w:rsid w:val="007666A9"/>
    <w:rsid w:val="00770551"/>
    <w:rsid w:val="00770A89"/>
    <w:rsid w:val="00773CED"/>
    <w:rsid w:val="007803A8"/>
    <w:rsid w:val="007826D0"/>
    <w:rsid w:val="00783B6E"/>
    <w:rsid w:val="007843D2"/>
    <w:rsid w:val="007868C3"/>
    <w:rsid w:val="00786A27"/>
    <w:rsid w:val="007873A0"/>
    <w:rsid w:val="00787770"/>
    <w:rsid w:val="00790620"/>
    <w:rsid w:val="00791640"/>
    <w:rsid w:val="00792B8C"/>
    <w:rsid w:val="007955D5"/>
    <w:rsid w:val="007A039A"/>
    <w:rsid w:val="007A0CFB"/>
    <w:rsid w:val="007A40AF"/>
    <w:rsid w:val="007A6FE0"/>
    <w:rsid w:val="007A7C80"/>
    <w:rsid w:val="007B122E"/>
    <w:rsid w:val="007B3DF5"/>
    <w:rsid w:val="007B43F5"/>
    <w:rsid w:val="007B4F94"/>
    <w:rsid w:val="007B6606"/>
    <w:rsid w:val="007B6694"/>
    <w:rsid w:val="007B6FA4"/>
    <w:rsid w:val="007C0AB3"/>
    <w:rsid w:val="007C5711"/>
    <w:rsid w:val="007C5D57"/>
    <w:rsid w:val="007C7C04"/>
    <w:rsid w:val="007C7E83"/>
    <w:rsid w:val="007D2DB7"/>
    <w:rsid w:val="007D5817"/>
    <w:rsid w:val="007D622C"/>
    <w:rsid w:val="007D696F"/>
    <w:rsid w:val="007E0CAB"/>
    <w:rsid w:val="007E2ABD"/>
    <w:rsid w:val="007E49EA"/>
    <w:rsid w:val="007E50AA"/>
    <w:rsid w:val="007E6023"/>
    <w:rsid w:val="007F0BBD"/>
    <w:rsid w:val="007F210E"/>
    <w:rsid w:val="007F378C"/>
    <w:rsid w:val="007F411D"/>
    <w:rsid w:val="007F420C"/>
    <w:rsid w:val="007F4F08"/>
    <w:rsid w:val="00805400"/>
    <w:rsid w:val="00806428"/>
    <w:rsid w:val="00807206"/>
    <w:rsid w:val="00812F4B"/>
    <w:rsid w:val="008140B1"/>
    <w:rsid w:val="0081578F"/>
    <w:rsid w:val="00815A18"/>
    <w:rsid w:val="008165F8"/>
    <w:rsid w:val="0081772B"/>
    <w:rsid w:val="00817E6F"/>
    <w:rsid w:val="008206D5"/>
    <w:rsid w:val="00821F83"/>
    <w:rsid w:val="00821FFD"/>
    <w:rsid w:val="008224AC"/>
    <w:rsid w:val="00823C32"/>
    <w:rsid w:val="00825EB5"/>
    <w:rsid w:val="0082752B"/>
    <w:rsid w:val="00831ABC"/>
    <w:rsid w:val="008351D9"/>
    <w:rsid w:val="008378AC"/>
    <w:rsid w:val="00837D20"/>
    <w:rsid w:val="0084034B"/>
    <w:rsid w:val="00840EBF"/>
    <w:rsid w:val="008457C3"/>
    <w:rsid w:val="00845BB7"/>
    <w:rsid w:val="00846253"/>
    <w:rsid w:val="008465E6"/>
    <w:rsid w:val="00846FB4"/>
    <w:rsid w:val="0084793A"/>
    <w:rsid w:val="008548CE"/>
    <w:rsid w:val="0085544C"/>
    <w:rsid w:val="00855D96"/>
    <w:rsid w:val="00855EF3"/>
    <w:rsid w:val="00856CBA"/>
    <w:rsid w:val="0086239D"/>
    <w:rsid w:val="00864945"/>
    <w:rsid w:val="008744CE"/>
    <w:rsid w:val="0087635C"/>
    <w:rsid w:val="00880942"/>
    <w:rsid w:val="00880D2F"/>
    <w:rsid w:val="008826D4"/>
    <w:rsid w:val="00883CAB"/>
    <w:rsid w:val="0088416B"/>
    <w:rsid w:val="0088489E"/>
    <w:rsid w:val="00890291"/>
    <w:rsid w:val="008937EC"/>
    <w:rsid w:val="0089573B"/>
    <w:rsid w:val="00897A71"/>
    <w:rsid w:val="008A7CB6"/>
    <w:rsid w:val="008B3324"/>
    <w:rsid w:val="008B3BCE"/>
    <w:rsid w:val="008B42EF"/>
    <w:rsid w:val="008B7069"/>
    <w:rsid w:val="008B7983"/>
    <w:rsid w:val="008C1698"/>
    <w:rsid w:val="008C186F"/>
    <w:rsid w:val="008C2274"/>
    <w:rsid w:val="008C2E34"/>
    <w:rsid w:val="008C4C28"/>
    <w:rsid w:val="008C4CF8"/>
    <w:rsid w:val="008C6C22"/>
    <w:rsid w:val="008D0166"/>
    <w:rsid w:val="008D20BD"/>
    <w:rsid w:val="008D3A10"/>
    <w:rsid w:val="008D48FB"/>
    <w:rsid w:val="008D4D9F"/>
    <w:rsid w:val="008D5A38"/>
    <w:rsid w:val="008D720C"/>
    <w:rsid w:val="008D7DE6"/>
    <w:rsid w:val="008E182C"/>
    <w:rsid w:val="008E245B"/>
    <w:rsid w:val="008E2AD1"/>
    <w:rsid w:val="008E4677"/>
    <w:rsid w:val="008E4EAE"/>
    <w:rsid w:val="008E5D18"/>
    <w:rsid w:val="008F1A87"/>
    <w:rsid w:val="008F21C7"/>
    <w:rsid w:val="009001C0"/>
    <w:rsid w:val="00902E1A"/>
    <w:rsid w:val="00903382"/>
    <w:rsid w:val="009076EA"/>
    <w:rsid w:val="009111EA"/>
    <w:rsid w:val="00913D4E"/>
    <w:rsid w:val="0091463B"/>
    <w:rsid w:val="00916724"/>
    <w:rsid w:val="00917D68"/>
    <w:rsid w:val="00917F8D"/>
    <w:rsid w:val="009210A9"/>
    <w:rsid w:val="00921473"/>
    <w:rsid w:val="00925A4D"/>
    <w:rsid w:val="009263D0"/>
    <w:rsid w:val="00926818"/>
    <w:rsid w:val="00927ECA"/>
    <w:rsid w:val="009307FB"/>
    <w:rsid w:val="009309AC"/>
    <w:rsid w:val="00931FD4"/>
    <w:rsid w:val="00936C66"/>
    <w:rsid w:val="0094450A"/>
    <w:rsid w:val="00945110"/>
    <w:rsid w:val="00945B9E"/>
    <w:rsid w:val="00950B04"/>
    <w:rsid w:val="00951B8A"/>
    <w:rsid w:val="00953699"/>
    <w:rsid w:val="0095403B"/>
    <w:rsid w:val="009547E1"/>
    <w:rsid w:val="009550A6"/>
    <w:rsid w:val="0095609F"/>
    <w:rsid w:val="00957ACE"/>
    <w:rsid w:val="00960727"/>
    <w:rsid w:val="00960811"/>
    <w:rsid w:val="009610C4"/>
    <w:rsid w:val="00964CE5"/>
    <w:rsid w:val="00967E2F"/>
    <w:rsid w:val="00970BC1"/>
    <w:rsid w:val="0097233F"/>
    <w:rsid w:val="00973593"/>
    <w:rsid w:val="00975440"/>
    <w:rsid w:val="009766A8"/>
    <w:rsid w:val="00977D79"/>
    <w:rsid w:val="009825BC"/>
    <w:rsid w:val="009841E3"/>
    <w:rsid w:val="009849BD"/>
    <w:rsid w:val="0098636B"/>
    <w:rsid w:val="00990A65"/>
    <w:rsid w:val="0099212D"/>
    <w:rsid w:val="00992389"/>
    <w:rsid w:val="00992CF4"/>
    <w:rsid w:val="0099497C"/>
    <w:rsid w:val="00994C75"/>
    <w:rsid w:val="0099546E"/>
    <w:rsid w:val="00995546"/>
    <w:rsid w:val="009961FE"/>
    <w:rsid w:val="0099685D"/>
    <w:rsid w:val="009A3482"/>
    <w:rsid w:val="009A3CD3"/>
    <w:rsid w:val="009A4952"/>
    <w:rsid w:val="009A6628"/>
    <w:rsid w:val="009A66D9"/>
    <w:rsid w:val="009B1446"/>
    <w:rsid w:val="009B206C"/>
    <w:rsid w:val="009B7F07"/>
    <w:rsid w:val="009C24CE"/>
    <w:rsid w:val="009C2A06"/>
    <w:rsid w:val="009C44C3"/>
    <w:rsid w:val="009C515A"/>
    <w:rsid w:val="009D08F2"/>
    <w:rsid w:val="009D1415"/>
    <w:rsid w:val="009D2235"/>
    <w:rsid w:val="009D26EE"/>
    <w:rsid w:val="009D2A19"/>
    <w:rsid w:val="009D3285"/>
    <w:rsid w:val="009D3D40"/>
    <w:rsid w:val="009D5A53"/>
    <w:rsid w:val="009D613C"/>
    <w:rsid w:val="009D6DE2"/>
    <w:rsid w:val="009D6F74"/>
    <w:rsid w:val="009D76D1"/>
    <w:rsid w:val="009E0CDA"/>
    <w:rsid w:val="009E2AEA"/>
    <w:rsid w:val="009E3A5D"/>
    <w:rsid w:val="009E605F"/>
    <w:rsid w:val="009E724D"/>
    <w:rsid w:val="009F1BDA"/>
    <w:rsid w:val="009F1F69"/>
    <w:rsid w:val="009F324F"/>
    <w:rsid w:val="009F5E24"/>
    <w:rsid w:val="009F69C6"/>
    <w:rsid w:val="009F7B6C"/>
    <w:rsid w:val="00A0076F"/>
    <w:rsid w:val="00A01BF2"/>
    <w:rsid w:val="00A0220D"/>
    <w:rsid w:val="00A0400E"/>
    <w:rsid w:val="00A04B2E"/>
    <w:rsid w:val="00A05679"/>
    <w:rsid w:val="00A05999"/>
    <w:rsid w:val="00A12049"/>
    <w:rsid w:val="00A128C0"/>
    <w:rsid w:val="00A13888"/>
    <w:rsid w:val="00A159ED"/>
    <w:rsid w:val="00A16905"/>
    <w:rsid w:val="00A169CF"/>
    <w:rsid w:val="00A17F2B"/>
    <w:rsid w:val="00A20855"/>
    <w:rsid w:val="00A21545"/>
    <w:rsid w:val="00A22A56"/>
    <w:rsid w:val="00A23710"/>
    <w:rsid w:val="00A24064"/>
    <w:rsid w:val="00A266E2"/>
    <w:rsid w:val="00A26744"/>
    <w:rsid w:val="00A30FF7"/>
    <w:rsid w:val="00A32B01"/>
    <w:rsid w:val="00A3332E"/>
    <w:rsid w:val="00A34981"/>
    <w:rsid w:val="00A3782D"/>
    <w:rsid w:val="00A447DC"/>
    <w:rsid w:val="00A44997"/>
    <w:rsid w:val="00A450B0"/>
    <w:rsid w:val="00A45298"/>
    <w:rsid w:val="00A454C6"/>
    <w:rsid w:val="00A4550B"/>
    <w:rsid w:val="00A46279"/>
    <w:rsid w:val="00A46AAD"/>
    <w:rsid w:val="00A46B0B"/>
    <w:rsid w:val="00A51D70"/>
    <w:rsid w:val="00A52057"/>
    <w:rsid w:val="00A524EC"/>
    <w:rsid w:val="00A528CB"/>
    <w:rsid w:val="00A55D00"/>
    <w:rsid w:val="00A5720A"/>
    <w:rsid w:val="00A57368"/>
    <w:rsid w:val="00A64F2B"/>
    <w:rsid w:val="00A67F92"/>
    <w:rsid w:val="00A70FE8"/>
    <w:rsid w:val="00A7277E"/>
    <w:rsid w:val="00A72852"/>
    <w:rsid w:val="00A778F1"/>
    <w:rsid w:val="00A822A9"/>
    <w:rsid w:val="00A83ACA"/>
    <w:rsid w:val="00A83D1F"/>
    <w:rsid w:val="00A8579D"/>
    <w:rsid w:val="00A90A97"/>
    <w:rsid w:val="00A91262"/>
    <w:rsid w:val="00A9195F"/>
    <w:rsid w:val="00A9212A"/>
    <w:rsid w:val="00A9645B"/>
    <w:rsid w:val="00AA1014"/>
    <w:rsid w:val="00AA1545"/>
    <w:rsid w:val="00AA32BC"/>
    <w:rsid w:val="00AA36A0"/>
    <w:rsid w:val="00AA64BF"/>
    <w:rsid w:val="00AA6B27"/>
    <w:rsid w:val="00AA74B8"/>
    <w:rsid w:val="00AB018E"/>
    <w:rsid w:val="00AB1642"/>
    <w:rsid w:val="00AB3A42"/>
    <w:rsid w:val="00AB3EAC"/>
    <w:rsid w:val="00AB57A0"/>
    <w:rsid w:val="00AC096C"/>
    <w:rsid w:val="00AC1A30"/>
    <w:rsid w:val="00AC3121"/>
    <w:rsid w:val="00AC3571"/>
    <w:rsid w:val="00AC3CBE"/>
    <w:rsid w:val="00AC46B0"/>
    <w:rsid w:val="00AC647C"/>
    <w:rsid w:val="00AD0692"/>
    <w:rsid w:val="00AD4942"/>
    <w:rsid w:val="00AD66B5"/>
    <w:rsid w:val="00AD67F4"/>
    <w:rsid w:val="00AD7FCE"/>
    <w:rsid w:val="00AE6560"/>
    <w:rsid w:val="00AE6D13"/>
    <w:rsid w:val="00AE6FDC"/>
    <w:rsid w:val="00AF1B25"/>
    <w:rsid w:val="00AF25B2"/>
    <w:rsid w:val="00B01C35"/>
    <w:rsid w:val="00B01EDA"/>
    <w:rsid w:val="00B07403"/>
    <w:rsid w:val="00B105A1"/>
    <w:rsid w:val="00B112B0"/>
    <w:rsid w:val="00B1169F"/>
    <w:rsid w:val="00B121A8"/>
    <w:rsid w:val="00B13C73"/>
    <w:rsid w:val="00B1408D"/>
    <w:rsid w:val="00B150F9"/>
    <w:rsid w:val="00B151A7"/>
    <w:rsid w:val="00B155F2"/>
    <w:rsid w:val="00B16991"/>
    <w:rsid w:val="00B1734E"/>
    <w:rsid w:val="00B1784E"/>
    <w:rsid w:val="00B2001E"/>
    <w:rsid w:val="00B229D4"/>
    <w:rsid w:val="00B2635C"/>
    <w:rsid w:val="00B265D5"/>
    <w:rsid w:val="00B272E3"/>
    <w:rsid w:val="00B27350"/>
    <w:rsid w:val="00B27794"/>
    <w:rsid w:val="00B3342F"/>
    <w:rsid w:val="00B33779"/>
    <w:rsid w:val="00B33784"/>
    <w:rsid w:val="00B33959"/>
    <w:rsid w:val="00B341C5"/>
    <w:rsid w:val="00B3466B"/>
    <w:rsid w:val="00B379FE"/>
    <w:rsid w:val="00B43F8A"/>
    <w:rsid w:val="00B44254"/>
    <w:rsid w:val="00B44F93"/>
    <w:rsid w:val="00B45337"/>
    <w:rsid w:val="00B45A50"/>
    <w:rsid w:val="00B47CCC"/>
    <w:rsid w:val="00B50722"/>
    <w:rsid w:val="00B54BA6"/>
    <w:rsid w:val="00B54F5C"/>
    <w:rsid w:val="00B5513C"/>
    <w:rsid w:val="00B55683"/>
    <w:rsid w:val="00B62E85"/>
    <w:rsid w:val="00B63019"/>
    <w:rsid w:val="00B6502C"/>
    <w:rsid w:val="00B65F69"/>
    <w:rsid w:val="00B6674D"/>
    <w:rsid w:val="00B71637"/>
    <w:rsid w:val="00B7288F"/>
    <w:rsid w:val="00B74203"/>
    <w:rsid w:val="00B77DE0"/>
    <w:rsid w:val="00B826B9"/>
    <w:rsid w:val="00B857EA"/>
    <w:rsid w:val="00B85EF1"/>
    <w:rsid w:val="00B86923"/>
    <w:rsid w:val="00B90988"/>
    <w:rsid w:val="00B91228"/>
    <w:rsid w:val="00B91ED1"/>
    <w:rsid w:val="00B92E98"/>
    <w:rsid w:val="00B94619"/>
    <w:rsid w:val="00B96962"/>
    <w:rsid w:val="00B96991"/>
    <w:rsid w:val="00BA120D"/>
    <w:rsid w:val="00BA2AA4"/>
    <w:rsid w:val="00BA427F"/>
    <w:rsid w:val="00BA4C3D"/>
    <w:rsid w:val="00BA7CF1"/>
    <w:rsid w:val="00BB03C2"/>
    <w:rsid w:val="00BB223D"/>
    <w:rsid w:val="00BB258A"/>
    <w:rsid w:val="00BB3689"/>
    <w:rsid w:val="00BB3C2F"/>
    <w:rsid w:val="00BB43D3"/>
    <w:rsid w:val="00BB5437"/>
    <w:rsid w:val="00BC448D"/>
    <w:rsid w:val="00BC5AAB"/>
    <w:rsid w:val="00BC7112"/>
    <w:rsid w:val="00BC7A7F"/>
    <w:rsid w:val="00BD2050"/>
    <w:rsid w:val="00BD2D18"/>
    <w:rsid w:val="00BD384E"/>
    <w:rsid w:val="00BD474E"/>
    <w:rsid w:val="00BE3D90"/>
    <w:rsid w:val="00BE530B"/>
    <w:rsid w:val="00BE6076"/>
    <w:rsid w:val="00BE793E"/>
    <w:rsid w:val="00BF0763"/>
    <w:rsid w:val="00BF27F6"/>
    <w:rsid w:val="00BF3B9D"/>
    <w:rsid w:val="00BF75C5"/>
    <w:rsid w:val="00BF775B"/>
    <w:rsid w:val="00C00669"/>
    <w:rsid w:val="00C02C98"/>
    <w:rsid w:val="00C061C8"/>
    <w:rsid w:val="00C07E1E"/>
    <w:rsid w:val="00C162E6"/>
    <w:rsid w:val="00C21216"/>
    <w:rsid w:val="00C2134F"/>
    <w:rsid w:val="00C22FF5"/>
    <w:rsid w:val="00C2360E"/>
    <w:rsid w:val="00C250FB"/>
    <w:rsid w:val="00C26519"/>
    <w:rsid w:val="00C26C5D"/>
    <w:rsid w:val="00C271FF"/>
    <w:rsid w:val="00C30B0B"/>
    <w:rsid w:val="00C311CE"/>
    <w:rsid w:val="00C33387"/>
    <w:rsid w:val="00C34B13"/>
    <w:rsid w:val="00C350EB"/>
    <w:rsid w:val="00C35329"/>
    <w:rsid w:val="00C374B0"/>
    <w:rsid w:val="00C43757"/>
    <w:rsid w:val="00C468DD"/>
    <w:rsid w:val="00C50932"/>
    <w:rsid w:val="00C50A26"/>
    <w:rsid w:val="00C51F65"/>
    <w:rsid w:val="00C56CC8"/>
    <w:rsid w:val="00C57D00"/>
    <w:rsid w:val="00C57F05"/>
    <w:rsid w:val="00C63034"/>
    <w:rsid w:val="00C64502"/>
    <w:rsid w:val="00C645A6"/>
    <w:rsid w:val="00C65374"/>
    <w:rsid w:val="00C656A8"/>
    <w:rsid w:val="00C65999"/>
    <w:rsid w:val="00C671AA"/>
    <w:rsid w:val="00C67390"/>
    <w:rsid w:val="00C674DC"/>
    <w:rsid w:val="00C738F2"/>
    <w:rsid w:val="00C74F83"/>
    <w:rsid w:val="00C75D49"/>
    <w:rsid w:val="00C80866"/>
    <w:rsid w:val="00C80FDA"/>
    <w:rsid w:val="00C81018"/>
    <w:rsid w:val="00C81A2F"/>
    <w:rsid w:val="00C82C34"/>
    <w:rsid w:val="00C84ECC"/>
    <w:rsid w:val="00C86C0F"/>
    <w:rsid w:val="00C86CF9"/>
    <w:rsid w:val="00C9468D"/>
    <w:rsid w:val="00C9601D"/>
    <w:rsid w:val="00C96769"/>
    <w:rsid w:val="00C97BA8"/>
    <w:rsid w:val="00CA085D"/>
    <w:rsid w:val="00CA33C0"/>
    <w:rsid w:val="00CA41E8"/>
    <w:rsid w:val="00CA75B7"/>
    <w:rsid w:val="00CB3A3A"/>
    <w:rsid w:val="00CB4E93"/>
    <w:rsid w:val="00CB4F97"/>
    <w:rsid w:val="00CB51AF"/>
    <w:rsid w:val="00CB6884"/>
    <w:rsid w:val="00CB6A58"/>
    <w:rsid w:val="00CB7D07"/>
    <w:rsid w:val="00CC06CC"/>
    <w:rsid w:val="00CC0A50"/>
    <w:rsid w:val="00CC1C32"/>
    <w:rsid w:val="00CC3670"/>
    <w:rsid w:val="00CC43BA"/>
    <w:rsid w:val="00CC598C"/>
    <w:rsid w:val="00CC72A8"/>
    <w:rsid w:val="00CD2E52"/>
    <w:rsid w:val="00CD6B63"/>
    <w:rsid w:val="00CE1D76"/>
    <w:rsid w:val="00CE1DC5"/>
    <w:rsid w:val="00CE1E62"/>
    <w:rsid w:val="00CE2AA6"/>
    <w:rsid w:val="00CE412B"/>
    <w:rsid w:val="00CE500B"/>
    <w:rsid w:val="00CE54F0"/>
    <w:rsid w:val="00CE637F"/>
    <w:rsid w:val="00CE78B8"/>
    <w:rsid w:val="00CE7905"/>
    <w:rsid w:val="00CE7D4C"/>
    <w:rsid w:val="00CF0859"/>
    <w:rsid w:val="00CF0D70"/>
    <w:rsid w:val="00CF1F7F"/>
    <w:rsid w:val="00CF2EF1"/>
    <w:rsid w:val="00CF355C"/>
    <w:rsid w:val="00CF3C9A"/>
    <w:rsid w:val="00CF7A82"/>
    <w:rsid w:val="00CF7F30"/>
    <w:rsid w:val="00D01293"/>
    <w:rsid w:val="00D02573"/>
    <w:rsid w:val="00D02E17"/>
    <w:rsid w:val="00D04368"/>
    <w:rsid w:val="00D04473"/>
    <w:rsid w:val="00D0530F"/>
    <w:rsid w:val="00D0599B"/>
    <w:rsid w:val="00D12BA3"/>
    <w:rsid w:val="00D1344F"/>
    <w:rsid w:val="00D16B94"/>
    <w:rsid w:val="00D20443"/>
    <w:rsid w:val="00D2050F"/>
    <w:rsid w:val="00D22554"/>
    <w:rsid w:val="00D22AC0"/>
    <w:rsid w:val="00D23F42"/>
    <w:rsid w:val="00D241B1"/>
    <w:rsid w:val="00D25342"/>
    <w:rsid w:val="00D31348"/>
    <w:rsid w:val="00D33DE4"/>
    <w:rsid w:val="00D34D10"/>
    <w:rsid w:val="00D35F0F"/>
    <w:rsid w:val="00D36E95"/>
    <w:rsid w:val="00D40BB6"/>
    <w:rsid w:val="00D4255B"/>
    <w:rsid w:val="00D4295C"/>
    <w:rsid w:val="00D44401"/>
    <w:rsid w:val="00D44DAE"/>
    <w:rsid w:val="00D44EE7"/>
    <w:rsid w:val="00D45895"/>
    <w:rsid w:val="00D47B0A"/>
    <w:rsid w:val="00D509E8"/>
    <w:rsid w:val="00D53375"/>
    <w:rsid w:val="00D54815"/>
    <w:rsid w:val="00D55467"/>
    <w:rsid w:val="00D55F3D"/>
    <w:rsid w:val="00D57A6E"/>
    <w:rsid w:val="00D64182"/>
    <w:rsid w:val="00D64632"/>
    <w:rsid w:val="00D649EC"/>
    <w:rsid w:val="00D656A8"/>
    <w:rsid w:val="00D66943"/>
    <w:rsid w:val="00D669C1"/>
    <w:rsid w:val="00D672A6"/>
    <w:rsid w:val="00D74BD0"/>
    <w:rsid w:val="00D75ECE"/>
    <w:rsid w:val="00D76B6F"/>
    <w:rsid w:val="00D818F2"/>
    <w:rsid w:val="00D82665"/>
    <w:rsid w:val="00D84349"/>
    <w:rsid w:val="00D901A2"/>
    <w:rsid w:val="00D91244"/>
    <w:rsid w:val="00D92FBC"/>
    <w:rsid w:val="00D93682"/>
    <w:rsid w:val="00DA08F2"/>
    <w:rsid w:val="00DA26F5"/>
    <w:rsid w:val="00DA4A02"/>
    <w:rsid w:val="00DA51ED"/>
    <w:rsid w:val="00DA6057"/>
    <w:rsid w:val="00DA7361"/>
    <w:rsid w:val="00DA7AA7"/>
    <w:rsid w:val="00DB18F9"/>
    <w:rsid w:val="00DB2DD9"/>
    <w:rsid w:val="00DB337F"/>
    <w:rsid w:val="00DB3484"/>
    <w:rsid w:val="00DB5388"/>
    <w:rsid w:val="00DB6393"/>
    <w:rsid w:val="00DB6BEB"/>
    <w:rsid w:val="00DC22C1"/>
    <w:rsid w:val="00DC344C"/>
    <w:rsid w:val="00DC350B"/>
    <w:rsid w:val="00DC6E5C"/>
    <w:rsid w:val="00DD045D"/>
    <w:rsid w:val="00DD13E0"/>
    <w:rsid w:val="00DD2E51"/>
    <w:rsid w:val="00DD3AFF"/>
    <w:rsid w:val="00DD69A1"/>
    <w:rsid w:val="00DE22D4"/>
    <w:rsid w:val="00DE6439"/>
    <w:rsid w:val="00DE645D"/>
    <w:rsid w:val="00DE7402"/>
    <w:rsid w:val="00DF19F1"/>
    <w:rsid w:val="00DF2A0A"/>
    <w:rsid w:val="00DF3E7B"/>
    <w:rsid w:val="00DF483E"/>
    <w:rsid w:val="00DF4E12"/>
    <w:rsid w:val="00DF7B0F"/>
    <w:rsid w:val="00E029CB"/>
    <w:rsid w:val="00E030B7"/>
    <w:rsid w:val="00E048E5"/>
    <w:rsid w:val="00E101B9"/>
    <w:rsid w:val="00E16387"/>
    <w:rsid w:val="00E16C9A"/>
    <w:rsid w:val="00E21D08"/>
    <w:rsid w:val="00E2262F"/>
    <w:rsid w:val="00E23AC5"/>
    <w:rsid w:val="00E24100"/>
    <w:rsid w:val="00E25E24"/>
    <w:rsid w:val="00E26698"/>
    <w:rsid w:val="00E3146E"/>
    <w:rsid w:val="00E328B9"/>
    <w:rsid w:val="00E3530B"/>
    <w:rsid w:val="00E35A0F"/>
    <w:rsid w:val="00E44DFF"/>
    <w:rsid w:val="00E50310"/>
    <w:rsid w:val="00E50387"/>
    <w:rsid w:val="00E5418E"/>
    <w:rsid w:val="00E54E88"/>
    <w:rsid w:val="00E554DB"/>
    <w:rsid w:val="00E55752"/>
    <w:rsid w:val="00E5717C"/>
    <w:rsid w:val="00E63481"/>
    <w:rsid w:val="00E72814"/>
    <w:rsid w:val="00E72BAF"/>
    <w:rsid w:val="00E736FA"/>
    <w:rsid w:val="00E7389F"/>
    <w:rsid w:val="00E7778A"/>
    <w:rsid w:val="00E77CAA"/>
    <w:rsid w:val="00E810B3"/>
    <w:rsid w:val="00E822C9"/>
    <w:rsid w:val="00E82EB4"/>
    <w:rsid w:val="00E84B34"/>
    <w:rsid w:val="00E861A5"/>
    <w:rsid w:val="00E86C0C"/>
    <w:rsid w:val="00E87ECC"/>
    <w:rsid w:val="00E908F6"/>
    <w:rsid w:val="00E919B0"/>
    <w:rsid w:val="00E92173"/>
    <w:rsid w:val="00E94235"/>
    <w:rsid w:val="00E9538E"/>
    <w:rsid w:val="00E97AC1"/>
    <w:rsid w:val="00E97F73"/>
    <w:rsid w:val="00EA02DF"/>
    <w:rsid w:val="00EA1656"/>
    <w:rsid w:val="00EA3149"/>
    <w:rsid w:val="00EA4931"/>
    <w:rsid w:val="00EA602C"/>
    <w:rsid w:val="00EA6FF2"/>
    <w:rsid w:val="00EA7BAF"/>
    <w:rsid w:val="00EA7BD1"/>
    <w:rsid w:val="00EB0047"/>
    <w:rsid w:val="00EB06E2"/>
    <w:rsid w:val="00EB22C8"/>
    <w:rsid w:val="00EB2C34"/>
    <w:rsid w:val="00EB6232"/>
    <w:rsid w:val="00EB77D9"/>
    <w:rsid w:val="00EC1A60"/>
    <w:rsid w:val="00EC4E4C"/>
    <w:rsid w:val="00EC74CA"/>
    <w:rsid w:val="00ED49D1"/>
    <w:rsid w:val="00ED4FC6"/>
    <w:rsid w:val="00ED6196"/>
    <w:rsid w:val="00ED643A"/>
    <w:rsid w:val="00ED76CA"/>
    <w:rsid w:val="00EE1AFE"/>
    <w:rsid w:val="00EE1DCA"/>
    <w:rsid w:val="00EE289A"/>
    <w:rsid w:val="00EE323E"/>
    <w:rsid w:val="00EE6207"/>
    <w:rsid w:val="00EF16DC"/>
    <w:rsid w:val="00EF19CE"/>
    <w:rsid w:val="00EF2F6B"/>
    <w:rsid w:val="00F00379"/>
    <w:rsid w:val="00F028F9"/>
    <w:rsid w:val="00F035A8"/>
    <w:rsid w:val="00F04D68"/>
    <w:rsid w:val="00F12270"/>
    <w:rsid w:val="00F12BE1"/>
    <w:rsid w:val="00F140B0"/>
    <w:rsid w:val="00F163A0"/>
    <w:rsid w:val="00F16E85"/>
    <w:rsid w:val="00F201B2"/>
    <w:rsid w:val="00F21106"/>
    <w:rsid w:val="00F22BAE"/>
    <w:rsid w:val="00F23E66"/>
    <w:rsid w:val="00F24D76"/>
    <w:rsid w:val="00F30FD4"/>
    <w:rsid w:val="00F31396"/>
    <w:rsid w:val="00F3178A"/>
    <w:rsid w:val="00F32231"/>
    <w:rsid w:val="00F32D8E"/>
    <w:rsid w:val="00F337CE"/>
    <w:rsid w:val="00F35F33"/>
    <w:rsid w:val="00F3603B"/>
    <w:rsid w:val="00F4447B"/>
    <w:rsid w:val="00F455A9"/>
    <w:rsid w:val="00F46F73"/>
    <w:rsid w:val="00F47CD7"/>
    <w:rsid w:val="00F551A8"/>
    <w:rsid w:val="00F57732"/>
    <w:rsid w:val="00F6081C"/>
    <w:rsid w:val="00F60B29"/>
    <w:rsid w:val="00F6151E"/>
    <w:rsid w:val="00F617DD"/>
    <w:rsid w:val="00F634E7"/>
    <w:rsid w:val="00F64C2B"/>
    <w:rsid w:val="00F70535"/>
    <w:rsid w:val="00F709DA"/>
    <w:rsid w:val="00F70DA3"/>
    <w:rsid w:val="00F71A90"/>
    <w:rsid w:val="00F72793"/>
    <w:rsid w:val="00F73064"/>
    <w:rsid w:val="00F74A5B"/>
    <w:rsid w:val="00F75381"/>
    <w:rsid w:val="00F753A2"/>
    <w:rsid w:val="00F76A35"/>
    <w:rsid w:val="00F8055F"/>
    <w:rsid w:val="00F80588"/>
    <w:rsid w:val="00F81929"/>
    <w:rsid w:val="00F81AE4"/>
    <w:rsid w:val="00F8295E"/>
    <w:rsid w:val="00F85865"/>
    <w:rsid w:val="00F85B51"/>
    <w:rsid w:val="00F87DAD"/>
    <w:rsid w:val="00F90B65"/>
    <w:rsid w:val="00F90E48"/>
    <w:rsid w:val="00F9112F"/>
    <w:rsid w:val="00F9273D"/>
    <w:rsid w:val="00F92E3A"/>
    <w:rsid w:val="00FA28BF"/>
    <w:rsid w:val="00FA2FCE"/>
    <w:rsid w:val="00FA4BFA"/>
    <w:rsid w:val="00FA72B8"/>
    <w:rsid w:val="00FB09F6"/>
    <w:rsid w:val="00FB11EF"/>
    <w:rsid w:val="00FB12E3"/>
    <w:rsid w:val="00FB5001"/>
    <w:rsid w:val="00FB5BF3"/>
    <w:rsid w:val="00FB6D61"/>
    <w:rsid w:val="00FC1D3F"/>
    <w:rsid w:val="00FC2054"/>
    <w:rsid w:val="00FC2D95"/>
    <w:rsid w:val="00FC5211"/>
    <w:rsid w:val="00FC6010"/>
    <w:rsid w:val="00FC6119"/>
    <w:rsid w:val="00FC7E63"/>
    <w:rsid w:val="00FD118A"/>
    <w:rsid w:val="00FD11E6"/>
    <w:rsid w:val="00FD328E"/>
    <w:rsid w:val="00FD3447"/>
    <w:rsid w:val="00FD3650"/>
    <w:rsid w:val="00FD3EA7"/>
    <w:rsid w:val="00FD530D"/>
    <w:rsid w:val="00FD54AA"/>
    <w:rsid w:val="00FD5E35"/>
    <w:rsid w:val="00FD6903"/>
    <w:rsid w:val="00FE4997"/>
    <w:rsid w:val="00FE5CC2"/>
    <w:rsid w:val="00FE6057"/>
    <w:rsid w:val="00FE6736"/>
    <w:rsid w:val="00FE6BF9"/>
    <w:rsid w:val="00FF02AE"/>
    <w:rsid w:val="00FF0A66"/>
    <w:rsid w:val="00FF27F5"/>
    <w:rsid w:val="00FF2FD2"/>
    <w:rsid w:val="00FF34C0"/>
    <w:rsid w:val="018A573E"/>
    <w:rsid w:val="02210CF9"/>
    <w:rsid w:val="0224013B"/>
    <w:rsid w:val="02625096"/>
    <w:rsid w:val="026E2FE6"/>
    <w:rsid w:val="028A7052"/>
    <w:rsid w:val="03032056"/>
    <w:rsid w:val="030636CC"/>
    <w:rsid w:val="039A31A4"/>
    <w:rsid w:val="047C0375"/>
    <w:rsid w:val="04D36966"/>
    <w:rsid w:val="05117104"/>
    <w:rsid w:val="051656B9"/>
    <w:rsid w:val="05DA3548"/>
    <w:rsid w:val="05E22B10"/>
    <w:rsid w:val="066FF6EC"/>
    <w:rsid w:val="06B213D6"/>
    <w:rsid w:val="06BDD1D9"/>
    <w:rsid w:val="06DF06A8"/>
    <w:rsid w:val="07411D6A"/>
    <w:rsid w:val="07CD6C7F"/>
    <w:rsid w:val="07DE0EAF"/>
    <w:rsid w:val="092775B1"/>
    <w:rsid w:val="0A3E059B"/>
    <w:rsid w:val="0A952D70"/>
    <w:rsid w:val="0AD2451C"/>
    <w:rsid w:val="0B0C611D"/>
    <w:rsid w:val="0B6D6077"/>
    <w:rsid w:val="0BC78D4E"/>
    <w:rsid w:val="0BFC03F4"/>
    <w:rsid w:val="0BFE5642"/>
    <w:rsid w:val="0CF01A84"/>
    <w:rsid w:val="0D017FAC"/>
    <w:rsid w:val="0D2F2869"/>
    <w:rsid w:val="0D3D299D"/>
    <w:rsid w:val="0D641F64"/>
    <w:rsid w:val="0D7638A0"/>
    <w:rsid w:val="0D7FC743"/>
    <w:rsid w:val="0D8D60A7"/>
    <w:rsid w:val="0D9A030A"/>
    <w:rsid w:val="0DBF3DB8"/>
    <w:rsid w:val="0DDF5289"/>
    <w:rsid w:val="0EDA6D1E"/>
    <w:rsid w:val="0EE72297"/>
    <w:rsid w:val="0EF01A9D"/>
    <w:rsid w:val="0FAE7822"/>
    <w:rsid w:val="0FE5B9D0"/>
    <w:rsid w:val="0FED4112"/>
    <w:rsid w:val="0FEE1DFA"/>
    <w:rsid w:val="0FEEDF58"/>
    <w:rsid w:val="0FF7A40C"/>
    <w:rsid w:val="109D4D3F"/>
    <w:rsid w:val="10D62613"/>
    <w:rsid w:val="11AF33D1"/>
    <w:rsid w:val="12350F80"/>
    <w:rsid w:val="12A14D7F"/>
    <w:rsid w:val="12E2638D"/>
    <w:rsid w:val="136A4321"/>
    <w:rsid w:val="13E769CA"/>
    <w:rsid w:val="13EFB04F"/>
    <w:rsid w:val="13FC5BCC"/>
    <w:rsid w:val="146E0751"/>
    <w:rsid w:val="14956372"/>
    <w:rsid w:val="156F546D"/>
    <w:rsid w:val="15FF9E00"/>
    <w:rsid w:val="16447BFD"/>
    <w:rsid w:val="16852C50"/>
    <w:rsid w:val="17075BAD"/>
    <w:rsid w:val="17FB76A8"/>
    <w:rsid w:val="183A733C"/>
    <w:rsid w:val="19581CE9"/>
    <w:rsid w:val="197B2A56"/>
    <w:rsid w:val="199218E1"/>
    <w:rsid w:val="19DFFD08"/>
    <w:rsid w:val="19F241B8"/>
    <w:rsid w:val="19F56058"/>
    <w:rsid w:val="19F7A840"/>
    <w:rsid w:val="19FEAB44"/>
    <w:rsid w:val="1AED5743"/>
    <w:rsid w:val="1B2799EF"/>
    <w:rsid w:val="1B693F20"/>
    <w:rsid w:val="1B794860"/>
    <w:rsid w:val="1BC75FA8"/>
    <w:rsid w:val="1C3F8DFA"/>
    <w:rsid w:val="1C825386"/>
    <w:rsid w:val="1CCE01C2"/>
    <w:rsid w:val="1CE43E16"/>
    <w:rsid w:val="1DB35E3E"/>
    <w:rsid w:val="1DCB3078"/>
    <w:rsid w:val="1DDE374B"/>
    <w:rsid w:val="1DFB3D28"/>
    <w:rsid w:val="1DFDCB50"/>
    <w:rsid w:val="1E595F0F"/>
    <w:rsid w:val="1EDC9CEB"/>
    <w:rsid w:val="1EEB42BF"/>
    <w:rsid w:val="1EF73839"/>
    <w:rsid w:val="1EF74C02"/>
    <w:rsid w:val="1F5FDCF0"/>
    <w:rsid w:val="1FA5AAB4"/>
    <w:rsid w:val="1FBD6640"/>
    <w:rsid w:val="1FC20B57"/>
    <w:rsid w:val="1FDA1C12"/>
    <w:rsid w:val="1FE90144"/>
    <w:rsid w:val="1FEAD7E5"/>
    <w:rsid w:val="1FF5B2DE"/>
    <w:rsid w:val="1FFB201C"/>
    <w:rsid w:val="1FFB5405"/>
    <w:rsid w:val="1FFFBDE5"/>
    <w:rsid w:val="20765BC3"/>
    <w:rsid w:val="20E82682"/>
    <w:rsid w:val="21BE8AEE"/>
    <w:rsid w:val="21FE88D0"/>
    <w:rsid w:val="22604DB4"/>
    <w:rsid w:val="2262768D"/>
    <w:rsid w:val="22665DBE"/>
    <w:rsid w:val="23176417"/>
    <w:rsid w:val="23865154"/>
    <w:rsid w:val="23AB053A"/>
    <w:rsid w:val="23F542FD"/>
    <w:rsid w:val="2402583C"/>
    <w:rsid w:val="24591873"/>
    <w:rsid w:val="247A647E"/>
    <w:rsid w:val="24DE5D48"/>
    <w:rsid w:val="255E18C3"/>
    <w:rsid w:val="25AFEC6A"/>
    <w:rsid w:val="25B241DD"/>
    <w:rsid w:val="25C33A1E"/>
    <w:rsid w:val="261F2A82"/>
    <w:rsid w:val="26A41B3E"/>
    <w:rsid w:val="26FF5185"/>
    <w:rsid w:val="27562E90"/>
    <w:rsid w:val="27B65108"/>
    <w:rsid w:val="27CF419B"/>
    <w:rsid w:val="287F6E35"/>
    <w:rsid w:val="288B7F9D"/>
    <w:rsid w:val="28FB1A79"/>
    <w:rsid w:val="2955C9F5"/>
    <w:rsid w:val="29B521C6"/>
    <w:rsid w:val="2A2130A4"/>
    <w:rsid w:val="2A6F67E4"/>
    <w:rsid w:val="2A7B25E2"/>
    <w:rsid w:val="2AE20017"/>
    <w:rsid w:val="2B76A668"/>
    <w:rsid w:val="2BCB9AE8"/>
    <w:rsid w:val="2BEACFCB"/>
    <w:rsid w:val="2BFF3860"/>
    <w:rsid w:val="2C201CB5"/>
    <w:rsid w:val="2C2E499A"/>
    <w:rsid w:val="2C9E681C"/>
    <w:rsid w:val="2D0A13E6"/>
    <w:rsid w:val="2E37A926"/>
    <w:rsid w:val="2E391E57"/>
    <w:rsid w:val="2E7D67E5"/>
    <w:rsid w:val="2EC7407F"/>
    <w:rsid w:val="2F0B74F4"/>
    <w:rsid w:val="2F5F4B91"/>
    <w:rsid w:val="2F7C33A7"/>
    <w:rsid w:val="2FAF79D4"/>
    <w:rsid w:val="2FB3610F"/>
    <w:rsid w:val="2FBF8054"/>
    <w:rsid w:val="2FCA5114"/>
    <w:rsid w:val="2FDE7DD5"/>
    <w:rsid w:val="2FDF260D"/>
    <w:rsid w:val="2FE2BDF5"/>
    <w:rsid w:val="2FE47C81"/>
    <w:rsid w:val="2FE79681"/>
    <w:rsid w:val="2FE925DE"/>
    <w:rsid w:val="2FFF508C"/>
    <w:rsid w:val="2FFFB77B"/>
    <w:rsid w:val="3062230F"/>
    <w:rsid w:val="30D713E5"/>
    <w:rsid w:val="31ABD092"/>
    <w:rsid w:val="31BC622D"/>
    <w:rsid w:val="31D71110"/>
    <w:rsid w:val="31F772F8"/>
    <w:rsid w:val="326672A9"/>
    <w:rsid w:val="335EC2C9"/>
    <w:rsid w:val="335F9605"/>
    <w:rsid w:val="336E7A77"/>
    <w:rsid w:val="336F864D"/>
    <w:rsid w:val="337FC0AF"/>
    <w:rsid w:val="338B7D2F"/>
    <w:rsid w:val="33BE1BD8"/>
    <w:rsid w:val="33EDE0AB"/>
    <w:rsid w:val="33FF0B55"/>
    <w:rsid w:val="3413BAED"/>
    <w:rsid w:val="34944F96"/>
    <w:rsid w:val="34CBF0FF"/>
    <w:rsid w:val="34EBA5E8"/>
    <w:rsid w:val="34FFC868"/>
    <w:rsid w:val="354C6553"/>
    <w:rsid w:val="355527C5"/>
    <w:rsid w:val="355F1FAF"/>
    <w:rsid w:val="35681483"/>
    <w:rsid w:val="357D7842"/>
    <w:rsid w:val="35D55FF6"/>
    <w:rsid w:val="35FA414E"/>
    <w:rsid w:val="35FF2072"/>
    <w:rsid w:val="36104355"/>
    <w:rsid w:val="36522820"/>
    <w:rsid w:val="365E79E7"/>
    <w:rsid w:val="36605533"/>
    <w:rsid w:val="3685195A"/>
    <w:rsid w:val="36FF1322"/>
    <w:rsid w:val="3703556B"/>
    <w:rsid w:val="373DF6F0"/>
    <w:rsid w:val="375C679C"/>
    <w:rsid w:val="376D771E"/>
    <w:rsid w:val="3773AC8C"/>
    <w:rsid w:val="377DF5C8"/>
    <w:rsid w:val="377EBBDF"/>
    <w:rsid w:val="37C35378"/>
    <w:rsid w:val="37D3776F"/>
    <w:rsid w:val="37D717BC"/>
    <w:rsid w:val="37EFD344"/>
    <w:rsid w:val="37F5FBD4"/>
    <w:rsid w:val="37FF2901"/>
    <w:rsid w:val="381B4C6E"/>
    <w:rsid w:val="391762DE"/>
    <w:rsid w:val="393921D3"/>
    <w:rsid w:val="39DDAD53"/>
    <w:rsid w:val="39FB3FE5"/>
    <w:rsid w:val="3A0A5C12"/>
    <w:rsid w:val="3A3FAD34"/>
    <w:rsid w:val="3A4A585F"/>
    <w:rsid w:val="3A6D3443"/>
    <w:rsid w:val="3A8A75E7"/>
    <w:rsid w:val="3ABD4C06"/>
    <w:rsid w:val="3ACFE937"/>
    <w:rsid w:val="3AF73C71"/>
    <w:rsid w:val="3B10410F"/>
    <w:rsid w:val="3B146D5D"/>
    <w:rsid w:val="3B1505A6"/>
    <w:rsid w:val="3B295E75"/>
    <w:rsid w:val="3B9D42D3"/>
    <w:rsid w:val="3BBF615D"/>
    <w:rsid w:val="3BBFB9B9"/>
    <w:rsid w:val="3BCBE004"/>
    <w:rsid w:val="3BD27A1D"/>
    <w:rsid w:val="3BDF35E8"/>
    <w:rsid w:val="3BEC4E8D"/>
    <w:rsid w:val="3BED88B5"/>
    <w:rsid w:val="3BF2BACE"/>
    <w:rsid w:val="3BF35235"/>
    <w:rsid w:val="3BFF4357"/>
    <w:rsid w:val="3BFFF285"/>
    <w:rsid w:val="3C4A40F2"/>
    <w:rsid w:val="3C4D7940"/>
    <w:rsid w:val="3C8B5180"/>
    <w:rsid w:val="3CDF836B"/>
    <w:rsid w:val="3D0E7959"/>
    <w:rsid w:val="3D2C1D85"/>
    <w:rsid w:val="3D5B20A5"/>
    <w:rsid w:val="3D7F58E5"/>
    <w:rsid w:val="3D835AC8"/>
    <w:rsid w:val="3D9F948A"/>
    <w:rsid w:val="3DB364B7"/>
    <w:rsid w:val="3DBFF948"/>
    <w:rsid w:val="3DDF00C3"/>
    <w:rsid w:val="3DEFD439"/>
    <w:rsid w:val="3DEFE93B"/>
    <w:rsid w:val="3DF70B80"/>
    <w:rsid w:val="3DFD02DA"/>
    <w:rsid w:val="3E012316"/>
    <w:rsid w:val="3E241B62"/>
    <w:rsid w:val="3E455615"/>
    <w:rsid w:val="3E754120"/>
    <w:rsid w:val="3E7EBDE1"/>
    <w:rsid w:val="3E7F8228"/>
    <w:rsid w:val="3E9D6E28"/>
    <w:rsid w:val="3EDFD9CD"/>
    <w:rsid w:val="3EFC989C"/>
    <w:rsid w:val="3EFE3E83"/>
    <w:rsid w:val="3EFF7B26"/>
    <w:rsid w:val="3F1D3868"/>
    <w:rsid w:val="3F3B8423"/>
    <w:rsid w:val="3F3F77E8"/>
    <w:rsid w:val="3F5BD4E9"/>
    <w:rsid w:val="3F679856"/>
    <w:rsid w:val="3F6A0CC5"/>
    <w:rsid w:val="3F6F229C"/>
    <w:rsid w:val="3F7C789B"/>
    <w:rsid w:val="3F7D8EEC"/>
    <w:rsid w:val="3F8CC94E"/>
    <w:rsid w:val="3F8E621F"/>
    <w:rsid w:val="3F9F30D6"/>
    <w:rsid w:val="3FA5EB0F"/>
    <w:rsid w:val="3FA7359E"/>
    <w:rsid w:val="3FB30008"/>
    <w:rsid w:val="3FBD5583"/>
    <w:rsid w:val="3FBE84A8"/>
    <w:rsid w:val="3FBFD4F5"/>
    <w:rsid w:val="3FD3A5AD"/>
    <w:rsid w:val="3FD63FDE"/>
    <w:rsid w:val="3FD713BA"/>
    <w:rsid w:val="3FDB1D57"/>
    <w:rsid w:val="3FDC5B69"/>
    <w:rsid w:val="3FDE491D"/>
    <w:rsid w:val="3FDE7C2F"/>
    <w:rsid w:val="3FED3179"/>
    <w:rsid w:val="3FF73F84"/>
    <w:rsid w:val="3FF799F3"/>
    <w:rsid w:val="3FF80A90"/>
    <w:rsid w:val="3FF91D40"/>
    <w:rsid w:val="3FFAAB25"/>
    <w:rsid w:val="3FFBE394"/>
    <w:rsid w:val="3FFE0633"/>
    <w:rsid w:val="3FFE0B27"/>
    <w:rsid w:val="3FFE1171"/>
    <w:rsid w:val="3FFEDADA"/>
    <w:rsid w:val="3FFEED11"/>
    <w:rsid w:val="3FFF03F2"/>
    <w:rsid w:val="3FFF8761"/>
    <w:rsid w:val="3FFFE26C"/>
    <w:rsid w:val="3FFFFE57"/>
    <w:rsid w:val="40484EF8"/>
    <w:rsid w:val="41553EE6"/>
    <w:rsid w:val="4158518A"/>
    <w:rsid w:val="41670B1F"/>
    <w:rsid w:val="416C363E"/>
    <w:rsid w:val="42193328"/>
    <w:rsid w:val="429B0BB1"/>
    <w:rsid w:val="429F9652"/>
    <w:rsid w:val="42EC579E"/>
    <w:rsid w:val="437F56A0"/>
    <w:rsid w:val="43AD1F6A"/>
    <w:rsid w:val="43B053A9"/>
    <w:rsid w:val="43E637A7"/>
    <w:rsid w:val="43EF7555"/>
    <w:rsid w:val="43F1624D"/>
    <w:rsid w:val="43FF7CBF"/>
    <w:rsid w:val="442979A4"/>
    <w:rsid w:val="44500D4B"/>
    <w:rsid w:val="4555726A"/>
    <w:rsid w:val="45C517DF"/>
    <w:rsid w:val="45D86137"/>
    <w:rsid w:val="45E04CFC"/>
    <w:rsid w:val="45E438CF"/>
    <w:rsid w:val="462A1A03"/>
    <w:rsid w:val="467C5DA6"/>
    <w:rsid w:val="477702F5"/>
    <w:rsid w:val="477C7995"/>
    <w:rsid w:val="47BABEDB"/>
    <w:rsid w:val="47BE4C45"/>
    <w:rsid w:val="47BF4F1E"/>
    <w:rsid w:val="487137F0"/>
    <w:rsid w:val="48901302"/>
    <w:rsid w:val="48911169"/>
    <w:rsid w:val="48D1016E"/>
    <w:rsid w:val="49A850F1"/>
    <w:rsid w:val="4A964B9D"/>
    <w:rsid w:val="4ABEF567"/>
    <w:rsid w:val="4B6661FF"/>
    <w:rsid w:val="4BB6064D"/>
    <w:rsid w:val="4BF6E6AB"/>
    <w:rsid w:val="4C0E68C3"/>
    <w:rsid w:val="4D1ACB49"/>
    <w:rsid w:val="4D752A30"/>
    <w:rsid w:val="4D9D2FA6"/>
    <w:rsid w:val="4DAE322C"/>
    <w:rsid w:val="4DDE2027"/>
    <w:rsid w:val="4E2E6693"/>
    <w:rsid w:val="4E3F928F"/>
    <w:rsid w:val="4EE7402D"/>
    <w:rsid w:val="4EEFD673"/>
    <w:rsid w:val="4EF5DB99"/>
    <w:rsid w:val="4F301B9A"/>
    <w:rsid w:val="4F536BFD"/>
    <w:rsid w:val="4F5D1BC8"/>
    <w:rsid w:val="4F6EFC51"/>
    <w:rsid w:val="4F7F32E7"/>
    <w:rsid w:val="4F8D9504"/>
    <w:rsid w:val="4FB2A240"/>
    <w:rsid w:val="4FC5AD04"/>
    <w:rsid w:val="4FC7B06B"/>
    <w:rsid w:val="4FCD4D90"/>
    <w:rsid w:val="4FD63094"/>
    <w:rsid w:val="4FF7ECA1"/>
    <w:rsid w:val="4FFA267D"/>
    <w:rsid w:val="4FFB595E"/>
    <w:rsid w:val="4FFB6383"/>
    <w:rsid w:val="50A658C3"/>
    <w:rsid w:val="50B149BE"/>
    <w:rsid w:val="50E030F8"/>
    <w:rsid w:val="514B0C21"/>
    <w:rsid w:val="51732D73"/>
    <w:rsid w:val="51F75791"/>
    <w:rsid w:val="522F55C9"/>
    <w:rsid w:val="5258754C"/>
    <w:rsid w:val="525B50F2"/>
    <w:rsid w:val="525E30C3"/>
    <w:rsid w:val="52721F36"/>
    <w:rsid w:val="52EFA202"/>
    <w:rsid w:val="53233720"/>
    <w:rsid w:val="539FB367"/>
    <w:rsid w:val="53DE9905"/>
    <w:rsid w:val="53FB7846"/>
    <w:rsid w:val="53FEDC51"/>
    <w:rsid w:val="53FFBD42"/>
    <w:rsid w:val="541750F9"/>
    <w:rsid w:val="545A55BD"/>
    <w:rsid w:val="5476637E"/>
    <w:rsid w:val="54FF8EB6"/>
    <w:rsid w:val="550B5727"/>
    <w:rsid w:val="557FB53A"/>
    <w:rsid w:val="55B3B784"/>
    <w:rsid w:val="55D07A33"/>
    <w:rsid w:val="55EB8D37"/>
    <w:rsid w:val="55F83747"/>
    <w:rsid w:val="55FA7990"/>
    <w:rsid w:val="55FF35EC"/>
    <w:rsid w:val="55FF5636"/>
    <w:rsid w:val="560043F7"/>
    <w:rsid w:val="564B40C4"/>
    <w:rsid w:val="565F016A"/>
    <w:rsid w:val="56AEBB1C"/>
    <w:rsid w:val="56CA23C9"/>
    <w:rsid w:val="56DE563B"/>
    <w:rsid w:val="56FD0A3D"/>
    <w:rsid w:val="570E1E4A"/>
    <w:rsid w:val="577B89BB"/>
    <w:rsid w:val="577C4AAF"/>
    <w:rsid w:val="57BB578E"/>
    <w:rsid w:val="57BFAD11"/>
    <w:rsid w:val="57C70D7B"/>
    <w:rsid w:val="57CF1CCB"/>
    <w:rsid w:val="57D24542"/>
    <w:rsid w:val="57EF6C9B"/>
    <w:rsid w:val="57F829A7"/>
    <w:rsid w:val="581F795C"/>
    <w:rsid w:val="586C0A57"/>
    <w:rsid w:val="58FF5C85"/>
    <w:rsid w:val="59BF346D"/>
    <w:rsid w:val="59CF7EA3"/>
    <w:rsid w:val="59FF3B8B"/>
    <w:rsid w:val="59FF4BC3"/>
    <w:rsid w:val="5A3F5D48"/>
    <w:rsid w:val="5A596397"/>
    <w:rsid w:val="5AA5CBE8"/>
    <w:rsid w:val="5ABE2002"/>
    <w:rsid w:val="5ABF6CAE"/>
    <w:rsid w:val="5AF7E5F9"/>
    <w:rsid w:val="5AFEF9E1"/>
    <w:rsid w:val="5B1751FF"/>
    <w:rsid w:val="5B552000"/>
    <w:rsid w:val="5B6B7A72"/>
    <w:rsid w:val="5BAD57C5"/>
    <w:rsid w:val="5BBFB05F"/>
    <w:rsid w:val="5BCE2761"/>
    <w:rsid w:val="5BEF3700"/>
    <w:rsid w:val="5BF7B4E5"/>
    <w:rsid w:val="5C8F4755"/>
    <w:rsid w:val="5CFD049E"/>
    <w:rsid w:val="5D1BDE15"/>
    <w:rsid w:val="5D34347A"/>
    <w:rsid w:val="5D7F8D8D"/>
    <w:rsid w:val="5D7F9E85"/>
    <w:rsid w:val="5D876DAB"/>
    <w:rsid w:val="5D8B695D"/>
    <w:rsid w:val="5DB51D8A"/>
    <w:rsid w:val="5DB597F9"/>
    <w:rsid w:val="5DD7F538"/>
    <w:rsid w:val="5DDD7D68"/>
    <w:rsid w:val="5DDF9F25"/>
    <w:rsid w:val="5DEEDDED"/>
    <w:rsid w:val="5DEF8F90"/>
    <w:rsid w:val="5DF9BFB6"/>
    <w:rsid w:val="5DFD65F3"/>
    <w:rsid w:val="5E5BA771"/>
    <w:rsid w:val="5E7F515F"/>
    <w:rsid w:val="5E958EC9"/>
    <w:rsid w:val="5EDF0862"/>
    <w:rsid w:val="5EE32197"/>
    <w:rsid w:val="5EEF3B38"/>
    <w:rsid w:val="5EF318EC"/>
    <w:rsid w:val="5EFB68F6"/>
    <w:rsid w:val="5EFBB237"/>
    <w:rsid w:val="5EFF0242"/>
    <w:rsid w:val="5EFF7930"/>
    <w:rsid w:val="5F25672D"/>
    <w:rsid w:val="5F3B4947"/>
    <w:rsid w:val="5F3DB73A"/>
    <w:rsid w:val="5F4C2E05"/>
    <w:rsid w:val="5F5930D2"/>
    <w:rsid w:val="5F5C852D"/>
    <w:rsid w:val="5F6EB58D"/>
    <w:rsid w:val="5F73CFDB"/>
    <w:rsid w:val="5F788219"/>
    <w:rsid w:val="5F7B0FC9"/>
    <w:rsid w:val="5F97991D"/>
    <w:rsid w:val="5FB7B08A"/>
    <w:rsid w:val="5FBB246C"/>
    <w:rsid w:val="5FBFB30A"/>
    <w:rsid w:val="5FCA359C"/>
    <w:rsid w:val="5FCBFC1D"/>
    <w:rsid w:val="5FD0EC82"/>
    <w:rsid w:val="5FD3D504"/>
    <w:rsid w:val="5FD64158"/>
    <w:rsid w:val="5FDA2C0E"/>
    <w:rsid w:val="5FDD0594"/>
    <w:rsid w:val="5FDD1306"/>
    <w:rsid w:val="5FDD67DB"/>
    <w:rsid w:val="5FDF19B2"/>
    <w:rsid w:val="5FE746CC"/>
    <w:rsid w:val="5FE76E31"/>
    <w:rsid w:val="5FEE47F8"/>
    <w:rsid w:val="5FF5995F"/>
    <w:rsid w:val="5FF7D0A2"/>
    <w:rsid w:val="5FF7F925"/>
    <w:rsid w:val="5FF99F02"/>
    <w:rsid w:val="5FFA8CAA"/>
    <w:rsid w:val="5FFB198F"/>
    <w:rsid w:val="5FFB2F73"/>
    <w:rsid w:val="5FFD4364"/>
    <w:rsid w:val="5FFE5A50"/>
    <w:rsid w:val="5FFF2FB9"/>
    <w:rsid w:val="5FFF6594"/>
    <w:rsid w:val="5FFFF03D"/>
    <w:rsid w:val="602307A1"/>
    <w:rsid w:val="602B4ADB"/>
    <w:rsid w:val="608736F8"/>
    <w:rsid w:val="608904C1"/>
    <w:rsid w:val="616651CE"/>
    <w:rsid w:val="61F536CC"/>
    <w:rsid w:val="61FFD944"/>
    <w:rsid w:val="622222F6"/>
    <w:rsid w:val="622E0F30"/>
    <w:rsid w:val="624D42B6"/>
    <w:rsid w:val="626D558D"/>
    <w:rsid w:val="62867D21"/>
    <w:rsid w:val="6287DEE8"/>
    <w:rsid w:val="62B7A228"/>
    <w:rsid w:val="63584240"/>
    <w:rsid w:val="63E42685"/>
    <w:rsid w:val="63F91E48"/>
    <w:rsid w:val="648C39B9"/>
    <w:rsid w:val="64995CF1"/>
    <w:rsid w:val="64FA3C0F"/>
    <w:rsid w:val="653E5A1D"/>
    <w:rsid w:val="658B0900"/>
    <w:rsid w:val="659FC1C8"/>
    <w:rsid w:val="65A85DF9"/>
    <w:rsid w:val="65AFFEF3"/>
    <w:rsid w:val="65EBF361"/>
    <w:rsid w:val="65FB4D78"/>
    <w:rsid w:val="661041E5"/>
    <w:rsid w:val="66780ED6"/>
    <w:rsid w:val="66E055A7"/>
    <w:rsid w:val="66F3FB35"/>
    <w:rsid w:val="66FC2D64"/>
    <w:rsid w:val="66FE48A7"/>
    <w:rsid w:val="6747A8BD"/>
    <w:rsid w:val="676873A1"/>
    <w:rsid w:val="677956FB"/>
    <w:rsid w:val="677D3283"/>
    <w:rsid w:val="677D608A"/>
    <w:rsid w:val="677F10C2"/>
    <w:rsid w:val="677F9245"/>
    <w:rsid w:val="67BF7565"/>
    <w:rsid w:val="67BF984B"/>
    <w:rsid w:val="67DB63E7"/>
    <w:rsid w:val="67DECAC0"/>
    <w:rsid w:val="67F97716"/>
    <w:rsid w:val="67FBA434"/>
    <w:rsid w:val="67FDBBBB"/>
    <w:rsid w:val="67FF11A7"/>
    <w:rsid w:val="682760F8"/>
    <w:rsid w:val="689606BC"/>
    <w:rsid w:val="691B09A4"/>
    <w:rsid w:val="69876C29"/>
    <w:rsid w:val="69927EE8"/>
    <w:rsid w:val="69EEECC3"/>
    <w:rsid w:val="69FD1DCC"/>
    <w:rsid w:val="6A44657E"/>
    <w:rsid w:val="6A582708"/>
    <w:rsid w:val="6A5EC3A8"/>
    <w:rsid w:val="6AF97A73"/>
    <w:rsid w:val="6B7A8789"/>
    <w:rsid w:val="6B7D119A"/>
    <w:rsid w:val="6B97512E"/>
    <w:rsid w:val="6BADF9D9"/>
    <w:rsid w:val="6BAF9768"/>
    <w:rsid w:val="6BCF18C8"/>
    <w:rsid w:val="6BDD6A2B"/>
    <w:rsid w:val="6BDF97AB"/>
    <w:rsid w:val="6BFAEA8B"/>
    <w:rsid w:val="6C477D58"/>
    <w:rsid w:val="6C7970F7"/>
    <w:rsid w:val="6C7FBCDF"/>
    <w:rsid w:val="6C96242F"/>
    <w:rsid w:val="6CFF021E"/>
    <w:rsid w:val="6D39691B"/>
    <w:rsid w:val="6D513A06"/>
    <w:rsid w:val="6D6B4471"/>
    <w:rsid w:val="6D7FBBB1"/>
    <w:rsid w:val="6D9B5F81"/>
    <w:rsid w:val="6D9F1564"/>
    <w:rsid w:val="6DBDD91A"/>
    <w:rsid w:val="6DBF5C69"/>
    <w:rsid w:val="6DC72085"/>
    <w:rsid w:val="6DDF1577"/>
    <w:rsid w:val="6DF72B05"/>
    <w:rsid w:val="6DFF2478"/>
    <w:rsid w:val="6E0FA424"/>
    <w:rsid w:val="6E3FEA8B"/>
    <w:rsid w:val="6E6E0A7F"/>
    <w:rsid w:val="6EBF4067"/>
    <w:rsid w:val="6EBF7C50"/>
    <w:rsid w:val="6ECC0124"/>
    <w:rsid w:val="6ECD3C20"/>
    <w:rsid w:val="6ED033B6"/>
    <w:rsid w:val="6EE7C796"/>
    <w:rsid w:val="6EEA5DC9"/>
    <w:rsid w:val="6EEBF174"/>
    <w:rsid w:val="6EEEEBF0"/>
    <w:rsid w:val="6EF212D8"/>
    <w:rsid w:val="6EFA01D8"/>
    <w:rsid w:val="6EFA2AAB"/>
    <w:rsid w:val="6EFED5BB"/>
    <w:rsid w:val="6EFF5CC8"/>
    <w:rsid w:val="6EFF7CCF"/>
    <w:rsid w:val="6EFFC307"/>
    <w:rsid w:val="6F1EB98E"/>
    <w:rsid w:val="6F3FCC78"/>
    <w:rsid w:val="6F3FD5F7"/>
    <w:rsid w:val="6F3FE748"/>
    <w:rsid w:val="6F5D9935"/>
    <w:rsid w:val="6F7B037D"/>
    <w:rsid w:val="6F7B5091"/>
    <w:rsid w:val="6F7E9120"/>
    <w:rsid w:val="6F7FB780"/>
    <w:rsid w:val="6F7FFA28"/>
    <w:rsid w:val="6F9FCAFC"/>
    <w:rsid w:val="6FAD7D44"/>
    <w:rsid w:val="6FB5890F"/>
    <w:rsid w:val="6FBE5F5B"/>
    <w:rsid w:val="6FBF36BE"/>
    <w:rsid w:val="6FBFE454"/>
    <w:rsid w:val="6FCB6175"/>
    <w:rsid w:val="6FD7813D"/>
    <w:rsid w:val="6FDF8286"/>
    <w:rsid w:val="6FE98BEB"/>
    <w:rsid w:val="6FF00518"/>
    <w:rsid w:val="6FF3710D"/>
    <w:rsid w:val="6FF96132"/>
    <w:rsid w:val="6FFBE532"/>
    <w:rsid w:val="6FFD5454"/>
    <w:rsid w:val="6FFE5DE9"/>
    <w:rsid w:val="6FFF1F8D"/>
    <w:rsid w:val="6FFFD53C"/>
    <w:rsid w:val="706FA642"/>
    <w:rsid w:val="70BA689C"/>
    <w:rsid w:val="71240272"/>
    <w:rsid w:val="717F273D"/>
    <w:rsid w:val="719ECCB0"/>
    <w:rsid w:val="71AFC975"/>
    <w:rsid w:val="71CAE206"/>
    <w:rsid w:val="71E958AD"/>
    <w:rsid w:val="71F36214"/>
    <w:rsid w:val="72598A37"/>
    <w:rsid w:val="72761191"/>
    <w:rsid w:val="72A79796"/>
    <w:rsid w:val="72DF3AA2"/>
    <w:rsid w:val="72EE128E"/>
    <w:rsid w:val="72EF9C39"/>
    <w:rsid w:val="73570CE3"/>
    <w:rsid w:val="737850A4"/>
    <w:rsid w:val="73D06BD1"/>
    <w:rsid w:val="73DB1D15"/>
    <w:rsid w:val="73DF0B47"/>
    <w:rsid w:val="73E98495"/>
    <w:rsid w:val="73ED2B94"/>
    <w:rsid w:val="73EF033C"/>
    <w:rsid w:val="73F3802D"/>
    <w:rsid w:val="73F393C4"/>
    <w:rsid w:val="73FE534E"/>
    <w:rsid w:val="73FE6EE3"/>
    <w:rsid w:val="73FF2D65"/>
    <w:rsid w:val="73FF415D"/>
    <w:rsid w:val="740D7C4C"/>
    <w:rsid w:val="740E3FBF"/>
    <w:rsid w:val="74257408"/>
    <w:rsid w:val="74296B63"/>
    <w:rsid w:val="742E5BED"/>
    <w:rsid w:val="746EE2AE"/>
    <w:rsid w:val="7477E4E4"/>
    <w:rsid w:val="74937416"/>
    <w:rsid w:val="74DF138F"/>
    <w:rsid w:val="74FF4742"/>
    <w:rsid w:val="752DB31D"/>
    <w:rsid w:val="75370843"/>
    <w:rsid w:val="757FD9D1"/>
    <w:rsid w:val="75BFC8D6"/>
    <w:rsid w:val="75C6640A"/>
    <w:rsid w:val="75CA53F6"/>
    <w:rsid w:val="75EFA3C3"/>
    <w:rsid w:val="75FA3DA6"/>
    <w:rsid w:val="75FF4DFD"/>
    <w:rsid w:val="7618378C"/>
    <w:rsid w:val="762E0CBD"/>
    <w:rsid w:val="767DF2DB"/>
    <w:rsid w:val="767FB6B9"/>
    <w:rsid w:val="76B704E5"/>
    <w:rsid w:val="76C92B88"/>
    <w:rsid w:val="76EF36FA"/>
    <w:rsid w:val="76EF48A0"/>
    <w:rsid w:val="76EFE0E7"/>
    <w:rsid w:val="76FCA2A8"/>
    <w:rsid w:val="76FF9880"/>
    <w:rsid w:val="77205F28"/>
    <w:rsid w:val="773B4AD5"/>
    <w:rsid w:val="774E3998"/>
    <w:rsid w:val="775FF6A5"/>
    <w:rsid w:val="7767891A"/>
    <w:rsid w:val="77742CF0"/>
    <w:rsid w:val="77763F59"/>
    <w:rsid w:val="777970B3"/>
    <w:rsid w:val="777BB53F"/>
    <w:rsid w:val="777DCA6F"/>
    <w:rsid w:val="777FFF44"/>
    <w:rsid w:val="778F1117"/>
    <w:rsid w:val="779813C2"/>
    <w:rsid w:val="779F61EA"/>
    <w:rsid w:val="77A65C44"/>
    <w:rsid w:val="77AB9C5B"/>
    <w:rsid w:val="77BE049A"/>
    <w:rsid w:val="77BE12FE"/>
    <w:rsid w:val="77BF6D65"/>
    <w:rsid w:val="77BFC53A"/>
    <w:rsid w:val="77BFEBF1"/>
    <w:rsid w:val="77D56CD6"/>
    <w:rsid w:val="77E74B09"/>
    <w:rsid w:val="77EF51F0"/>
    <w:rsid w:val="77F39DD5"/>
    <w:rsid w:val="77F77F9A"/>
    <w:rsid w:val="77F78B54"/>
    <w:rsid w:val="77FADEA2"/>
    <w:rsid w:val="77FB23C0"/>
    <w:rsid w:val="77FBB49F"/>
    <w:rsid w:val="77FF8502"/>
    <w:rsid w:val="78186988"/>
    <w:rsid w:val="78BEC999"/>
    <w:rsid w:val="78EFC3CF"/>
    <w:rsid w:val="78F65B2B"/>
    <w:rsid w:val="792EC457"/>
    <w:rsid w:val="79593E4D"/>
    <w:rsid w:val="79786488"/>
    <w:rsid w:val="797FD8D0"/>
    <w:rsid w:val="79833FFC"/>
    <w:rsid w:val="79A6B48C"/>
    <w:rsid w:val="79B31C78"/>
    <w:rsid w:val="79B72367"/>
    <w:rsid w:val="79BA0854"/>
    <w:rsid w:val="79BDB73C"/>
    <w:rsid w:val="79E33B25"/>
    <w:rsid w:val="79F39BF6"/>
    <w:rsid w:val="79FA7988"/>
    <w:rsid w:val="79FEE3EE"/>
    <w:rsid w:val="79FFAD19"/>
    <w:rsid w:val="79FFE6B8"/>
    <w:rsid w:val="7A63381E"/>
    <w:rsid w:val="7A754A22"/>
    <w:rsid w:val="7A9ED542"/>
    <w:rsid w:val="7AA44BB6"/>
    <w:rsid w:val="7ABBE260"/>
    <w:rsid w:val="7ABE5C4A"/>
    <w:rsid w:val="7ADB626D"/>
    <w:rsid w:val="7AED3DEC"/>
    <w:rsid w:val="7AEEE4F8"/>
    <w:rsid w:val="7AEF6780"/>
    <w:rsid w:val="7AF331F7"/>
    <w:rsid w:val="7AFC0774"/>
    <w:rsid w:val="7AFF48CC"/>
    <w:rsid w:val="7AFFE280"/>
    <w:rsid w:val="7B1BEF0D"/>
    <w:rsid w:val="7B2CC047"/>
    <w:rsid w:val="7B392F5C"/>
    <w:rsid w:val="7B3D8D7E"/>
    <w:rsid w:val="7B3FD0F4"/>
    <w:rsid w:val="7B52B5BC"/>
    <w:rsid w:val="7B7B3389"/>
    <w:rsid w:val="7B9456D7"/>
    <w:rsid w:val="7B9F9F74"/>
    <w:rsid w:val="7BAD23C5"/>
    <w:rsid w:val="7BAF214D"/>
    <w:rsid w:val="7BB799C4"/>
    <w:rsid w:val="7BBEE3CB"/>
    <w:rsid w:val="7BBEFF56"/>
    <w:rsid w:val="7BBF69BE"/>
    <w:rsid w:val="7BCB0ADA"/>
    <w:rsid w:val="7BCF7DC1"/>
    <w:rsid w:val="7BD7E976"/>
    <w:rsid w:val="7BD97D9F"/>
    <w:rsid w:val="7BDBB866"/>
    <w:rsid w:val="7BDF5ABD"/>
    <w:rsid w:val="7BEBBB34"/>
    <w:rsid w:val="7BED9148"/>
    <w:rsid w:val="7BF10FA4"/>
    <w:rsid w:val="7BF40327"/>
    <w:rsid w:val="7BF8B96A"/>
    <w:rsid w:val="7BF94960"/>
    <w:rsid w:val="7BFB78CD"/>
    <w:rsid w:val="7BFCA12B"/>
    <w:rsid w:val="7BFEB7F0"/>
    <w:rsid w:val="7BFF0195"/>
    <w:rsid w:val="7BFF6F9E"/>
    <w:rsid w:val="7BFF7744"/>
    <w:rsid w:val="7C2D8A10"/>
    <w:rsid w:val="7C778E77"/>
    <w:rsid w:val="7C827E1B"/>
    <w:rsid w:val="7CAE2C0A"/>
    <w:rsid w:val="7CB75CDC"/>
    <w:rsid w:val="7CF75E1F"/>
    <w:rsid w:val="7CF7D408"/>
    <w:rsid w:val="7CF9C04D"/>
    <w:rsid w:val="7D365689"/>
    <w:rsid w:val="7D596BAE"/>
    <w:rsid w:val="7D5F2CAD"/>
    <w:rsid w:val="7D777D1A"/>
    <w:rsid w:val="7D7A9B24"/>
    <w:rsid w:val="7D7C04B7"/>
    <w:rsid w:val="7D7E7B80"/>
    <w:rsid w:val="7D8EF215"/>
    <w:rsid w:val="7D9C4907"/>
    <w:rsid w:val="7D9FA75A"/>
    <w:rsid w:val="7DA316BB"/>
    <w:rsid w:val="7DBD5A16"/>
    <w:rsid w:val="7DCDFB47"/>
    <w:rsid w:val="7DD62F86"/>
    <w:rsid w:val="7DD722D0"/>
    <w:rsid w:val="7DD9C569"/>
    <w:rsid w:val="7DDFF69F"/>
    <w:rsid w:val="7DE15EFD"/>
    <w:rsid w:val="7DE9EBD9"/>
    <w:rsid w:val="7DEEA5ED"/>
    <w:rsid w:val="7DF46E2F"/>
    <w:rsid w:val="7DF72493"/>
    <w:rsid w:val="7DF72EDC"/>
    <w:rsid w:val="7DF907B6"/>
    <w:rsid w:val="7DFB66CE"/>
    <w:rsid w:val="7DFD0CC9"/>
    <w:rsid w:val="7DFDE020"/>
    <w:rsid w:val="7DFE67EE"/>
    <w:rsid w:val="7DFF7E45"/>
    <w:rsid w:val="7DFF893A"/>
    <w:rsid w:val="7E165DAD"/>
    <w:rsid w:val="7E1F42DA"/>
    <w:rsid w:val="7E2F7F57"/>
    <w:rsid w:val="7E4C3885"/>
    <w:rsid w:val="7E4D7F92"/>
    <w:rsid w:val="7E4F7A24"/>
    <w:rsid w:val="7E530C15"/>
    <w:rsid w:val="7E73004B"/>
    <w:rsid w:val="7E77BBAD"/>
    <w:rsid w:val="7E7B3C5D"/>
    <w:rsid w:val="7E7DA531"/>
    <w:rsid w:val="7E8A706A"/>
    <w:rsid w:val="7E8F3A95"/>
    <w:rsid w:val="7E98FDE3"/>
    <w:rsid w:val="7EAC7116"/>
    <w:rsid w:val="7EB3C7EE"/>
    <w:rsid w:val="7EB4897C"/>
    <w:rsid w:val="7EB8A144"/>
    <w:rsid w:val="7EBCFB45"/>
    <w:rsid w:val="7EBE4CEC"/>
    <w:rsid w:val="7ED7B0E8"/>
    <w:rsid w:val="7ED7BFD5"/>
    <w:rsid w:val="7ED7C231"/>
    <w:rsid w:val="7EDC51B4"/>
    <w:rsid w:val="7EE70B79"/>
    <w:rsid w:val="7EED0208"/>
    <w:rsid w:val="7EF198DF"/>
    <w:rsid w:val="7EF345BF"/>
    <w:rsid w:val="7EF356E7"/>
    <w:rsid w:val="7EF46BA6"/>
    <w:rsid w:val="7EF51EC9"/>
    <w:rsid w:val="7EF6EEE8"/>
    <w:rsid w:val="7EF78FEE"/>
    <w:rsid w:val="7EF92E22"/>
    <w:rsid w:val="7EFB0D6D"/>
    <w:rsid w:val="7EFB6622"/>
    <w:rsid w:val="7EFF04B8"/>
    <w:rsid w:val="7EFF07D5"/>
    <w:rsid w:val="7EFF4EB9"/>
    <w:rsid w:val="7EFF5E94"/>
    <w:rsid w:val="7EFF7353"/>
    <w:rsid w:val="7EFFCBD6"/>
    <w:rsid w:val="7F022EFC"/>
    <w:rsid w:val="7F1E2236"/>
    <w:rsid w:val="7F392E6B"/>
    <w:rsid w:val="7F3B4D88"/>
    <w:rsid w:val="7F3F3811"/>
    <w:rsid w:val="7F485F8A"/>
    <w:rsid w:val="7F4FBF19"/>
    <w:rsid w:val="7F532B04"/>
    <w:rsid w:val="7F53E536"/>
    <w:rsid w:val="7F5B0ACA"/>
    <w:rsid w:val="7F63361B"/>
    <w:rsid w:val="7F6A4631"/>
    <w:rsid w:val="7F6BC5A3"/>
    <w:rsid w:val="7F6FFE41"/>
    <w:rsid w:val="7F747919"/>
    <w:rsid w:val="7F770F92"/>
    <w:rsid w:val="7F777196"/>
    <w:rsid w:val="7F799D9C"/>
    <w:rsid w:val="7F79B2FE"/>
    <w:rsid w:val="7F7A35DD"/>
    <w:rsid w:val="7F7A9B30"/>
    <w:rsid w:val="7F7BC87C"/>
    <w:rsid w:val="7F7EEEAE"/>
    <w:rsid w:val="7F7F9344"/>
    <w:rsid w:val="7F7FE2F5"/>
    <w:rsid w:val="7F7FF904"/>
    <w:rsid w:val="7F9A9AAE"/>
    <w:rsid w:val="7F9F680D"/>
    <w:rsid w:val="7FB53E5B"/>
    <w:rsid w:val="7FB90D16"/>
    <w:rsid w:val="7FBB2376"/>
    <w:rsid w:val="7FBBBA03"/>
    <w:rsid w:val="7FBBE0DF"/>
    <w:rsid w:val="7FBC3108"/>
    <w:rsid w:val="7FBF42C0"/>
    <w:rsid w:val="7FBFA878"/>
    <w:rsid w:val="7FCFF0A7"/>
    <w:rsid w:val="7FD34574"/>
    <w:rsid w:val="7FD67800"/>
    <w:rsid w:val="7FDD5079"/>
    <w:rsid w:val="7FDE3191"/>
    <w:rsid w:val="7FDE7B46"/>
    <w:rsid w:val="7FDEC192"/>
    <w:rsid w:val="7FDF3A08"/>
    <w:rsid w:val="7FDF5069"/>
    <w:rsid w:val="7FDF628A"/>
    <w:rsid w:val="7FDF920B"/>
    <w:rsid w:val="7FDFD72E"/>
    <w:rsid w:val="7FE6D8FB"/>
    <w:rsid w:val="7FE9B27E"/>
    <w:rsid w:val="7FE9F9E1"/>
    <w:rsid w:val="7FEA50D9"/>
    <w:rsid w:val="7FEA7084"/>
    <w:rsid w:val="7FEB2841"/>
    <w:rsid w:val="7FEC3D18"/>
    <w:rsid w:val="7FED3438"/>
    <w:rsid w:val="7FEF0FC5"/>
    <w:rsid w:val="7FEF6926"/>
    <w:rsid w:val="7FEF926C"/>
    <w:rsid w:val="7FEF986D"/>
    <w:rsid w:val="7FF32F3C"/>
    <w:rsid w:val="7FF33463"/>
    <w:rsid w:val="7FF4EBF2"/>
    <w:rsid w:val="7FF52DED"/>
    <w:rsid w:val="7FF57A94"/>
    <w:rsid w:val="7FF5A55F"/>
    <w:rsid w:val="7FF5E0B0"/>
    <w:rsid w:val="7FF75EEC"/>
    <w:rsid w:val="7FF86DDF"/>
    <w:rsid w:val="7FF9EBB3"/>
    <w:rsid w:val="7FFAD46D"/>
    <w:rsid w:val="7FFAEF00"/>
    <w:rsid w:val="7FFB3E16"/>
    <w:rsid w:val="7FFB7492"/>
    <w:rsid w:val="7FFB7574"/>
    <w:rsid w:val="7FFBAD04"/>
    <w:rsid w:val="7FFBBA5E"/>
    <w:rsid w:val="7FFD7B5A"/>
    <w:rsid w:val="7FFDA0CA"/>
    <w:rsid w:val="7FFE048A"/>
    <w:rsid w:val="7FFEC2A2"/>
    <w:rsid w:val="7FFF0ECC"/>
    <w:rsid w:val="7FFF3391"/>
    <w:rsid w:val="7FFF347A"/>
    <w:rsid w:val="7FFF3747"/>
    <w:rsid w:val="7FFF874A"/>
    <w:rsid w:val="7FFF931D"/>
    <w:rsid w:val="7FFF9426"/>
    <w:rsid w:val="7FFFB34B"/>
    <w:rsid w:val="7FFFB459"/>
    <w:rsid w:val="7FFFDE77"/>
    <w:rsid w:val="7FFFF60A"/>
    <w:rsid w:val="7FFFF7B3"/>
    <w:rsid w:val="83DFC65B"/>
    <w:rsid w:val="877D6405"/>
    <w:rsid w:val="87FF27F2"/>
    <w:rsid w:val="89DA2A89"/>
    <w:rsid w:val="89EFDB68"/>
    <w:rsid w:val="8BFDD118"/>
    <w:rsid w:val="8DEFA81F"/>
    <w:rsid w:val="8DFFA05E"/>
    <w:rsid w:val="8E7F8000"/>
    <w:rsid w:val="8ED6E4A3"/>
    <w:rsid w:val="8EFFA125"/>
    <w:rsid w:val="8F455921"/>
    <w:rsid w:val="91F94613"/>
    <w:rsid w:val="93B4DFC3"/>
    <w:rsid w:val="95EF86FA"/>
    <w:rsid w:val="95FDCCC1"/>
    <w:rsid w:val="979F65B6"/>
    <w:rsid w:val="97A52BDC"/>
    <w:rsid w:val="97FA93AA"/>
    <w:rsid w:val="97FD0BC8"/>
    <w:rsid w:val="97FFEF68"/>
    <w:rsid w:val="9963805A"/>
    <w:rsid w:val="9AD324C7"/>
    <w:rsid w:val="9BF5F222"/>
    <w:rsid w:val="9BF7D430"/>
    <w:rsid w:val="9BFFE5B4"/>
    <w:rsid w:val="9CFBAB75"/>
    <w:rsid w:val="9D6EE0D4"/>
    <w:rsid w:val="9DB7AE04"/>
    <w:rsid w:val="9DB9F681"/>
    <w:rsid w:val="9DE68BB7"/>
    <w:rsid w:val="9E0F6088"/>
    <w:rsid w:val="9E3EF293"/>
    <w:rsid w:val="9E3F0C3D"/>
    <w:rsid w:val="9E7AA699"/>
    <w:rsid w:val="9EAF51E5"/>
    <w:rsid w:val="9EF777DE"/>
    <w:rsid w:val="9EFD8D7F"/>
    <w:rsid w:val="9EFF5F06"/>
    <w:rsid w:val="9F5E2F65"/>
    <w:rsid w:val="9F71337E"/>
    <w:rsid w:val="9F756B93"/>
    <w:rsid w:val="9F9ACE66"/>
    <w:rsid w:val="9FADEA6D"/>
    <w:rsid w:val="9FCDD430"/>
    <w:rsid w:val="9FCE21DE"/>
    <w:rsid w:val="9FCE429A"/>
    <w:rsid w:val="9FEFA7FC"/>
    <w:rsid w:val="9FFE3E2F"/>
    <w:rsid w:val="9FFE525A"/>
    <w:rsid w:val="9FFEF32B"/>
    <w:rsid w:val="9FFF7C93"/>
    <w:rsid w:val="9FFFA89C"/>
    <w:rsid w:val="A2EB9CF9"/>
    <w:rsid w:val="A38741C7"/>
    <w:rsid w:val="A3B5A21F"/>
    <w:rsid w:val="A3FF3CDC"/>
    <w:rsid w:val="A4FD1E9C"/>
    <w:rsid w:val="A4FEB94D"/>
    <w:rsid w:val="A6F6A87D"/>
    <w:rsid w:val="A7FBA5A3"/>
    <w:rsid w:val="A96F3C2C"/>
    <w:rsid w:val="AA6F414B"/>
    <w:rsid w:val="AA9DBD6A"/>
    <w:rsid w:val="AAFBD9BF"/>
    <w:rsid w:val="AB2EF748"/>
    <w:rsid w:val="ABFB54A3"/>
    <w:rsid w:val="AC6367EF"/>
    <w:rsid w:val="AC6BECC5"/>
    <w:rsid w:val="AD6C64BC"/>
    <w:rsid w:val="AD6F9DD7"/>
    <w:rsid w:val="ADBDEE20"/>
    <w:rsid w:val="ADCFF052"/>
    <w:rsid w:val="ADEF4C52"/>
    <w:rsid w:val="AE7CD9A0"/>
    <w:rsid w:val="AEFDC0BC"/>
    <w:rsid w:val="AF6FD4DB"/>
    <w:rsid w:val="AF7DFBBE"/>
    <w:rsid w:val="AFBFDBF1"/>
    <w:rsid w:val="AFDF4384"/>
    <w:rsid w:val="AFE3CF35"/>
    <w:rsid w:val="AFED4753"/>
    <w:rsid w:val="AFEF31D1"/>
    <w:rsid w:val="AFF76AB9"/>
    <w:rsid w:val="AFFFAA8F"/>
    <w:rsid w:val="B1BB6332"/>
    <w:rsid w:val="B27F6BA7"/>
    <w:rsid w:val="B2B7A699"/>
    <w:rsid w:val="B2DDAFA9"/>
    <w:rsid w:val="B3FFF283"/>
    <w:rsid w:val="B4FCA67E"/>
    <w:rsid w:val="B5B65F06"/>
    <w:rsid w:val="B5EBF33E"/>
    <w:rsid w:val="B5FFC963"/>
    <w:rsid w:val="B693EF93"/>
    <w:rsid w:val="B76A6C2B"/>
    <w:rsid w:val="B76B3DB3"/>
    <w:rsid w:val="B7770CB2"/>
    <w:rsid w:val="B77ADF14"/>
    <w:rsid w:val="B77B16B8"/>
    <w:rsid w:val="B77F3C9A"/>
    <w:rsid w:val="B79D66BF"/>
    <w:rsid w:val="B7BF2146"/>
    <w:rsid w:val="B7E22A81"/>
    <w:rsid w:val="B7EE961A"/>
    <w:rsid w:val="B7EF2A05"/>
    <w:rsid w:val="B7EF33A9"/>
    <w:rsid w:val="B7EFF77A"/>
    <w:rsid w:val="B7F7481D"/>
    <w:rsid w:val="B7FD519F"/>
    <w:rsid w:val="B7FD6C4F"/>
    <w:rsid w:val="B8E7DCB3"/>
    <w:rsid w:val="B977E899"/>
    <w:rsid w:val="B97FA35B"/>
    <w:rsid w:val="BA77984C"/>
    <w:rsid w:val="BACFB146"/>
    <w:rsid w:val="BAFEEBAD"/>
    <w:rsid w:val="BB3BFBF5"/>
    <w:rsid w:val="BB4F1AAE"/>
    <w:rsid w:val="BB658C5B"/>
    <w:rsid w:val="BB776300"/>
    <w:rsid w:val="BBA91005"/>
    <w:rsid w:val="BBD3A9EF"/>
    <w:rsid w:val="BBDFBD99"/>
    <w:rsid w:val="BBE8883E"/>
    <w:rsid w:val="BBEF3CB5"/>
    <w:rsid w:val="BBFD3E62"/>
    <w:rsid w:val="BBFFE683"/>
    <w:rsid w:val="BC7B1647"/>
    <w:rsid w:val="BCBF15FD"/>
    <w:rsid w:val="BCF3676B"/>
    <w:rsid w:val="BCFB8890"/>
    <w:rsid w:val="BCFBC5DE"/>
    <w:rsid w:val="BD3FE18C"/>
    <w:rsid w:val="BD59CF0E"/>
    <w:rsid w:val="BD7E68F8"/>
    <w:rsid w:val="BD7F20C6"/>
    <w:rsid w:val="BDB73464"/>
    <w:rsid w:val="BDDD3643"/>
    <w:rsid w:val="BDDD8FA9"/>
    <w:rsid w:val="BDDDD933"/>
    <w:rsid w:val="BDDFF32F"/>
    <w:rsid w:val="BDFD13EE"/>
    <w:rsid w:val="BE3F9AE2"/>
    <w:rsid w:val="BE6FA70A"/>
    <w:rsid w:val="BECF1CA9"/>
    <w:rsid w:val="BEDF605D"/>
    <w:rsid w:val="BEEF7566"/>
    <w:rsid w:val="BEF7EBC0"/>
    <w:rsid w:val="BEFC741F"/>
    <w:rsid w:val="BEFF5474"/>
    <w:rsid w:val="BEFFE631"/>
    <w:rsid w:val="BF276A40"/>
    <w:rsid w:val="BF2DF526"/>
    <w:rsid w:val="BF3D446A"/>
    <w:rsid w:val="BF4FAC01"/>
    <w:rsid w:val="BF4FB1F6"/>
    <w:rsid w:val="BF5F1792"/>
    <w:rsid w:val="BF5F6DB9"/>
    <w:rsid w:val="BF7B06A6"/>
    <w:rsid w:val="BF7D7FB6"/>
    <w:rsid w:val="BF7F1144"/>
    <w:rsid w:val="BF7F62BA"/>
    <w:rsid w:val="BF8AB3F9"/>
    <w:rsid w:val="BF9E0CF8"/>
    <w:rsid w:val="BF9F3328"/>
    <w:rsid w:val="BF9F6CB8"/>
    <w:rsid w:val="BF9F82D2"/>
    <w:rsid w:val="BFAD9AF2"/>
    <w:rsid w:val="BFADDC91"/>
    <w:rsid w:val="BFB31569"/>
    <w:rsid w:val="BFB6A0B0"/>
    <w:rsid w:val="BFB7EC45"/>
    <w:rsid w:val="BFBB8E2B"/>
    <w:rsid w:val="BFCB41C0"/>
    <w:rsid w:val="BFCF0C9B"/>
    <w:rsid w:val="BFD73CF8"/>
    <w:rsid w:val="BFDE494A"/>
    <w:rsid w:val="BFE89358"/>
    <w:rsid w:val="BFF34418"/>
    <w:rsid w:val="BFFBFC3B"/>
    <w:rsid w:val="BFFF0641"/>
    <w:rsid w:val="BFFF5572"/>
    <w:rsid w:val="BFFFB7A5"/>
    <w:rsid w:val="C1FB3774"/>
    <w:rsid w:val="C3B1B4BC"/>
    <w:rsid w:val="C3FF906C"/>
    <w:rsid w:val="C4BE08A2"/>
    <w:rsid w:val="C55BD6FE"/>
    <w:rsid w:val="C5EBE1F9"/>
    <w:rsid w:val="C6EFFDF3"/>
    <w:rsid w:val="C7FF4F10"/>
    <w:rsid w:val="C8F72C8C"/>
    <w:rsid w:val="C8F90ED9"/>
    <w:rsid w:val="C9FB75F2"/>
    <w:rsid w:val="CBF31D61"/>
    <w:rsid w:val="CBFC2927"/>
    <w:rsid w:val="CBFEB826"/>
    <w:rsid w:val="CDDDD327"/>
    <w:rsid w:val="CDEDB1EB"/>
    <w:rsid w:val="CE3F1593"/>
    <w:rsid w:val="CEAF09C5"/>
    <w:rsid w:val="CEBE63C7"/>
    <w:rsid w:val="CEDFC210"/>
    <w:rsid w:val="CEECCB94"/>
    <w:rsid w:val="CF6C5C38"/>
    <w:rsid w:val="CF76CFCD"/>
    <w:rsid w:val="CF7D3921"/>
    <w:rsid w:val="CF7DE626"/>
    <w:rsid w:val="CF7FBCE5"/>
    <w:rsid w:val="CFB7B8AA"/>
    <w:rsid w:val="CFB9FC98"/>
    <w:rsid w:val="CFBD84EF"/>
    <w:rsid w:val="CFCF3889"/>
    <w:rsid w:val="CFD34E50"/>
    <w:rsid w:val="CFFF44EB"/>
    <w:rsid w:val="D1E779AF"/>
    <w:rsid w:val="D1FF5F21"/>
    <w:rsid w:val="D2BEEC4C"/>
    <w:rsid w:val="D2DFB660"/>
    <w:rsid w:val="D33F26DA"/>
    <w:rsid w:val="D3C20480"/>
    <w:rsid w:val="D3CE3CA1"/>
    <w:rsid w:val="D3F74EE1"/>
    <w:rsid w:val="D53F0844"/>
    <w:rsid w:val="D56BA1F1"/>
    <w:rsid w:val="D57DB740"/>
    <w:rsid w:val="D57F95E4"/>
    <w:rsid w:val="D5BFBB12"/>
    <w:rsid w:val="D5CFD248"/>
    <w:rsid w:val="D5FE3AA7"/>
    <w:rsid w:val="D67AFCD8"/>
    <w:rsid w:val="D6BE0C0A"/>
    <w:rsid w:val="D6EE9710"/>
    <w:rsid w:val="D6F57334"/>
    <w:rsid w:val="D6FDBD38"/>
    <w:rsid w:val="D6FE3C21"/>
    <w:rsid w:val="D76647D4"/>
    <w:rsid w:val="D79F4803"/>
    <w:rsid w:val="D7BF1134"/>
    <w:rsid w:val="D7BF50E3"/>
    <w:rsid w:val="D7EAAB05"/>
    <w:rsid w:val="D7F779B2"/>
    <w:rsid w:val="D7FD2094"/>
    <w:rsid w:val="D7FE48BD"/>
    <w:rsid w:val="D7FFA6C9"/>
    <w:rsid w:val="D7FFC3EC"/>
    <w:rsid w:val="D7FFE07B"/>
    <w:rsid w:val="D95D769F"/>
    <w:rsid w:val="D9AE21C4"/>
    <w:rsid w:val="D9BFE2C7"/>
    <w:rsid w:val="D9DBC5E2"/>
    <w:rsid w:val="DA1F4B0F"/>
    <w:rsid w:val="DAEB34F0"/>
    <w:rsid w:val="DAFF88A8"/>
    <w:rsid w:val="DB11BC5E"/>
    <w:rsid w:val="DB3E56F4"/>
    <w:rsid w:val="DB4B1A60"/>
    <w:rsid w:val="DB7B650A"/>
    <w:rsid w:val="DB9F51A6"/>
    <w:rsid w:val="DBBF65A3"/>
    <w:rsid w:val="DBD3DAE4"/>
    <w:rsid w:val="DBDE67D7"/>
    <w:rsid w:val="DBDF410D"/>
    <w:rsid w:val="DBDF61C1"/>
    <w:rsid w:val="DBDF70A1"/>
    <w:rsid w:val="DBDF774A"/>
    <w:rsid w:val="DBEF2860"/>
    <w:rsid w:val="DBFB1182"/>
    <w:rsid w:val="DBFBBE84"/>
    <w:rsid w:val="DC1CF3F2"/>
    <w:rsid w:val="DC9FB2D0"/>
    <w:rsid w:val="DCD33928"/>
    <w:rsid w:val="DCDFC97F"/>
    <w:rsid w:val="DCEB445B"/>
    <w:rsid w:val="DD8C84BE"/>
    <w:rsid w:val="DDBECCE5"/>
    <w:rsid w:val="DDCF4BAB"/>
    <w:rsid w:val="DDD2D16F"/>
    <w:rsid w:val="DDDF047D"/>
    <w:rsid w:val="DDDF3A78"/>
    <w:rsid w:val="DE268DA7"/>
    <w:rsid w:val="DE7DAC28"/>
    <w:rsid w:val="DEB13E90"/>
    <w:rsid w:val="DEB371C2"/>
    <w:rsid w:val="DEB76EBB"/>
    <w:rsid w:val="DEBFD620"/>
    <w:rsid w:val="DEEB95DC"/>
    <w:rsid w:val="DEED93CA"/>
    <w:rsid w:val="DEF5097C"/>
    <w:rsid w:val="DEF8C86E"/>
    <w:rsid w:val="DEFBFFE8"/>
    <w:rsid w:val="DEFF7726"/>
    <w:rsid w:val="DF67B978"/>
    <w:rsid w:val="DF6F0678"/>
    <w:rsid w:val="DF72FEAC"/>
    <w:rsid w:val="DF7E9B0A"/>
    <w:rsid w:val="DF7EEF54"/>
    <w:rsid w:val="DF7FFE49"/>
    <w:rsid w:val="DF9FEE8D"/>
    <w:rsid w:val="DFAD7AB4"/>
    <w:rsid w:val="DFBAC392"/>
    <w:rsid w:val="DFBB2488"/>
    <w:rsid w:val="DFBEECC1"/>
    <w:rsid w:val="DFCF362D"/>
    <w:rsid w:val="DFD252C4"/>
    <w:rsid w:val="DFDBABA1"/>
    <w:rsid w:val="DFDF5150"/>
    <w:rsid w:val="DFE654EC"/>
    <w:rsid w:val="DFE7FE17"/>
    <w:rsid w:val="DFEDD861"/>
    <w:rsid w:val="DFEFAF58"/>
    <w:rsid w:val="DFEFFFA4"/>
    <w:rsid w:val="DFF39E26"/>
    <w:rsid w:val="DFF66411"/>
    <w:rsid w:val="DFF6DA95"/>
    <w:rsid w:val="DFF725C1"/>
    <w:rsid w:val="DFF7B907"/>
    <w:rsid w:val="DFFAFB6D"/>
    <w:rsid w:val="DFFB5CED"/>
    <w:rsid w:val="DFFD129C"/>
    <w:rsid w:val="DFFD7D79"/>
    <w:rsid w:val="DFFF7A5E"/>
    <w:rsid w:val="E0F8D99B"/>
    <w:rsid w:val="E1768648"/>
    <w:rsid w:val="E1DE5ADB"/>
    <w:rsid w:val="E1FB6A2D"/>
    <w:rsid w:val="E37F2FEE"/>
    <w:rsid w:val="E3FE3F95"/>
    <w:rsid w:val="E3FF2A67"/>
    <w:rsid w:val="E52F640E"/>
    <w:rsid w:val="E55F0811"/>
    <w:rsid w:val="E58B5FDA"/>
    <w:rsid w:val="E5E78CDF"/>
    <w:rsid w:val="E5EF13C1"/>
    <w:rsid w:val="E63F9C7D"/>
    <w:rsid w:val="E65FACE7"/>
    <w:rsid w:val="E66E4BD8"/>
    <w:rsid w:val="E6CB90A6"/>
    <w:rsid w:val="E6F62C27"/>
    <w:rsid w:val="E75D5368"/>
    <w:rsid w:val="E77F3528"/>
    <w:rsid w:val="E78F61C1"/>
    <w:rsid w:val="E7BF1CF8"/>
    <w:rsid w:val="E7E72BFF"/>
    <w:rsid w:val="E7EF5392"/>
    <w:rsid w:val="E7F3C5B4"/>
    <w:rsid w:val="E7F7BF6C"/>
    <w:rsid w:val="E7FF4E92"/>
    <w:rsid w:val="E7FFAD36"/>
    <w:rsid w:val="E8F6B5BD"/>
    <w:rsid w:val="E9B3F7CC"/>
    <w:rsid w:val="EAC7ACBA"/>
    <w:rsid w:val="EADF0B83"/>
    <w:rsid w:val="EAE60E8F"/>
    <w:rsid w:val="EAFF4E19"/>
    <w:rsid w:val="EB0FAE1F"/>
    <w:rsid w:val="EBAD8C62"/>
    <w:rsid w:val="EBDF7F56"/>
    <w:rsid w:val="EBDFC4E6"/>
    <w:rsid w:val="EBEEF716"/>
    <w:rsid w:val="EBFB4BF0"/>
    <w:rsid w:val="EBFC4046"/>
    <w:rsid w:val="ECCBA1E4"/>
    <w:rsid w:val="ECCD3224"/>
    <w:rsid w:val="ECFB2B22"/>
    <w:rsid w:val="ECFD8C5A"/>
    <w:rsid w:val="ED6E48DE"/>
    <w:rsid w:val="ED6FB63B"/>
    <w:rsid w:val="ED6FE644"/>
    <w:rsid w:val="ED7EF7BC"/>
    <w:rsid w:val="EDDEC8C3"/>
    <w:rsid w:val="EDED1AE5"/>
    <w:rsid w:val="EDF6E9A5"/>
    <w:rsid w:val="EDFD19E0"/>
    <w:rsid w:val="EE5F0FE9"/>
    <w:rsid w:val="EE7BE22C"/>
    <w:rsid w:val="EE9D4472"/>
    <w:rsid w:val="EEB93FE0"/>
    <w:rsid w:val="EECFED94"/>
    <w:rsid w:val="EEEE2B7B"/>
    <w:rsid w:val="EEEF7AA9"/>
    <w:rsid w:val="EEF34362"/>
    <w:rsid w:val="EEF72870"/>
    <w:rsid w:val="EEF7753C"/>
    <w:rsid w:val="EEFB839D"/>
    <w:rsid w:val="EEFCDEDA"/>
    <w:rsid w:val="EF0B3DDD"/>
    <w:rsid w:val="EF323284"/>
    <w:rsid w:val="EF4E67C1"/>
    <w:rsid w:val="EF589DF6"/>
    <w:rsid w:val="EF6FF26C"/>
    <w:rsid w:val="EF7280FB"/>
    <w:rsid w:val="EF7600F3"/>
    <w:rsid w:val="EF7C52E6"/>
    <w:rsid w:val="EF7EDEE6"/>
    <w:rsid w:val="EF7F501E"/>
    <w:rsid w:val="EF8CDD50"/>
    <w:rsid w:val="EF995C65"/>
    <w:rsid w:val="EFAF3BE7"/>
    <w:rsid w:val="EFAF82E5"/>
    <w:rsid w:val="EFB6A49E"/>
    <w:rsid w:val="EFBD0BAA"/>
    <w:rsid w:val="EFBFAD88"/>
    <w:rsid w:val="EFBFB3DB"/>
    <w:rsid w:val="EFC77427"/>
    <w:rsid w:val="EFDA8AA6"/>
    <w:rsid w:val="EFDF187D"/>
    <w:rsid w:val="EFEB90F8"/>
    <w:rsid w:val="EFEE0A32"/>
    <w:rsid w:val="EFF27876"/>
    <w:rsid w:val="EFF52E0D"/>
    <w:rsid w:val="EFF78A2D"/>
    <w:rsid w:val="EFFBC4A7"/>
    <w:rsid w:val="EFFC010B"/>
    <w:rsid w:val="EFFD15AE"/>
    <w:rsid w:val="EFFEFBBE"/>
    <w:rsid w:val="EFFF166A"/>
    <w:rsid w:val="EFFFB5E7"/>
    <w:rsid w:val="F0D7B7A8"/>
    <w:rsid w:val="F13BE7B2"/>
    <w:rsid w:val="F1FF63FE"/>
    <w:rsid w:val="F1FFE56D"/>
    <w:rsid w:val="F37EE99B"/>
    <w:rsid w:val="F38E62C3"/>
    <w:rsid w:val="F3BE05F4"/>
    <w:rsid w:val="F3BF6B46"/>
    <w:rsid w:val="F3D70145"/>
    <w:rsid w:val="F3EF5F57"/>
    <w:rsid w:val="F3FF0C8B"/>
    <w:rsid w:val="F4E79109"/>
    <w:rsid w:val="F4FF4E46"/>
    <w:rsid w:val="F58F58C0"/>
    <w:rsid w:val="F5B6D02A"/>
    <w:rsid w:val="F5DB93BB"/>
    <w:rsid w:val="F5E74965"/>
    <w:rsid w:val="F5EF0FF4"/>
    <w:rsid w:val="F5FF4CDB"/>
    <w:rsid w:val="F6230D66"/>
    <w:rsid w:val="F63F6C18"/>
    <w:rsid w:val="F663AD8F"/>
    <w:rsid w:val="F67E45A6"/>
    <w:rsid w:val="F697250E"/>
    <w:rsid w:val="F6AFBCDE"/>
    <w:rsid w:val="F6EC596F"/>
    <w:rsid w:val="F6EF8C2C"/>
    <w:rsid w:val="F6EFA85E"/>
    <w:rsid w:val="F6FD821B"/>
    <w:rsid w:val="F6FF8CA8"/>
    <w:rsid w:val="F72E4EE0"/>
    <w:rsid w:val="F74FBC51"/>
    <w:rsid w:val="F75DBF8F"/>
    <w:rsid w:val="F76DB63E"/>
    <w:rsid w:val="F77995B8"/>
    <w:rsid w:val="F77E03E4"/>
    <w:rsid w:val="F79D450B"/>
    <w:rsid w:val="F7B3CD5E"/>
    <w:rsid w:val="F7B6141E"/>
    <w:rsid w:val="F7BF1F31"/>
    <w:rsid w:val="F7BF261F"/>
    <w:rsid w:val="F7BF2937"/>
    <w:rsid w:val="F7BF4047"/>
    <w:rsid w:val="F7BF9904"/>
    <w:rsid w:val="F7D7B491"/>
    <w:rsid w:val="F7D7CBE4"/>
    <w:rsid w:val="F7DBE38E"/>
    <w:rsid w:val="F7DEA9E8"/>
    <w:rsid w:val="F7DF45AB"/>
    <w:rsid w:val="F7EDAD4A"/>
    <w:rsid w:val="F7EE4B96"/>
    <w:rsid w:val="F7EEE9C5"/>
    <w:rsid w:val="F7EF3ECC"/>
    <w:rsid w:val="F7EF7C13"/>
    <w:rsid w:val="F7F6965D"/>
    <w:rsid w:val="F7F73689"/>
    <w:rsid w:val="F7FA8E4A"/>
    <w:rsid w:val="F7FB1943"/>
    <w:rsid w:val="F7FCF38E"/>
    <w:rsid w:val="F7FE552C"/>
    <w:rsid w:val="F7FE66DC"/>
    <w:rsid w:val="F7FF7145"/>
    <w:rsid w:val="F7FF8579"/>
    <w:rsid w:val="F7FF9C4E"/>
    <w:rsid w:val="F8D244D0"/>
    <w:rsid w:val="F8E7974F"/>
    <w:rsid w:val="F8FE805E"/>
    <w:rsid w:val="F97F39C9"/>
    <w:rsid w:val="F97FC955"/>
    <w:rsid w:val="F98B7A47"/>
    <w:rsid w:val="F9B303D9"/>
    <w:rsid w:val="F9B7D1B5"/>
    <w:rsid w:val="F9EF280A"/>
    <w:rsid w:val="F9F1D9D8"/>
    <w:rsid w:val="F9F22CC4"/>
    <w:rsid w:val="F9F7BB3D"/>
    <w:rsid w:val="F9FBD531"/>
    <w:rsid w:val="F9FEED05"/>
    <w:rsid w:val="F9FF2D7E"/>
    <w:rsid w:val="F9FF500A"/>
    <w:rsid w:val="FA577939"/>
    <w:rsid w:val="FA7BBD7E"/>
    <w:rsid w:val="FAB1F160"/>
    <w:rsid w:val="FABC8F2C"/>
    <w:rsid w:val="FACA8F5C"/>
    <w:rsid w:val="FADD71F8"/>
    <w:rsid w:val="FAEBDD92"/>
    <w:rsid w:val="FAFBFB58"/>
    <w:rsid w:val="FAFE37A7"/>
    <w:rsid w:val="FAFFC5D4"/>
    <w:rsid w:val="FB3710AF"/>
    <w:rsid w:val="FB3B9CA0"/>
    <w:rsid w:val="FB53A5E9"/>
    <w:rsid w:val="FB5BC3F7"/>
    <w:rsid w:val="FB5E9C75"/>
    <w:rsid w:val="FB5FCCDD"/>
    <w:rsid w:val="FB7D86A1"/>
    <w:rsid w:val="FB7F8E18"/>
    <w:rsid w:val="FB9F9067"/>
    <w:rsid w:val="FBAB501E"/>
    <w:rsid w:val="FBAF0C78"/>
    <w:rsid w:val="FBB32777"/>
    <w:rsid w:val="FBB76287"/>
    <w:rsid w:val="FBBAD4DF"/>
    <w:rsid w:val="FBBF5D9C"/>
    <w:rsid w:val="FBCFAAAB"/>
    <w:rsid w:val="FBDD140E"/>
    <w:rsid w:val="FBE50AE7"/>
    <w:rsid w:val="FBEA4014"/>
    <w:rsid w:val="FBEAA3BD"/>
    <w:rsid w:val="FBF70016"/>
    <w:rsid w:val="FBF9D0C2"/>
    <w:rsid w:val="FBFB2566"/>
    <w:rsid w:val="FBFCC077"/>
    <w:rsid w:val="FBFDDF36"/>
    <w:rsid w:val="FBFE4AD1"/>
    <w:rsid w:val="FBFE7204"/>
    <w:rsid w:val="FBFF2896"/>
    <w:rsid w:val="FBFF4C9B"/>
    <w:rsid w:val="FBFFB9E1"/>
    <w:rsid w:val="FCA599EE"/>
    <w:rsid w:val="FCBEED4B"/>
    <w:rsid w:val="FCCCA5B4"/>
    <w:rsid w:val="FCCFDBA7"/>
    <w:rsid w:val="FCDF6160"/>
    <w:rsid w:val="FCEF9AAB"/>
    <w:rsid w:val="FCF20341"/>
    <w:rsid w:val="FCF9BAEE"/>
    <w:rsid w:val="FCFDE838"/>
    <w:rsid w:val="FD1BB737"/>
    <w:rsid w:val="FD4BFC5F"/>
    <w:rsid w:val="FD7B70D0"/>
    <w:rsid w:val="FD7F92E0"/>
    <w:rsid w:val="FDA30671"/>
    <w:rsid w:val="FDAD8222"/>
    <w:rsid w:val="FDAF91AB"/>
    <w:rsid w:val="FDB33092"/>
    <w:rsid w:val="FDB70DD6"/>
    <w:rsid w:val="FDB7B079"/>
    <w:rsid w:val="FDBC925C"/>
    <w:rsid w:val="FDBDB718"/>
    <w:rsid w:val="FDCBA3B8"/>
    <w:rsid w:val="FDD976D1"/>
    <w:rsid w:val="FDDB0FC6"/>
    <w:rsid w:val="FDDF6F65"/>
    <w:rsid w:val="FDDF71D7"/>
    <w:rsid w:val="FDE7EA8B"/>
    <w:rsid w:val="FDEF4450"/>
    <w:rsid w:val="FDEFFCA5"/>
    <w:rsid w:val="FDF3B119"/>
    <w:rsid w:val="FDF76F10"/>
    <w:rsid w:val="FDF78E0C"/>
    <w:rsid w:val="FDF7A628"/>
    <w:rsid w:val="FDF7F2AB"/>
    <w:rsid w:val="FDF9CC96"/>
    <w:rsid w:val="FDFB6B3F"/>
    <w:rsid w:val="FDFBB3A8"/>
    <w:rsid w:val="FDFCCA35"/>
    <w:rsid w:val="FDFD7235"/>
    <w:rsid w:val="FDFE1F5F"/>
    <w:rsid w:val="FDFEFB9C"/>
    <w:rsid w:val="FDFF0298"/>
    <w:rsid w:val="FDFF5D7E"/>
    <w:rsid w:val="FDFFC26E"/>
    <w:rsid w:val="FE2E6991"/>
    <w:rsid w:val="FE320C32"/>
    <w:rsid w:val="FE39A62D"/>
    <w:rsid w:val="FE5F1943"/>
    <w:rsid w:val="FE756F30"/>
    <w:rsid w:val="FE772A10"/>
    <w:rsid w:val="FE7FB257"/>
    <w:rsid w:val="FEA49AEB"/>
    <w:rsid w:val="FEA56DC6"/>
    <w:rsid w:val="FEAF5515"/>
    <w:rsid w:val="FEAF8A29"/>
    <w:rsid w:val="FEB36FA6"/>
    <w:rsid w:val="FEB7C862"/>
    <w:rsid w:val="FEBBBD72"/>
    <w:rsid w:val="FECF4DE0"/>
    <w:rsid w:val="FED31992"/>
    <w:rsid w:val="FED4E607"/>
    <w:rsid w:val="FEDAA891"/>
    <w:rsid w:val="FEDEAB36"/>
    <w:rsid w:val="FEDF4140"/>
    <w:rsid w:val="FEE8FE6D"/>
    <w:rsid w:val="FEEDC95F"/>
    <w:rsid w:val="FEEF6802"/>
    <w:rsid w:val="FEEF776E"/>
    <w:rsid w:val="FEF78E4F"/>
    <w:rsid w:val="FEFAA695"/>
    <w:rsid w:val="FEFB939E"/>
    <w:rsid w:val="FEFD30FE"/>
    <w:rsid w:val="FEFDD059"/>
    <w:rsid w:val="FEFF14B6"/>
    <w:rsid w:val="FEFF5CC8"/>
    <w:rsid w:val="FEFF969C"/>
    <w:rsid w:val="FEFFBAB8"/>
    <w:rsid w:val="FEFFF6EE"/>
    <w:rsid w:val="FF1F67E5"/>
    <w:rsid w:val="FF374DF7"/>
    <w:rsid w:val="FF3F2868"/>
    <w:rsid w:val="FF3FB54F"/>
    <w:rsid w:val="FF471925"/>
    <w:rsid w:val="FF4FB57E"/>
    <w:rsid w:val="FF556F11"/>
    <w:rsid w:val="FF5BAD04"/>
    <w:rsid w:val="FF5E5CD4"/>
    <w:rsid w:val="FF5F95B5"/>
    <w:rsid w:val="FF5FA827"/>
    <w:rsid w:val="FF5FDC26"/>
    <w:rsid w:val="FF66C559"/>
    <w:rsid w:val="FF6D933C"/>
    <w:rsid w:val="FF6E17E9"/>
    <w:rsid w:val="FF6E22C5"/>
    <w:rsid w:val="FF6F3861"/>
    <w:rsid w:val="FF6F7E0D"/>
    <w:rsid w:val="FF6FBAA6"/>
    <w:rsid w:val="FF73A987"/>
    <w:rsid w:val="FF73AE75"/>
    <w:rsid w:val="FF7BAFD4"/>
    <w:rsid w:val="FF7DAC7E"/>
    <w:rsid w:val="FF7E3B76"/>
    <w:rsid w:val="FF7F050D"/>
    <w:rsid w:val="FF7F4E49"/>
    <w:rsid w:val="FF7F66E0"/>
    <w:rsid w:val="FF7F8D3A"/>
    <w:rsid w:val="FF7F9EF1"/>
    <w:rsid w:val="FF7FC0C9"/>
    <w:rsid w:val="FF7FF608"/>
    <w:rsid w:val="FF8F419D"/>
    <w:rsid w:val="FF8F8BBC"/>
    <w:rsid w:val="FF9791E3"/>
    <w:rsid w:val="FF9CE345"/>
    <w:rsid w:val="FF9D449D"/>
    <w:rsid w:val="FF9E9868"/>
    <w:rsid w:val="FF9F4B3E"/>
    <w:rsid w:val="FF9FEA14"/>
    <w:rsid w:val="FFA22161"/>
    <w:rsid w:val="FFA38A83"/>
    <w:rsid w:val="FFADE367"/>
    <w:rsid w:val="FFADFFEA"/>
    <w:rsid w:val="FFAF9C36"/>
    <w:rsid w:val="FFB4FC15"/>
    <w:rsid w:val="FFB63E53"/>
    <w:rsid w:val="FFB6B105"/>
    <w:rsid w:val="FFB7AAD5"/>
    <w:rsid w:val="FFBCC1D5"/>
    <w:rsid w:val="FFBCFF25"/>
    <w:rsid w:val="FFBD151C"/>
    <w:rsid w:val="FFBD5FC6"/>
    <w:rsid w:val="FFBEC857"/>
    <w:rsid w:val="FFD71258"/>
    <w:rsid w:val="FFD74832"/>
    <w:rsid w:val="FFDA2432"/>
    <w:rsid w:val="FFDAC94B"/>
    <w:rsid w:val="FFDC2E1B"/>
    <w:rsid w:val="FFDCB310"/>
    <w:rsid w:val="FFDE4F43"/>
    <w:rsid w:val="FFDF36CB"/>
    <w:rsid w:val="FFDF7CA2"/>
    <w:rsid w:val="FFDF99E4"/>
    <w:rsid w:val="FFDFC7BE"/>
    <w:rsid w:val="FFE0100C"/>
    <w:rsid w:val="FFE6C99F"/>
    <w:rsid w:val="FFE7F1AE"/>
    <w:rsid w:val="FFE92981"/>
    <w:rsid w:val="FFE94A57"/>
    <w:rsid w:val="FFEA9BFF"/>
    <w:rsid w:val="FFEB4FA9"/>
    <w:rsid w:val="FFEBB74F"/>
    <w:rsid w:val="FFEBCF17"/>
    <w:rsid w:val="FFEDBFC0"/>
    <w:rsid w:val="FFEDE71B"/>
    <w:rsid w:val="FFEEDE8B"/>
    <w:rsid w:val="FFEF018F"/>
    <w:rsid w:val="FFEFB03D"/>
    <w:rsid w:val="FFF13A60"/>
    <w:rsid w:val="FFF50EAE"/>
    <w:rsid w:val="FFF7104C"/>
    <w:rsid w:val="FFF73AC2"/>
    <w:rsid w:val="FFF767D1"/>
    <w:rsid w:val="FFF7A928"/>
    <w:rsid w:val="FFF7ACFA"/>
    <w:rsid w:val="FFF7D5DC"/>
    <w:rsid w:val="FFF82075"/>
    <w:rsid w:val="FFFB2A96"/>
    <w:rsid w:val="FFFB44EE"/>
    <w:rsid w:val="FFFD04C6"/>
    <w:rsid w:val="FFFD502C"/>
    <w:rsid w:val="FFFD691D"/>
    <w:rsid w:val="FFFD9495"/>
    <w:rsid w:val="FFFDD923"/>
    <w:rsid w:val="FFFE0C2F"/>
    <w:rsid w:val="FFFEF615"/>
    <w:rsid w:val="FFFF14F4"/>
    <w:rsid w:val="FFFF23F9"/>
    <w:rsid w:val="FFFF3B92"/>
    <w:rsid w:val="FFFF4689"/>
    <w:rsid w:val="FFFF4962"/>
    <w:rsid w:val="FFFFA784"/>
    <w:rsid w:val="FFFFB637"/>
    <w:rsid w:val="FFFFE7BE"/>
    <w:rsid w:val="FFFFEEFC"/>
    <w:rsid w:val="FFFFFF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iPriority="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ocked="1"/>
    <w:lsdException w:qFormat="1" w:uiPriority="3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uiPriority="0"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iPriority="99" w:name="List Number" w:locked="1"/>
    <w:lsdException w:unhideWhenUsed="0" w:uiPriority="0" w:semiHidden="0" w:name="List 2"/>
    <w:lsdException w:uiPriority="0" w:name="List 3"/>
    <w:lsdException w:uiPriority="99" w:name="List 4" w:locked="1"/>
    <w:lsdException w:uiPriority="99"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ocked="1"/>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semiHidden="0" w:name="FollowedHyperlink"/>
    <w:lsdException w:qFormat="1" w:unhideWhenUsed="0" w:uiPriority="22" w:semiHidden="0" w:name="Strong" w:locked="1"/>
    <w:lsdException w:qFormat="1" w:unhideWhenUsed="0" w:uiPriority="2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szCs w:val="21"/>
      <w:lang w:val="en-US" w:eastAsia="zh-CN" w:bidi="ar-SA"/>
    </w:rPr>
  </w:style>
  <w:style w:type="paragraph" w:styleId="3">
    <w:name w:val="heading 1"/>
    <w:basedOn w:val="1"/>
    <w:next w:val="1"/>
    <w:link w:val="30"/>
    <w:qFormat/>
    <w:locked/>
    <w:uiPriority w:val="9"/>
    <w:pPr>
      <w:keepNext/>
      <w:keepLines/>
      <w:spacing w:line="580" w:lineRule="exact"/>
      <w:ind w:firstLine="200" w:firstLineChars="200"/>
      <w:outlineLvl w:val="0"/>
    </w:pPr>
    <w:rPr>
      <w:rFonts w:eastAsia="黑体"/>
      <w:b/>
      <w:bCs/>
      <w:kern w:val="44"/>
      <w:sz w:val="32"/>
      <w:szCs w:val="44"/>
    </w:rPr>
  </w:style>
  <w:style w:type="paragraph" w:styleId="4">
    <w:name w:val="heading 2"/>
    <w:basedOn w:val="1"/>
    <w:next w:val="1"/>
    <w:link w:val="31"/>
    <w:unhideWhenUsed/>
    <w:qFormat/>
    <w:locked/>
    <w:uiPriority w:val="9"/>
    <w:pPr>
      <w:keepNext/>
      <w:keepLines/>
      <w:spacing w:line="580" w:lineRule="exact"/>
      <w:ind w:firstLine="200" w:firstLineChars="200"/>
      <w:outlineLvl w:val="1"/>
    </w:pPr>
    <w:rPr>
      <w:rFonts w:eastAsia="楷体" w:asciiTheme="majorHAnsi" w:hAnsiTheme="majorHAnsi" w:cstheme="majorBidi"/>
      <w:bCs/>
      <w:sz w:val="32"/>
      <w:szCs w:val="32"/>
    </w:rPr>
  </w:style>
  <w:style w:type="paragraph" w:styleId="5">
    <w:name w:val="heading 3"/>
    <w:basedOn w:val="1"/>
    <w:next w:val="1"/>
    <w:link w:val="32"/>
    <w:unhideWhenUsed/>
    <w:qFormat/>
    <w:locked/>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annotation text"/>
    <w:basedOn w:val="1"/>
    <w:link w:val="33"/>
    <w:qFormat/>
    <w:uiPriority w:val="0"/>
    <w:pPr>
      <w:jc w:val="left"/>
    </w:pPr>
  </w:style>
  <w:style w:type="paragraph" w:styleId="7">
    <w:name w:val="Body Text"/>
    <w:basedOn w:val="1"/>
    <w:qFormat/>
    <w:uiPriority w:val="1"/>
    <w:pPr>
      <w:spacing w:before="190"/>
      <w:ind w:left="1333"/>
    </w:pPr>
    <w:rPr>
      <w:rFonts w:ascii="仿宋_GB2312" w:hAnsi="仿宋_GB2312" w:eastAsia="仿宋_GB2312" w:cs="仿宋_GB2312"/>
      <w:sz w:val="32"/>
      <w:szCs w:val="32"/>
      <w:lang w:val="zh-CN" w:bidi="zh-CN"/>
    </w:rPr>
  </w:style>
  <w:style w:type="paragraph" w:styleId="8">
    <w:name w:val="Body Text Indent"/>
    <w:basedOn w:val="1"/>
    <w:next w:val="1"/>
    <w:qFormat/>
    <w:uiPriority w:val="0"/>
    <w:pPr>
      <w:spacing w:line="500" w:lineRule="exact"/>
      <w:ind w:left="1588" w:leftChars="832" w:firstLine="433" w:firstLineChars="196"/>
    </w:pPr>
    <w:rPr>
      <w:sz w:val="24"/>
      <w:szCs w:val="24"/>
    </w:rPr>
  </w:style>
  <w:style w:type="paragraph" w:styleId="9">
    <w:name w:val="Balloon Text"/>
    <w:basedOn w:val="1"/>
    <w:link w:val="27"/>
    <w:semiHidden/>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locked/>
    <w:uiPriority w:val="39"/>
  </w:style>
  <w:style w:type="paragraph" w:styleId="13">
    <w:name w:val="Subtitle"/>
    <w:basedOn w:val="1"/>
    <w:next w:val="1"/>
    <w:qFormat/>
    <w:locked/>
    <w:uiPriority w:val="0"/>
    <w:pPr>
      <w:jc w:val="left"/>
      <w:outlineLvl w:val="2"/>
    </w:pPr>
    <w:rPr>
      <w:rFonts w:ascii="Cambria" w:hAnsi="Cambria" w:eastAsia="黑体"/>
      <w:bCs/>
      <w:kern w:val="28"/>
      <w:szCs w:val="32"/>
    </w:rPr>
  </w:style>
  <w:style w:type="paragraph" w:styleId="14">
    <w:name w:val="toc 2"/>
    <w:basedOn w:val="1"/>
    <w:next w:val="1"/>
    <w:unhideWhenUsed/>
    <w:qFormat/>
    <w:locked/>
    <w:uiPriority w:val="39"/>
    <w:pPr>
      <w:tabs>
        <w:tab w:val="right" w:leader="dot" w:pos="8948"/>
      </w:tabs>
      <w:spacing w:line="360" w:lineRule="auto"/>
      <w:ind w:left="420" w:leftChars="200"/>
    </w:pPr>
  </w:style>
  <w:style w:type="paragraph" w:styleId="15">
    <w:name w:val="Normal (Web)"/>
    <w:basedOn w:val="1"/>
    <w:unhideWhenUsed/>
    <w:qFormat/>
    <w:uiPriority w:val="0"/>
    <w:pPr>
      <w:spacing w:beforeAutospacing="1" w:afterAutospacing="1"/>
      <w:jc w:val="left"/>
    </w:pPr>
    <w:rPr>
      <w:sz w:val="24"/>
    </w:rPr>
  </w:style>
  <w:style w:type="paragraph" w:styleId="16">
    <w:name w:val="annotation subject"/>
    <w:basedOn w:val="6"/>
    <w:next w:val="6"/>
    <w:link w:val="34"/>
    <w:qFormat/>
    <w:uiPriority w:val="0"/>
    <w:rPr>
      <w:b/>
      <w:bCs/>
    </w:rPr>
  </w:style>
  <w:style w:type="paragraph" w:styleId="17">
    <w:name w:val="Body Text First Indent 2"/>
    <w:basedOn w:val="8"/>
    <w:qFormat/>
    <w:uiPriority w:val="0"/>
    <w:pPr>
      <w:spacing w:after="120" w:line="240" w:lineRule="auto"/>
      <w:ind w:left="420" w:leftChars="200" w:firstLine="420" w:firstLineChars="200"/>
    </w:pPr>
    <w:rPr>
      <w:sz w:val="21"/>
    </w:rPr>
  </w:style>
  <w:style w:type="table" w:styleId="19">
    <w:name w:val="Table Grid"/>
    <w:basedOn w:val="18"/>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99"/>
  </w:style>
  <w:style w:type="character" w:styleId="22">
    <w:name w:val="FollowedHyperlink"/>
    <w:basedOn w:val="20"/>
    <w:unhideWhenUsed/>
    <w:qFormat/>
    <w:uiPriority w:val="0"/>
    <w:rPr>
      <w:color w:val="800080"/>
      <w:u w:val="single"/>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annotation reference"/>
    <w:basedOn w:val="20"/>
    <w:qFormat/>
    <w:uiPriority w:val="0"/>
    <w:rPr>
      <w:sz w:val="21"/>
      <w:szCs w:val="21"/>
    </w:rPr>
  </w:style>
  <w:style w:type="character" w:customStyle="1" w:styleId="25">
    <w:name w:val="页脚 Char"/>
    <w:basedOn w:val="20"/>
    <w:link w:val="10"/>
    <w:qFormat/>
    <w:locked/>
    <w:uiPriority w:val="99"/>
    <w:rPr>
      <w:sz w:val="18"/>
      <w:szCs w:val="18"/>
    </w:rPr>
  </w:style>
  <w:style w:type="character" w:customStyle="1" w:styleId="26">
    <w:name w:val="页眉 Char"/>
    <w:basedOn w:val="20"/>
    <w:link w:val="11"/>
    <w:semiHidden/>
    <w:qFormat/>
    <w:locked/>
    <w:uiPriority w:val="99"/>
    <w:rPr>
      <w:sz w:val="18"/>
      <w:szCs w:val="18"/>
    </w:rPr>
  </w:style>
  <w:style w:type="character" w:customStyle="1" w:styleId="27">
    <w:name w:val="批注框文本 Char"/>
    <w:basedOn w:val="20"/>
    <w:link w:val="9"/>
    <w:semiHidden/>
    <w:qFormat/>
    <w:locked/>
    <w:uiPriority w:val="99"/>
    <w:rPr>
      <w:sz w:val="18"/>
      <w:szCs w:val="18"/>
    </w:rPr>
  </w:style>
  <w:style w:type="paragraph" w:customStyle="1" w:styleId="28">
    <w:name w:val="p0"/>
    <w:basedOn w:val="1"/>
    <w:qFormat/>
    <w:uiPriority w:val="0"/>
    <w:pPr>
      <w:overflowPunct/>
      <w:autoSpaceDE/>
      <w:autoSpaceDN/>
      <w:adjustRightInd/>
      <w:textAlignment w:val="auto"/>
    </w:pPr>
    <w:rPr>
      <w:rFonts w:ascii="Calibri" w:hAnsi="Calibri"/>
    </w:rPr>
  </w:style>
  <w:style w:type="paragraph" w:customStyle="1" w:styleId="29">
    <w:name w:val="列出段落2"/>
    <w:basedOn w:val="1"/>
    <w:qFormat/>
    <w:uiPriority w:val="34"/>
    <w:pPr>
      <w:ind w:firstLine="420" w:firstLineChars="200"/>
    </w:pPr>
  </w:style>
  <w:style w:type="character" w:customStyle="1" w:styleId="30">
    <w:name w:val="标题 1 Char"/>
    <w:basedOn w:val="20"/>
    <w:link w:val="3"/>
    <w:qFormat/>
    <w:uiPriority w:val="9"/>
    <w:rPr>
      <w:rFonts w:eastAsia="黑体"/>
      <w:b/>
      <w:bCs/>
      <w:kern w:val="44"/>
      <w:sz w:val="32"/>
      <w:szCs w:val="44"/>
    </w:rPr>
  </w:style>
  <w:style w:type="character" w:customStyle="1" w:styleId="31">
    <w:name w:val="标题 2 Char"/>
    <w:basedOn w:val="20"/>
    <w:link w:val="4"/>
    <w:qFormat/>
    <w:uiPriority w:val="9"/>
    <w:rPr>
      <w:rFonts w:eastAsia="楷体" w:asciiTheme="majorHAnsi" w:hAnsiTheme="majorHAnsi" w:cstheme="majorBidi"/>
      <w:bCs/>
      <w:sz w:val="32"/>
      <w:szCs w:val="32"/>
    </w:rPr>
  </w:style>
  <w:style w:type="character" w:customStyle="1" w:styleId="32">
    <w:name w:val="标题 3 Char"/>
    <w:basedOn w:val="20"/>
    <w:link w:val="5"/>
    <w:qFormat/>
    <w:uiPriority w:val="9"/>
    <w:rPr>
      <w:b/>
      <w:bCs/>
      <w:sz w:val="32"/>
      <w:szCs w:val="32"/>
    </w:rPr>
  </w:style>
  <w:style w:type="character" w:customStyle="1" w:styleId="33">
    <w:name w:val="批注文字 Char"/>
    <w:basedOn w:val="20"/>
    <w:link w:val="6"/>
    <w:qFormat/>
    <w:uiPriority w:val="0"/>
    <w:rPr>
      <w:sz w:val="21"/>
      <w:szCs w:val="21"/>
    </w:rPr>
  </w:style>
  <w:style w:type="character" w:customStyle="1" w:styleId="34">
    <w:name w:val="批注主题 Char"/>
    <w:basedOn w:val="33"/>
    <w:link w:val="16"/>
    <w:qFormat/>
    <w:uiPriority w:val="0"/>
    <w:rPr>
      <w:b/>
      <w:bCs/>
      <w:sz w:val="21"/>
      <w:szCs w:val="21"/>
    </w:rPr>
  </w:style>
  <w:style w:type="paragraph" w:customStyle="1" w:styleId="35">
    <w:name w:val="修订1"/>
    <w:hidden/>
    <w:semiHidden/>
    <w:qFormat/>
    <w:uiPriority w:val="99"/>
    <w:rPr>
      <w:rFonts w:ascii="Times New Roman" w:hAnsi="Times New Roman" w:eastAsia="宋体" w:cs="Times New Roman"/>
      <w:sz w:val="21"/>
      <w:szCs w:val="21"/>
      <w:lang w:val="en-US" w:eastAsia="zh-CN" w:bidi="ar-SA"/>
    </w:r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8">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9">
    <w:name w:val="列出段落3"/>
    <w:basedOn w:val="1"/>
    <w:unhideWhenUsed/>
    <w:qFormat/>
    <w:uiPriority w:val="99"/>
    <w:pPr>
      <w:ind w:firstLine="420" w:firstLineChars="200"/>
    </w:pPr>
  </w:style>
  <w:style w:type="paragraph" w:customStyle="1" w:styleId="40">
    <w:name w:val="Body text|1"/>
    <w:basedOn w:val="1"/>
    <w:qFormat/>
    <w:uiPriority w:val="0"/>
    <w:pPr>
      <w:widowControl w:val="0"/>
      <w:spacing w:line="406" w:lineRule="auto"/>
    </w:pPr>
    <w:rPr>
      <w:rFonts w:ascii="宋体" w:hAnsi="宋体" w:cs="宋体"/>
      <w:sz w:val="28"/>
      <w:szCs w:val="28"/>
      <w:lang w:val="zh-TW" w:eastAsia="zh-TW" w:bidi="zh-TW"/>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4E073-B2EC-4328-B69D-152BC7D3A74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28</Pages>
  <Words>2344</Words>
  <Characters>13361</Characters>
  <Lines>111</Lines>
  <Paragraphs>31</Paragraphs>
  <TotalTime>8</TotalTime>
  <ScaleCrop>false</ScaleCrop>
  <LinksUpToDate>false</LinksUpToDate>
  <CharactersWithSpaces>15674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2017-07-11T10:38:00Z</dcterms:created>
  <dc:creator>lxf</dc:creator>
  <cp:lastModifiedBy>zzw</cp:lastModifiedBy>
  <cp:lastPrinted>2020-08-05T08:24:00Z</cp:lastPrinted>
  <dcterms:modified xsi:type="dcterms:W3CDTF">2020-10-24T07:04:23Z</dcterms:modified>
  <dc:title>附件：绩效评价报告参考格式</dc:title>
  <cp:revision>402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