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964" w:firstLineChars="200"/>
        <w:jc w:val="center"/>
        <w:rPr>
          <w:rFonts w:asciiTheme="majorEastAsia" w:hAnsiTheme="majorEastAsia" w:eastAsiaTheme="majorEastAsia"/>
          <w:b/>
          <w:sz w:val="48"/>
          <w:szCs w:val="32"/>
        </w:rPr>
      </w:pPr>
    </w:p>
    <w:p>
      <w:pPr>
        <w:adjustRightInd w:val="0"/>
        <w:snapToGrid w:val="0"/>
        <w:spacing w:line="360" w:lineRule="auto"/>
        <w:ind w:firstLine="960" w:firstLineChars="200"/>
        <w:jc w:val="center"/>
        <w:rPr>
          <w:rFonts w:ascii="方正小标宋简体" w:hAnsi="方正小标宋简体" w:eastAsia="方正小标宋简体" w:cs="方正小标宋简体"/>
          <w:bCs/>
          <w:sz w:val="48"/>
          <w:szCs w:val="32"/>
        </w:rPr>
      </w:pPr>
    </w:p>
    <w:p>
      <w:pPr>
        <w:adjustRightInd w:val="0"/>
        <w:snapToGrid w:val="0"/>
        <w:spacing w:line="276" w:lineRule="auto"/>
        <w:jc w:val="center"/>
        <w:rPr>
          <w:rFonts w:ascii="方正小标宋简体" w:hAnsi="方正小标宋简体" w:eastAsia="方正小标宋简体" w:cs="方正小标宋简体"/>
          <w:bCs/>
          <w:sz w:val="44"/>
          <w:szCs w:val="28"/>
        </w:rPr>
      </w:pPr>
      <w:r>
        <w:rPr>
          <w:rFonts w:hint="eastAsia" w:ascii="方正小标宋简体" w:hAnsi="方正小标宋简体" w:eastAsia="方正小标宋简体" w:cs="方正小标宋简体"/>
          <w:bCs/>
          <w:sz w:val="44"/>
          <w:szCs w:val="28"/>
        </w:rPr>
        <w:t>2019年度山亭区职业中专部门整体支出</w:t>
      </w:r>
    </w:p>
    <w:p>
      <w:pPr>
        <w:adjustRightInd w:val="0"/>
        <w:snapToGrid w:val="0"/>
        <w:spacing w:line="276" w:lineRule="auto"/>
        <w:jc w:val="center"/>
        <w:rPr>
          <w:rFonts w:ascii="方正小标宋简体" w:hAnsi="方正小标宋简体" w:eastAsia="方正小标宋简体" w:cs="方正小标宋简体"/>
          <w:bCs/>
          <w:sz w:val="44"/>
          <w:szCs w:val="28"/>
        </w:rPr>
      </w:pPr>
      <w:r>
        <w:rPr>
          <w:rFonts w:hint="eastAsia" w:ascii="方正小标宋简体" w:hAnsi="方正小标宋简体" w:eastAsia="方正小标宋简体" w:cs="方正小标宋简体"/>
          <w:bCs/>
          <w:sz w:val="44"/>
          <w:szCs w:val="28"/>
        </w:rPr>
        <w:t>绩效评价报告</w:t>
      </w:r>
    </w:p>
    <w:p>
      <w:pPr>
        <w:adjustRightInd w:val="0"/>
        <w:snapToGrid w:val="0"/>
        <w:spacing w:before="240" w:line="360" w:lineRule="auto"/>
        <w:ind w:firstLine="560" w:firstLineChars="200"/>
        <w:jc w:val="center"/>
        <w:rPr>
          <w:rFonts w:ascii="楷体_GB2312" w:eastAsia="楷体_GB2312" w:hAnsi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1280" w:firstLineChars="400"/>
        <w:jc w:val="left"/>
        <w:rPr>
          <w:rFonts w:ascii="宋体" w:hAnsi="宋体" w:eastAsia="仿宋_GB2312" w:cs="Times New Roman"/>
          <w:sz w:val="32"/>
          <w:szCs w:val="32"/>
          <w:u w:val="single"/>
        </w:rPr>
      </w:pPr>
      <w:r>
        <w:rPr>
          <w:rFonts w:hint="eastAsia" w:ascii="宋体" w:hAnsi="宋体" w:eastAsia="仿宋_GB2312" w:cs="Times New Roman"/>
          <w:sz w:val="32"/>
          <w:szCs w:val="32"/>
        </w:rPr>
        <w:t>项目单位：</w:t>
      </w:r>
      <w:r>
        <w:rPr>
          <w:rFonts w:hint="eastAsia" w:ascii="宋体" w:hAnsi="宋体" w:eastAsia="仿宋_GB2312" w:cs="Times New Roman"/>
          <w:sz w:val="32"/>
          <w:szCs w:val="32"/>
          <w:u w:val="single"/>
        </w:rPr>
        <w:t xml:space="preserve"> </w:t>
      </w:r>
      <w:r>
        <w:rPr>
          <w:rFonts w:ascii="宋体" w:hAnsi="宋体" w:eastAsia="仿宋_GB2312" w:cs="Times New Roman"/>
          <w:sz w:val="32"/>
          <w:szCs w:val="32"/>
          <w:u w:val="single"/>
        </w:rPr>
        <w:t xml:space="preserve">   </w:t>
      </w:r>
      <w:r>
        <w:rPr>
          <w:rFonts w:hint="eastAsia" w:ascii="宋体" w:hAnsi="宋体" w:eastAsia="仿宋_GB2312" w:cs="Times New Roman"/>
          <w:sz w:val="32"/>
          <w:szCs w:val="32"/>
          <w:u w:val="single"/>
        </w:rPr>
        <w:t>山亭区职业中专</w:t>
      </w:r>
      <w:r>
        <w:rPr>
          <w:rFonts w:hint="eastAsia" w:ascii="宋体" w:hAnsi="宋体" w:eastAsia="仿宋_GB2312" w:cs="Times New Roman"/>
          <w:spacing w:val="11"/>
          <w:sz w:val="32"/>
          <w:szCs w:val="32"/>
          <w:u w:val="single"/>
        </w:rPr>
        <w:t xml:space="preserve"> </w:t>
      </w:r>
      <w:r>
        <w:rPr>
          <w:rFonts w:ascii="宋体" w:hAnsi="宋体" w:eastAsia="仿宋_GB2312" w:cs="Times New Roman"/>
          <w:spacing w:val="11"/>
          <w:sz w:val="32"/>
          <w:szCs w:val="32"/>
          <w:u w:val="single"/>
        </w:rPr>
        <w:t xml:space="preserve">           </w:t>
      </w:r>
      <w:r>
        <w:rPr>
          <w:rFonts w:hint="eastAsia" w:ascii="宋体" w:hAnsi="宋体" w:eastAsia="仿宋_GB2312" w:cs="Times New Roman"/>
          <w:spacing w:val="11"/>
          <w:sz w:val="32"/>
          <w:szCs w:val="32"/>
          <w:u w:val="single"/>
        </w:rPr>
        <w:t xml:space="preserve"> </w:t>
      </w:r>
    </w:p>
    <w:p>
      <w:pPr>
        <w:adjustRightInd w:val="0"/>
        <w:snapToGrid w:val="0"/>
        <w:spacing w:line="360" w:lineRule="auto"/>
        <w:ind w:firstLine="1280" w:firstLineChars="400"/>
        <w:jc w:val="left"/>
        <w:rPr>
          <w:rFonts w:ascii="宋体" w:hAnsi="宋体" w:eastAsia="仿宋_GB2312" w:cs="Times New Roman"/>
          <w:sz w:val="32"/>
          <w:szCs w:val="32"/>
          <w:u w:val="single"/>
        </w:rPr>
      </w:pPr>
      <w:r>
        <w:rPr>
          <w:rFonts w:hint="eastAsia" w:ascii="宋体" w:hAnsi="宋体" w:eastAsia="仿宋_GB2312" w:cs="Times New Roman"/>
          <w:sz w:val="32"/>
          <w:szCs w:val="32"/>
        </w:rPr>
        <w:t>评价机构：</w:t>
      </w:r>
      <w:r>
        <w:rPr>
          <w:rFonts w:hint="eastAsia" w:ascii="宋体" w:hAnsi="宋体" w:eastAsia="仿宋_GB2312" w:cs="Times New Roman"/>
          <w:sz w:val="32"/>
          <w:szCs w:val="32"/>
          <w:u w:val="single"/>
        </w:rPr>
        <w:t xml:space="preserve"> 北京三维众智管理咨询有限责任公司 </w:t>
      </w:r>
      <w:r>
        <w:rPr>
          <w:rFonts w:ascii="宋体" w:hAnsi="宋体" w:eastAsia="仿宋_GB2312" w:cs="Times New Roman"/>
          <w:sz w:val="32"/>
          <w:szCs w:val="32"/>
          <w:u w:val="single"/>
        </w:rPr>
        <w:t xml:space="preserve">             </w:t>
      </w:r>
      <w:r>
        <w:rPr>
          <w:rFonts w:hint="eastAsia" w:ascii="宋体" w:hAnsi="宋体" w:eastAsia="仿宋_GB2312" w:cs="Times New Roman"/>
          <w:sz w:val="32"/>
          <w:szCs w:val="32"/>
          <w:u w:val="single"/>
        </w:rPr>
        <w:t xml:space="preserve"> </w:t>
      </w:r>
    </w:p>
    <w:p>
      <w:pPr>
        <w:adjustRightInd w:val="0"/>
        <w:snapToGrid w:val="0"/>
        <w:spacing w:line="360" w:lineRule="auto"/>
        <w:ind w:firstLine="640" w:firstLineChars="200"/>
        <w:jc w:val="left"/>
        <w:rPr>
          <w:rFonts w:ascii="宋体" w:hAnsi="宋体" w:eastAsia="宋体" w:cs="Times New Roman"/>
          <w:sz w:val="32"/>
          <w:szCs w:val="32"/>
        </w:rPr>
      </w:pPr>
    </w:p>
    <w:p>
      <w:pPr>
        <w:adjustRightInd w:val="0"/>
        <w:snapToGrid w:val="0"/>
        <w:spacing w:line="360" w:lineRule="auto"/>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填报日期：</w:t>
      </w:r>
      <w:r>
        <w:rPr>
          <w:rFonts w:hint="eastAsia" w:ascii="仿宋_GB2312" w:hAnsi="宋体" w:eastAsia="仿宋_GB2312" w:cs="Times New Roman"/>
          <w:color w:val="000000"/>
          <w:sz w:val="32"/>
          <w:szCs w:val="32"/>
          <w:u w:val="single"/>
        </w:rPr>
        <w:t xml:space="preserve"> 2020</w:t>
      </w:r>
      <w:r>
        <w:rPr>
          <w:rFonts w:hint="eastAsia" w:ascii="仿宋_GB2312" w:hAnsi="宋体" w:eastAsia="仿宋_GB2312" w:cs="Times New Roman"/>
          <w:color w:val="000000"/>
          <w:sz w:val="32"/>
          <w:szCs w:val="32"/>
        </w:rPr>
        <w:t>年</w:t>
      </w:r>
      <w:r>
        <w:rPr>
          <w:rFonts w:ascii="仿宋_GB2312" w:hAnsi="宋体" w:eastAsia="仿宋_GB2312" w:cs="Times New Roman"/>
          <w:color w:val="000000"/>
          <w:sz w:val="32"/>
          <w:szCs w:val="32"/>
          <w:u w:val="single"/>
        </w:rPr>
        <w:t xml:space="preserve"> </w:t>
      </w:r>
      <w:r>
        <w:rPr>
          <w:rFonts w:hint="eastAsia" w:ascii="仿宋_GB2312" w:hAnsi="宋体" w:eastAsia="仿宋_GB2312" w:cs="Times New Roman"/>
          <w:color w:val="000000"/>
          <w:sz w:val="32"/>
          <w:szCs w:val="32"/>
          <w:u w:val="single"/>
          <w:lang w:val="en-US" w:eastAsia="zh-CN"/>
        </w:rPr>
        <w:t>6</w:t>
      </w:r>
      <w:r>
        <w:rPr>
          <w:rFonts w:hint="eastAsia" w:ascii="仿宋_GB2312" w:hAnsi="宋体" w:eastAsia="仿宋_GB2312" w:cs="Times New Roman"/>
          <w:color w:val="000000"/>
          <w:sz w:val="32"/>
          <w:szCs w:val="32"/>
        </w:rPr>
        <w:t>月</w:t>
      </w:r>
      <w:r>
        <w:rPr>
          <w:rFonts w:hint="eastAsia" w:ascii="仿宋_GB2312" w:hAnsi="宋体" w:eastAsia="仿宋_GB2312" w:cs="Times New Roman"/>
          <w:color w:val="000000"/>
          <w:sz w:val="32"/>
          <w:szCs w:val="32"/>
          <w:u w:val="single"/>
        </w:rPr>
        <w:t xml:space="preserve"> 10 </w:t>
      </w:r>
      <w:r>
        <w:rPr>
          <w:rFonts w:hint="eastAsia" w:ascii="仿宋_GB2312" w:hAnsi="宋体" w:eastAsia="仿宋_GB2312" w:cs="Times New Roman"/>
          <w:color w:val="000000"/>
          <w:sz w:val="32"/>
          <w:szCs w:val="32"/>
        </w:rPr>
        <w:t>日</w:t>
      </w:r>
    </w:p>
    <w:p>
      <w:pPr>
        <w:adjustRightInd w:val="0"/>
        <w:snapToGrid w:val="0"/>
        <w:spacing w:line="360" w:lineRule="auto"/>
        <w:ind w:firstLine="640" w:firstLineChars="200"/>
        <w:jc w:val="center"/>
        <w:rPr>
          <w:rFonts w:ascii="仿宋" w:hAnsi="仿宋" w:eastAsia="仿宋"/>
          <w:sz w:val="32"/>
          <w:szCs w:val="32"/>
        </w:rPr>
      </w:pPr>
      <w:r>
        <w:rPr>
          <w:rFonts w:ascii="仿宋" w:hAnsi="仿宋" w:eastAsia="仿宋"/>
          <w:sz w:val="32"/>
          <w:szCs w:val="32"/>
        </w:rPr>
        <w:br w:type="page"/>
      </w:r>
    </w:p>
    <w:p>
      <w:pPr>
        <w:pStyle w:val="12"/>
        <w:adjustRightInd w:val="0"/>
        <w:snapToGrid w:val="0"/>
        <w:rPr>
          <w:rFonts w:cs="黑体"/>
          <w:sz w:val="28"/>
          <w:szCs w:val="32"/>
        </w:rPr>
      </w:pPr>
    </w:p>
    <w:p>
      <w:pPr>
        <w:pStyle w:val="12"/>
        <w:adjustRightInd w:val="0"/>
        <w:snapToGrid w:val="0"/>
        <w:rPr>
          <w:rFonts w:cs="黑体"/>
          <w:szCs w:val="32"/>
        </w:rPr>
      </w:pPr>
      <w:r>
        <w:rPr>
          <w:rFonts w:hint="eastAsia" w:cs="黑体"/>
          <w:szCs w:val="32"/>
        </w:rPr>
        <w:t>目</w:t>
      </w:r>
      <w:r>
        <w:rPr>
          <w:rFonts w:hint="eastAsia" w:cs="黑体"/>
          <w:szCs w:val="32"/>
          <w:lang w:val="en-US"/>
        </w:rPr>
        <w:t xml:space="preserve">  </w:t>
      </w:r>
      <w:r>
        <w:rPr>
          <w:rFonts w:hint="eastAsia" w:cs="黑体"/>
          <w:szCs w:val="32"/>
        </w:rPr>
        <w:t>录</w:t>
      </w:r>
    </w:p>
    <w:p>
      <w:pPr>
        <w:pStyle w:val="12"/>
        <w:tabs>
          <w:tab w:val="right" w:leader="dot" w:pos="8306"/>
          <w:tab w:val="clear" w:pos="8296"/>
        </w:tabs>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"1-2" \h \z \u </w:instrText>
      </w:r>
      <w:r>
        <w:rPr>
          <w:rFonts w:hint="eastAsia" w:ascii="仿宋_GB2312" w:hAnsi="仿宋_GB2312" w:eastAsia="仿宋_GB2312" w:cs="仿宋_GB2312"/>
          <w:sz w:val="32"/>
          <w:szCs w:val="32"/>
        </w:rPr>
        <w:fldChar w:fldCharType="separate"/>
      </w:r>
      <w:r>
        <w:fldChar w:fldCharType="begin"/>
      </w:r>
      <w:r>
        <w:instrText xml:space="preserve"> HYPERLINK \l "_Toc19818" </w:instrText>
      </w:r>
      <w:r>
        <w:fldChar w:fldCharType="separate"/>
      </w:r>
      <w:r>
        <w:rPr>
          <w:rFonts w:hint="eastAsia" w:ascii="仿宋_GB2312" w:hAnsi="仿宋_GB2312" w:eastAsia="仿宋_GB2312" w:cs="仿宋_GB2312"/>
          <w:sz w:val="32"/>
          <w:szCs w:val="32"/>
        </w:rPr>
        <w:t>一、部门基本情况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"_Toc31407" </w:instrText>
      </w:r>
      <w:r>
        <w:fldChar w:fldCharType="separate"/>
      </w:r>
      <w:r>
        <w:rPr>
          <w:rFonts w:hint="eastAsia" w:ascii="仿宋_GB2312" w:hAnsi="仿宋_GB2312" w:eastAsia="仿宋_GB2312" w:cs="仿宋_GB2312"/>
          <w:sz w:val="32"/>
          <w:szCs w:val="32"/>
        </w:rPr>
        <w:t>（一）机构人员情况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"_Toc19799" </w:instrText>
      </w:r>
      <w:r>
        <w:fldChar w:fldCharType="separate"/>
      </w:r>
      <w:r>
        <w:rPr>
          <w:rFonts w:hint="eastAsia" w:ascii="仿宋_GB2312" w:hAnsi="仿宋_GB2312" w:eastAsia="仿宋_GB2312" w:cs="仿宋_GB2312"/>
          <w:sz w:val="32"/>
          <w:szCs w:val="32"/>
        </w:rPr>
        <w:t>（二）部门职能情况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"_Toc5030" </w:instrText>
      </w:r>
      <w:r>
        <w:fldChar w:fldCharType="separate"/>
      </w:r>
      <w:r>
        <w:rPr>
          <w:rFonts w:hint="eastAsia" w:ascii="仿宋_GB2312" w:hAnsi="仿宋_GB2312" w:eastAsia="仿宋_GB2312" w:cs="仿宋_GB2312"/>
          <w:sz w:val="32"/>
          <w:szCs w:val="32"/>
        </w:rPr>
        <w:t>（三）绩效目标设置情况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"_Toc23758" </w:instrText>
      </w:r>
      <w:r>
        <w:fldChar w:fldCharType="separate"/>
      </w:r>
      <w:r>
        <w:rPr>
          <w:rFonts w:hint="eastAsia" w:ascii="仿宋_GB2312" w:hAnsi="仿宋_GB2312" w:eastAsia="仿宋_GB2312" w:cs="仿宋_GB2312"/>
          <w:sz w:val="32"/>
          <w:szCs w:val="32"/>
        </w:rPr>
        <w:t>（四）预算资金安排情况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"_Toc26695" </w:instrText>
      </w:r>
      <w:r>
        <w:fldChar w:fldCharType="separate"/>
      </w:r>
      <w:r>
        <w:rPr>
          <w:rFonts w:hint="eastAsia" w:ascii="仿宋_GB2312" w:hAnsi="仿宋_GB2312" w:eastAsia="仿宋_GB2312" w:cs="仿宋_GB2312"/>
          <w:sz w:val="32"/>
          <w:szCs w:val="32"/>
        </w:rPr>
        <w:t>（五）资产情况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6"/>
          <w:tab w:val="clear" w:pos="8296"/>
        </w:tabs>
        <w:rPr>
          <w:rFonts w:ascii="仿宋_GB2312" w:hAnsi="仿宋_GB2312" w:eastAsia="仿宋_GB2312" w:cs="仿宋_GB2312"/>
          <w:sz w:val="32"/>
          <w:szCs w:val="32"/>
        </w:rPr>
      </w:pPr>
      <w:r>
        <w:fldChar w:fldCharType="begin"/>
      </w:r>
      <w:r>
        <w:instrText xml:space="preserve"> HYPERLINK \l "_Toc8058" </w:instrText>
      </w:r>
      <w:r>
        <w:fldChar w:fldCharType="separate"/>
      </w:r>
      <w:r>
        <w:rPr>
          <w:rFonts w:hint="eastAsia" w:ascii="仿宋_GB2312" w:hAnsi="仿宋_GB2312" w:eastAsia="仿宋_GB2312" w:cs="仿宋_GB2312"/>
          <w:sz w:val="32"/>
          <w:szCs w:val="32"/>
        </w:rPr>
        <w:t>二、绩效评价工作要求及实施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"_Toc443" </w:instrText>
      </w:r>
      <w:r>
        <w:fldChar w:fldCharType="separate"/>
      </w:r>
      <w:r>
        <w:rPr>
          <w:rFonts w:hint="eastAsia" w:ascii="仿宋_GB2312" w:hAnsi="仿宋_GB2312" w:eastAsia="仿宋_GB2312" w:cs="仿宋_GB2312"/>
          <w:sz w:val="32"/>
          <w:szCs w:val="32"/>
        </w:rPr>
        <w:t>（一）基本情况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"_Toc17760" </w:instrText>
      </w:r>
      <w:r>
        <w:fldChar w:fldCharType="separate"/>
      </w:r>
      <w:r>
        <w:rPr>
          <w:rFonts w:hint="eastAsia" w:ascii="仿宋_GB2312" w:hAnsi="仿宋_GB2312" w:eastAsia="仿宋_GB2312" w:cs="仿宋_GB2312"/>
          <w:sz w:val="32"/>
          <w:szCs w:val="32"/>
        </w:rPr>
        <w:t>（二）评价组织实施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12"/>
        <w:tabs>
          <w:tab w:val="right" w:leader="dot" w:pos="8306"/>
          <w:tab w:val="clear" w:pos="8296"/>
        </w:tabs>
        <w:rPr>
          <w:rFonts w:ascii="仿宋_GB2312" w:hAnsi="仿宋_GB2312" w:eastAsia="仿宋_GB2312" w:cs="仿宋_GB2312"/>
          <w:sz w:val="32"/>
          <w:szCs w:val="32"/>
        </w:rPr>
      </w:pPr>
      <w:r>
        <w:fldChar w:fldCharType="begin"/>
      </w:r>
      <w:r>
        <w:instrText xml:space="preserve"> HYPERLINK \l "_Toc30053" </w:instrText>
      </w:r>
      <w:r>
        <w:fldChar w:fldCharType="separate"/>
      </w:r>
      <w:r>
        <w:rPr>
          <w:rFonts w:hint="eastAsia" w:ascii="仿宋_GB2312" w:hAnsi="仿宋_GB2312" w:eastAsia="仿宋_GB2312" w:cs="仿宋_GB2312"/>
          <w:sz w:val="32"/>
          <w:szCs w:val="32"/>
        </w:rPr>
        <w:t>三、总体评价结论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"_Toc1510" </w:instrText>
      </w:r>
      <w:r>
        <w:fldChar w:fldCharType="separate"/>
      </w:r>
      <w:r>
        <w:rPr>
          <w:rFonts w:hint="eastAsia" w:ascii="仿宋_GB2312" w:hAnsi="仿宋_GB2312" w:eastAsia="仿宋_GB2312" w:cs="仿宋_GB2312"/>
          <w:sz w:val="32"/>
          <w:szCs w:val="32"/>
        </w:rPr>
        <w:t>（一）评价得分情况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"_Toc32357" </w:instrText>
      </w:r>
      <w:r>
        <w:fldChar w:fldCharType="separate"/>
      </w:r>
      <w:r>
        <w:rPr>
          <w:rFonts w:hint="eastAsia" w:ascii="仿宋_GB2312" w:hAnsi="仿宋_GB2312" w:eastAsia="仿宋_GB2312" w:cs="仿宋_GB2312"/>
          <w:sz w:val="32"/>
          <w:szCs w:val="32"/>
        </w:rPr>
        <w:t>（二）部门整体支出所实现的主要绩效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12"/>
        <w:tabs>
          <w:tab w:val="right" w:leader="dot" w:pos="8306"/>
          <w:tab w:val="clear" w:pos="8296"/>
        </w:tabs>
        <w:rPr>
          <w:rFonts w:ascii="仿宋_GB2312" w:hAnsi="仿宋_GB2312" w:eastAsia="仿宋_GB2312" w:cs="仿宋_GB2312"/>
          <w:sz w:val="32"/>
          <w:szCs w:val="32"/>
        </w:rPr>
      </w:pPr>
      <w:r>
        <w:fldChar w:fldCharType="begin"/>
      </w:r>
      <w:r>
        <w:instrText xml:space="preserve"> HYPERLINK \l "_Toc13265" </w:instrText>
      </w:r>
      <w:r>
        <w:fldChar w:fldCharType="separate"/>
      </w:r>
      <w:r>
        <w:rPr>
          <w:rFonts w:hint="eastAsia" w:ascii="仿宋_GB2312" w:hAnsi="仿宋_GB2312" w:eastAsia="仿宋_GB2312" w:cs="仿宋_GB2312"/>
          <w:sz w:val="32"/>
          <w:szCs w:val="32"/>
        </w:rPr>
        <w:t>四、绩效管理和实现过程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"_Toc8194" </w:instrText>
      </w:r>
      <w:r>
        <w:fldChar w:fldCharType="separate"/>
      </w:r>
      <w:r>
        <w:rPr>
          <w:rFonts w:hint="eastAsia" w:ascii="仿宋_GB2312" w:hAnsi="仿宋_GB2312" w:eastAsia="仿宋_GB2312" w:cs="仿宋_GB2312"/>
          <w:sz w:val="32"/>
          <w:szCs w:val="32"/>
        </w:rPr>
        <w:t>（一）投入情况评价分析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"_Toc14973" </w:instrText>
      </w:r>
      <w:r>
        <w:fldChar w:fldCharType="separate"/>
      </w:r>
      <w:r>
        <w:rPr>
          <w:rFonts w:hint="eastAsia" w:ascii="仿宋_GB2312" w:hAnsi="仿宋_GB2312" w:eastAsia="仿宋_GB2312" w:cs="仿宋_GB2312"/>
          <w:sz w:val="32"/>
          <w:szCs w:val="32"/>
        </w:rPr>
        <w:t>（二）过程情况评价分析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"_Toc149" </w:instrText>
      </w:r>
      <w:r>
        <w:fldChar w:fldCharType="separate"/>
      </w:r>
      <w:r>
        <w:rPr>
          <w:rFonts w:hint="eastAsia" w:ascii="仿宋_GB2312" w:hAnsi="仿宋_GB2312" w:eastAsia="仿宋_GB2312" w:cs="仿宋_GB2312"/>
          <w:sz w:val="32"/>
          <w:szCs w:val="32"/>
        </w:rPr>
        <w:t>（三）产出情况评价分析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"_Toc5537" </w:instrText>
      </w:r>
      <w:r>
        <w:fldChar w:fldCharType="separate"/>
      </w:r>
      <w:r>
        <w:rPr>
          <w:rFonts w:hint="eastAsia" w:ascii="仿宋_GB2312" w:hAnsi="仿宋_GB2312" w:eastAsia="仿宋_GB2312" w:cs="仿宋_GB2312"/>
          <w:sz w:val="32"/>
          <w:szCs w:val="32"/>
        </w:rPr>
        <w:t>（四）效果实现情况评价分析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p>
    <w:p>
      <w:pPr>
        <w:pStyle w:val="12"/>
        <w:tabs>
          <w:tab w:val="right" w:leader="dot" w:pos="8306"/>
          <w:tab w:val="clear" w:pos="8296"/>
        </w:tabs>
        <w:rPr>
          <w:rFonts w:ascii="仿宋_GB2312" w:hAnsi="仿宋_GB2312" w:eastAsia="仿宋_GB2312" w:cs="仿宋_GB2312"/>
          <w:sz w:val="32"/>
          <w:szCs w:val="32"/>
        </w:rPr>
      </w:pPr>
      <w:r>
        <w:fldChar w:fldCharType="begin"/>
      </w:r>
      <w:r>
        <w:instrText xml:space="preserve"> HYPERLINK \l "_Toc26802" </w:instrText>
      </w:r>
      <w:r>
        <w:fldChar w:fldCharType="separate"/>
      </w:r>
      <w:r>
        <w:rPr>
          <w:rFonts w:hint="eastAsia" w:ascii="仿宋_GB2312" w:hAnsi="仿宋_GB2312" w:eastAsia="仿宋_GB2312" w:cs="仿宋_GB2312"/>
          <w:sz w:val="32"/>
          <w:szCs w:val="32"/>
        </w:rPr>
        <w:t>五、存在的主要问题及建议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p>
    <w:p>
      <w:pPr>
        <w:pStyle w:val="14"/>
        <w:tabs>
          <w:tab w:val="right" w:leader="dot" w:pos="8306"/>
        </w:tabs>
        <w:rPr>
          <w:rFonts w:ascii="仿宋_GB2312" w:hAnsi="仿宋_GB2312" w:eastAsia="仿宋_GB2312" w:cs="仿宋_GB2312"/>
          <w:sz w:val="32"/>
          <w:szCs w:val="32"/>
        </w:rPr>
      </w:pPr>
      <w:r>
        <w:fldChar w:fldCharType="begin"/>
      </w:r>
      <w:r>
        <w:instrText xml:space="preserve"> HYPERLINK \l "_Toc8277" </w:instrText>
      </w:r>
      <w:r>
        <w:fldChar w:fldCharType="separate"/>
      </w:r>
      <w:r>
        <w:rPr>
          <w:rFonts w:hint="eastAsia" w:ascii="仿宋_GB2312" w:hAnsi="仿宋_GB2312" w:eastAsia="仿宋_GB2312" w:cs="仿宋_GB2312"/>
          <w:sz w:val="32"/>
          <w:szCs w:val="32"/>
        </w:rPr>
        <w:t>（一）存在的主要问题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p>
    <w:p>
      <w:pPr>
        <w:pStyle w:val="14"/>
        <w:tabs>
          <w:tab w:val="right" w:leader="dot" w:pos="8306"/>
        </w:tabs>
        <w:rPr>
          <w:sz w:val="32"/>
          <w:szCs w:val="32"/>
        </w:rPr>
      </w:pPr>
      <w:r>
        <w:fldChar w:fldCharType="begin"/>
      </w:r>
      <w:r>
        <w:instrText xml:space="preserve"> HYPERLINK \l "_Toc28823" </w:instrText>
      </w:r>
      <w:r>
        <w:fldChar w:fldCharType="separate"/>
      </w:r>
      <w:r>
        <w:rPr>
          <w:rFonts w:hint="eastAsia" w:ascii="仿宋_GB2312" w:hAnsi="仿宋_GB2312" w:eastAsia="仿宋_GB2312" w:cs="仿宋_GB2312"/>
          <w:sz w:val="32"/>
          <w:szCs w:val="32"/>
        </w:rPr>
        <w:t>（二）建议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p>
    <w:p>
      <w:pPr>
        <w:pStyle w:val="12"/>
        <w:adjustRightInd w:val="0"/>
        <w:snapToGrid w:val="0"/>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fldChar w:fldCharType="end"/>
      </w:r>
    </w:p>
    <w:p>
      <w:pPr>
        <w:ind w:firstLine="640" w:firstLineChars="200"/>
        <w:rPr>
          <w:rFonts w:ascii="仿宋_GB2312" w:eastAsia="仿宋_GB2312"/>
          <w:sz w:val="32"/>
          <w:szCs w:val="32"/>
        </w:rPr>
      </w:pPr>
      <w:bookmarkStart w:id="0" w:name="_Toc48921821"/>
      <w:r>
        <w:rPr>
          <w:rFonts w:hint="eastAsia" w:ascii="仿宋_GB2312" w:eastAsia="仿宋_GB2312"/>
          <w:sz w:val="32"/>
          <w:szCs w:val="32"/>
        </w:rPr>
        <w:t>为进一步加强预算绩效管理，强化支出责任，及时发现并解决预算管理中存在的问题，提高财政资金使用效益，依据</w:t>
      </w:r>
      <w:r>
        <w:rPr>
          <w:rFonts w:hint="eastAsia" w:ascii="仿宋_GB2312" w:hAnsi="Times New Roman" w:eastAsia="仿宋_GB2312" w:cs="Times New Roman"/>
          <w:bCs/>
          <w:sz w:val="32"/>
          <w:szCs w:val="32"/>
        </w:rPr>
        <w:t>山亭区财政局下发的《关于上报2019年度&lt;项目绩效自评报告&gt;和&lt;部门整体支出绩效评价报告&gt;的通知》（山财绩</w:t>
      </w:r>
      <w:r>
        <w:rPr>
          <w:rFonts w:ascii="仿宋_GB2312" w:hAnsi="Times New Roman" w:eastAsia="仿宋_GB2312" w:cs="Times New Roman"/>
          <w:bCs/>
          <w:sz w:val="32"/>
          <w:szCs w:val="32"/>
        </w:rPr>
        <w:t>〔20</w:t>
      </w:r>
      <w:r>
        <w:rPr>
          <w:rFonts w:hint="eastAsia" w:ascii="仿宋_GB2312" w:hAnsi="Times New Roman" w:eastAsia="仿宋_GB2312" w:cs="Times New Roman"/>
          <w:bCs/>
          <w:sz w:val="32"/>
          <w:szCs w:val="32"/>
        </w:rPr>
        <w:t>20</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2</w:t>
      </w:r>
      <w:r>
        <w:rPr>
          <w:rFonts w:ascii="仿宋_GB2312" w:hAnsi="Times New Roman" w:eastAsia="仿宋_GB2312" w:cs="Times New Roman"/>
          <w:bCs/>
          <w:sz w:val="32"/>
          <w:szCs w:val="32"/>
        </w:rPr>
        <w:t>号</w:t>
      </w:r>
      <w:r>
        <w:rPr>
          <w:rFonts w:hint="eastAsia" w:ascii="仿宋_GB2312" w:hAnsi="Times New Roman" w:eastAsia="仿宋_GB2312" w:cs="Times New Roman"/>
          <w:bCs/>
          <w:sz w:val="32"/>
          <w:szCs w:val="32"/>
        </w:rPr>
        <w:t>），</w:t>
      </w:r>
      <w:r>
        <w:rPr>
          <w:rFonts w:hint="eastAsia" w:ascii="仿宋_GB2312" w:eastAsia="仿宋_GB2312"/>
          <w:sz w:val="32"/>
          <w:szCs w:val="32"/>
        </w:rPr>
        <w:t>山亭区财政局委托北京三维众智管理咨询有限责任公司（以下简称“评价机构”）对山亭区职业中专2019年度部门整体支出进行绩效评价。</w:t>
      </w:r>
      <w:bookmarkEnd w:id="0"/>
    </w:p>
    <w:p>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在财政局指导和职业中专的积极配合下，本次绩效评价工作于2020年</w:t>
      </w:r>
      <w:r>
        <w:rPr>
          <w:rFonts w:hint="eastAsia" w:ascii="仿宋_GB2312" w:hAnsi="Times New Roman" w:eastAsia="仿宋_GB2312" w:cs="Times New Roman"/>
          <w:bCs/>
          <w:sz w:val="32"/>
          <w:szCs w:val="32"/>
          <w:lang w:val="en-US" w:eastAsia="zh-CN"/>
        </w:rPr>
        <w:t>6</w:t>
      </w:r>
      <w:r>
        <w:rPr>
          <w:rFonts w:hint="eastAsia" w:ascii="仿宋_GB2312" w:hAnsi="Times New Roman" w:eastAsia="仿宋_GB2312" w:cs="Times New Roman"/>
          <w:bCs/>
          <w:sz w:val="32"/>
          <w:szCs w:val="32"/>
        </w:rPr>
        <w:t>月</w:t>
      </w:r>
      <w:r>
        <w:rPr>
          <w:rFonts w:hint="eastAsia" w:ascii="仿宋_GB2312" w:hAnsi="Times New Roman" w:eastAsia="仿宋_GB2312" w:cs="Times New Roman"/>
          <w:bCs/>
          <w:sz w:val="32"/>
          <w:szCs w:val="32"/>
          <w:lang w:val="en-US" w:eastAsia="zh-CN"/>
        </w:rPr>
        <w:t>10日</w:t>
      </w:r>
      <w:r>
        <w:rPr>
          <w:rFonts w:hint="eastAsia" w:ascii="仿宋_GB2312" w:hAnsi="Times New Roman" w:eastAsia="仿宋_GB2312" w:cs="Times New Roman"/>
          <w:bCs/>
          <w:sz w:val="32"/>
          <w:szCs w:val="32"/>
        </w:rPr>
        <w:t>顺利完成。现将有关情况报告如下。</w:t>
      </w:r>
    </w:p>
    <w:p>
      <w:pPr>
        <w:pStyle w:val="2"/>
        <w:spacing w:line="240" w:lineRule="auto"/>
        <w:ind w:firstLine="640"/>
        <w:rPr>
          <w:rFonts w:ascii="黑体" w:hAnsi="黑体" w:cs="黑体"/>
          <w:sz w:val="32"/>
          <w:szCs w:val="32"/>
        </w:rPr>
      </w:pPr>
      <w:bookmarkStart w:id="1" w:name="_Toc505776210"/>
      <w:bookmarkStart w:id="2" w:name="_Toc19818"/>
      <w:bookmarkStart w:id="3" w:name="_Toc6071"/>
      <w:r>
        <w:rPr>
          <w:rFonts w:hint="eastAsia" w:ascii="黑体" w:hAnsi="黑体" w:cs="黑体"/>
          <w:sz w:val="32"/>
          <w:szCs w:val="32"/>
        </w:rPr>
        <w:t>一、部门基本情况</w:t>
      </w:r>
      <w:bookmarkEnd w:id="1"/>
      <w:bookmarkEnd w:id="2"/>
      <w:bookmarkEnd w:id="3"/>
    </w:p>
    <w:p>
      <w:pPr>
        <w:pStyle w:val="3"/>
        <w:spacing w:line="240" w:lineRule="auto"/>
        <w:ind w:firstLine="643"/>
      </w:pPr>
      <w:bookmarkStart w:id="4" w:name="_Toc31407"/>
      <w:bookmarkStart w:id="5" w:name="_Toc31348"/>
      <w:r>
        <w:rPr>
          <w:rFonts w:hint="eastAsia" w:ascii="楷体_GB2312" w:hAnsi="楷体_GB2312" w:eastAsia="楷体_GB2312" w:cs="楷体_GB2312"/>
          <w:bCs w:val="0"/>
        </w:rPr>
        <w:t>（一）机构人员情况</w:t>
      </w:r>
      <w:bookmarkEnd w:id="4"/>
      <w:bookmarkEnd w:id="5"/>
    </w:p>
    <w:p>
      <w:pPr>
        <w:ind w:firstLine="643" w:firstLineChars="200"/>
        <w:rPr>
          <w:rFonts w:ascii="仿宋_GB2312" w:eastAsia="仿宋_GB2312"/>
          <w:bCs/>
          <w:sz w:val="32"/>
          <w:szCs w:val="32"/>
        </w:rPr>
      </w:pPr>
      <w:r>
        <w:rPr>
          <w:rFonts w:hint="eastAsia" w:ascii="仿宋_GB2312" w:eastAsia="仿宋_GB2312"/>
          <w:b/>
          <w:bCs/>
          <w:sz w:val="32"/>
          <w:szCs w:val="32"/>
        </w:rPr>
        <w:t>1.机构设置情况。</w:t>
      </w:r>
      <w:r>
        <w:rPr>
          <w:rFonts w:hint="eastAsia" w:ascii="仿宋_GB2312" w:eastAsia="仿宋_GB2312"/>
          <w:bCs/>
          <w:sz w:val="32"/>
          <w:szCs w:val="32"/>
        </w:rPr>
        <w:t>职业中专设有办公室、总务处、教务处、教科室、招生就业办、资助办、团委、政教处、电教中心、安全办、工会等11个部门,分别负责人才培养、在职培训、科学研究、组织管理、综合服务等职责。</w:t>
      </w:r>
    </w:p>
    <w:p>
      <w:pPr>
        <w:ind w:firstLine="643" w:firstLineChars="200"/>
        <w:rPr>
          <w:rFonts w:ascii="仿宋_GB2312" w:eastAsia="仿宋_GB2312"/>
          <w:bCs/>
          <w:sz w:val="32"/>
          <w:szCs w:val="32"/>
        </w:rPr>
      </w:pPr>
      <w:r>
        <w:rPr>
          <w:rFonts w:hint="eastAsia" w:ascii="仿宋_GB2312" w:hAnsi="仿宋_GB2312" w:eastAsia="仿宋_GB2312" w:cs="仿宋_GB2312"/>
          <w:b/>
          <w:sz w:val="32"/>
          <w:szCs w:val="32"/>
        </w:rPr>
        <w:t>2.人员构成情况。</w:t>
      </w:r>
      <w:r>
        <w:rPr>
          <w:rFonts w:hint="eastAsia" w:ascii="仿宋_GB2312" w:eastAsia="仿宋_GB2312"/>
          <w:bCs/>
          <w:sz w:val="32"/>
          <w:szCs w:val="32"/>
        </w:rPr>
        <w:t>职业中专2019年末在职员工75人，其中事业编制人员68人，临时聘用教职工7人。</w:t>
      </w:r>
    </w:p>
    <w:p>
      <w:pPr>
        <w:pStyle w:val="3"/>
        <w:spacing w:line="240" w:lineRule="auto"/>
        <w:ind w:firstLine="643"/>
        <w:rPr>
          <w:rFonts w:ascii="楷体_GB2312" w:hAnsi="楷体_GB2312" w:eastAsia="楷体_GB2312" w:cs="楷体_GB2312"/>
          <w:bCs w:val="0"/>
        </w:rPr>
      </w:pPr>
      <w:bookmarkStart w:id="6" w:name="_Toc4410"/>
      <w:bookmarkStart w:id="7" w:name="_Toc19799"/>
      <w:r>
        <w:rPr>
          <w:rFonts w:hint="eastAsia" w:ascii="楷体_GB2312" w:hAnsi="楷体_GB2312" w:eastAsia="楷体_GB2312" w:cs="楷体_GB2312"/>
          <w:bCs w:val="0"/>
        </w:rPr>
        <w:t>（二）部门职能情况</w:t>
      </w:r>
      <w:bookmarkEnd w:id="6"/>
      <w:bookmarkEnd w:id="7"/>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根据《关于印发&lt;山亭区职业中专职能配置、内设机构和人员编制规定&gt;的通知》，职业中专具体职能如下：</w:t>
      </w:r>
      <w:bookmarkStart w:id="8" w:name="_Toc24739"/>
      <w:bookmarkStart w:id="9" w:name="_Toc5030"/>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（1）办好全日制中等职业教育，推进规模化、特色化发展，提高在校生职业素质和技术技能水平。</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（2）统筹全区各部门职业培训资源，面向社会开展各种职业技术技能培训。</w:t>
      </w:r>
    </w:p>
    <w:p>
      <w:pPr>
        <w:ind w:firstLine="640" w:firstLineChars="200"/>
        <w:jc w:val="left"/>
        <w:rPr>
          <w:rFonts w:ascii="仿宋_GB2312" w:hAnsi="黑体" w:eastAsia="仿宋_GB2312"/>
          <w:b/>
          <w:sz w:val="32"/>
          <w:szCs w:val="32"/>
        </w:rPr>
      </w:pPr>
      <w:r>
        <w:rPr>
          <w:rFonts w:hint="eastAsia" w:ascii="仿宋_GB2312" w:hAnsi="黑体" w:eastAsia="仿宋_GB2312"/>
          <w:sz w:val="32"/>
          <w:szCs w:val="32"/>
        </w:rPr>
        <w:t>（3）加强校企合作和对外交流，增强职业教育培训的影响力。</w:t>
      </w:r>
    </w:p>
    <w:p>
      <w:pPr>
        <w:pStyle w:val="3"/>
        <w:spacing w:line="240" w:lineRule="auto"/>
        <w:ind w:firstLine="643"/>
      </w:pPr>
      <w:r>
        <w:rPr>
          <w:rFonts w:hint="eastAsia" w:ascii="楷体_GB2312" w:hAnsi="楷体_GB2312" w:eastAsia="楷体_GB2312" w:cs="楷体_GB2312"/>
          <w:bCs w:val="0"/>
        </w:rPr>
        <w:t>（三）绩效目标设置情况</w:t>
      </w:r>
      <w:bookmarkEnd w:id="8"/>
      <w:bookmarkEnd w:id="9"/>
      <w:bookmarkStart w:id="10" w:name="_Toc48921616"/>
      <w:bookmarkStart w:id="11" w:name="_Toc4892184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业中专在预算申报阶段未设置部门整体绩效目标及指标，在本次评价工作开展过程中评价机构辅导职业中专补充填报了部门整体支出绩效目标申报表，并出具了部门整体支出绩效自评报告。完善后的绩效目标为：</w:t>
      </w:r>
      <w:bookmarkEnd w:id="10"/>
      <w:bookmarkEnd w:id="11"/>
      <w:r>
        <w:rPr>
          <w:rFonts w:hint="eastAsia" w:ascii="仿宋_GB2312" w:hAnsi="Times New Roman" w:eastAsia="仿宋_GB2312" w:cs="Times New Roman"/>
          <w:bCs/>
          <w:sz w:val="32"/>
          <w:szCs w:val="32"/>
        </w:rPr>
        <w:t>一是扩大学校办学规模，将学生培养成实践能力强、专业素质高的应用型人才。二是加强教师队伍建设，促进教师专业化成长。三是招收资助贫困家庭学生，使其顺利完成学业。四是大力开展各项教育教学检查活动，提高教学质量。</w:t>
      </w:r>
      <w:r>
        <w:rPr>
          <w:rFonts w:hint="eastAsia" w:ascii="仿宋_GB2312" w:hAnsi="仿宋_GB2312" w:eastAsia="仿宋_GB2312" w:cs="仿宋_GB2312"/>
          <w:sz w:val="32"/>
          <w:szCs w:val="32"/>
        </w:rPr>
        <w:t>具体绩效目标申报表详见表1。</w:t>
      </w:r>
      <w:bookmarkStart w:id="12" w:name="_Toc1320"/>
    </w:p>
    <w:p>
      <w:pPr>
        <w:adjustRightInd w:val="0"/>
        <w:snapToGrid w:val="0"/>
        <w:jc w:val="center"/>
        <w:rPr>
          <w:rFonts w:ascii="仿宋_GB2312" w:hAnsi="Times New Roman" w:eastAsia="仿宋_GB2312" w:cs="Times New Roman"/>
          <w:b/>
          <w:bCs/>
          <w:sz w:val="28"/>
          <w:szCs w:val="32"/>
        </w:rPr>
      </w:pPr>
      <w:bookmarkStart w:id="13" w:name="_Toc48921623"/>
      <w:bookmarkStart w:id="14" w:name="_Toc48921853"/>
      <w:r>
        <w:rPr>
          <w:rFonts w:hint="eastAsia" w:ascii="仿宋_GB2312" w:hAnsi="Times New Roman" w:eastAsia="仿宋_GB2312" w:cs="Times New Roman"/>
          <w:b/>
          <w:bCs/>
          <w:sz w:val="28"/>
          <w:szCs w:val="32"/>
        </w:rPr>
        <w:t>表1：2019年度职业中专部门整体绩效目标申报表</w:t>
      </w:r>
      <w:bookmarkEnd w:id="13"/>
      <w:bookmarkEnd w:id="14"/>
    </w:p>
    <w:tbl>
      <w:tblPr>
        <w:tblStyle w:val="16"/>
        <w:tblpPr w:leftFromText="180" w:rightFromText="180" w:vertAnchor="text" w:horzAnchor="page" w:tblpX="1482" w:tblpY="584"/>
        <w:tblOverlap w:val="never"/>
        <w:tblW w:w="53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37"/>
        <w:gridCol w:w="1276"/>
        <w:gridCol w:w="1413"/>
        <w:gridCol w:w="2511"/>
        <w:gridCol w:w="158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61" w:type="pct"/>
            <w:vMerge w:val="restart"/>
            <w:shd w:val="clear" w:color="auto" w:fill="A5A5A5" w:themeFill="background1" w:themeFillShade="A6"/>
            <w:vAlign w:val="center"/>
          </w:tcPr>
          <w:p>
            <w:pPr>
              <w:adjustRightInd w:val="0"/>
              <w:snapToGrid w:val="0"/>
              <w:jc w:val="center"/>
              <w:rPr>
                <w:rFonts w:ascii="仿宋_GB2312" w:hAnsi="Calibri" w:eastAsia="仿宋_GB2312"/>
                <w:kern w:val="0"/>
                <w:sz w:val="22"/>
              </w:rPr>
            </w:pPr>
            <w:r>
              <w:rPr>
                <w:rFonts w:hint="eastAsia" w:ascii="仿宋_GB2312" w:hAnsi="Calibri" w:eastAsia="仿宋_GB2312" w:cs="仿宋_GB2312"/>
                <w:kern w:val="0"/>
                <w:sz w:val="22"/>
              </w:rPr>
              <w:t>部门整体支出年度绩效指标</w:t>
            </w:r>
          </w:p>
        </w:tc>
        <w:tc>
          <w:tcPr>
            <w:tcW w:w="348" w:type="pct"/>
            <w:shd w:val="clear" w:color="auto" w:fill="A5A5A5" w:themeFill="background1" w:themeFillShade="A6"/>
            <w:vAlign w:val="center"/>
          </w:tcPr>
          <w:p>
            <w:pPr>
              <w:adjustRightInd w:val="0"/>
              <w:snapToGrid w:val="0"/>
              <w:jc w:val="center"/>
              <w:rPr>
                <w:rFonts w:ascii="仿宋_GB2312" w:hAnsi="Calibri" w:eastAsia="仿宋_GB2312"/>
                <w:kern w:val="0"/>
                <w:sz w:val="22"/>
              </w:rPr>
            </w:pPr>
          </w:p>
        </w:tc>
        <w:tc>
          <w:tcPr>
            <w:tcW w:w="697" w:type="pct"/>
            <w:shd w:val="clear" w:color="auto" w:fill="A5A5A5" w:themeFill="background1" w:themeFillShade="A6"/>
            <w:vAlign w:val="center"/>
          </w:tcPr>
          <w:p>
            <w:pPr>
              <w:adjustRightInd w:val="0"/>
              <w:snapToGrid w:val="0"/>
              <w:jc w:val="center"/>
              <w:rPr>
                <w:rFonts w:ascii="仿宋_GB2312" w:hAnsi="宋体" w:eastAsia="仿宋_GB2312" w:cs="仿宋_GB2312"/>
                <w:kern w:val="0"/>
                <w:sz w:val="22"/>
              </w:rPr>
            </w:pPr>
            <w:r>
              <w:rPr>
                <w:rFonts w:hint="eastAsia" w:ascii="仿宋_GB2312" w:hAnsi="宋体" w:eastAsia="仿宋_GB2312" w:cs="仿宋_GB2312"/>
                <w:kern w:val="0"/>
                <w:sz w:val="22"/>
              </w:rPr>
              <w:t>一级指标</w:t>
            </w:r>
          </w:p>
        </w:tc>
        <w:tc>
          <w:tcPr>
            <w:tcW w:w="772" w:type="pct"/>
            <w:shd w:val="clear" w:color="auto" w:fill="A5A5A5" w:themeFill="background1" w:themeFillShade="A6"/>
            <w:vAlign w:val="center"/>
          </w:tcPr>
          <w:p>
            <w:pPr>
              <w:adjustRightInd w:val="0"/>
              <w:snapToGrid w:val="0"/>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二级指标</w:t>
            </w:r>
          </w:p>
        </w:tc>
        <w:tc>
          <w:tcPr>
            <w:tcW w:w="1371" w:type="pct"/>
            <w:shd w:val="clear" w:color="auto" w:fill="A5A5A5" w:themeFill="background1" w:themeFillShade="A6"/>
            <w:vAlign w:val="center"/>
          </w:tcPr>
          <w:p>
            <w:pPr>
              <w:adjustRightInd w:val="0"/>
              <w:snapToGrid w:val="0"/>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三级指标</w:t>
            </w:r>
          </w:p>
        </w:tc>
        <w:tc>
          <w:tcPr>
            <w:tcW w:w="866" w:type="pct"/>
            <w:shd w:val="clear" w:color="auto" w:fill="A5A5A5" w:themeFill="background1" w:themeFillShade="A6"/>
            <w:vAlign w:val="center"/>
          </w:tcPr>
          <w:p>
            <w:pPr>
              <w:adjustRightInd w:val="0"/>
              <w:snapToGrid w:val="0"/>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指标值</w:t>
            </w:r>
          </w:p>
        </w:tc>
        <w:tc>
          <w:tcPr>
            <w:tcW w:w="582" w:type="pct"/>
            <w:shd w:val="clear" w:color="auto" w:fill="A5A5A5" w:themeFill="background1" w:themeFillShade="A6"/>
            <w:vAlign w:val="center"/>
          </w:tcPr>
          <w:p>
            <w:pPr>
              <w:adjustRightInd w:val="0"/>
              <w:snapToGrid w:val="0"/>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61" w:type="pct"/>
            <w:vMerge w:val="continue"/>
            <w:vAlign w:val="center"/>
          </w:tcPr>
          <w:p>
            <w:pPr>
              <w:widowControl/>
              <w:spacing w:line="276" w:lineRule="auto"/>
              <w:jc w:val="center"/>
              <w:rPr>
                <w:rFonts w:ascii="仿宋_GB2312" w:hAnsi="Calibri" w:eastAsia="仿宋_GB2312"/>
                <w:kern w:val="0"/>
                <w:sz w:val="22"/>
              </w:rPr>
            </w:pPr>
          </w:p>
        </w:tc>
        <w:tc>
          <w:tcPr>
            <w:tcW w:w="348" w:type="pct"/>
            <w:vMerge w:val="restart"/>
            <w:vAlign w:val="center"/>
          </w:tcPr>
          <w:p>
            <w:pPr>
              <w:widowControl/>
              <w:spacing w:line="276" w:lineRule="auto"/>
              <w:jc w:val="center"/>
              <w:rPr>
                <w:rFonts w:ascii="仿宋_GB2312" w:hAnsi="Calibri" w:eastAsia="仿宋_GB2312"/>
                <w:kern w:val="0"/>
                <w:sz w:val="22"/>
              </w:rPr>
            </w:pPr>
            <w:r>
              <w:rPr>
                <w:rFonts w:hint="eastAsia" w:ascii="仿宋_GB2312" w:hAnsi="Calibri" w:eastAsia="仿宋_GB2312"/>
                <w:bCs/>
                <w:kern w:val="0"/>
                <w:sz w:val="22"/>
              </w:rPr>
              <w:t>扩大学校办学规模</w:t>
            </w:r>
          </w:p>
        </w:tc>
        <w:tc>
          <w:tcPr>
            <w:tcW w:w="697" w:type="pct"/>
            <w:vMerge w:val="restart"/>
            <w:vAlign w:val="center"/>
          </w:tcPr>
          <w:p>
            <w:pPr>
              <w:widowControl/>
              <w:spacing w:line="276" w:lineRule="auto"/>
              <w:jc w:val="center"/>
              <w:rPr>
                <w:rFonts w:ascii="仿宋_GB2312" w:hAnsi="Calibri" w:eastAsia="仿宋_GB2312"/>
                <w:kern w:val="0"/>
                <w:sz w:val="22"/>
              </w:rPr>
            </w:pPr>
            <w:r>
              <w:rPr>
                <w:rFonts w:hint="eastAsia" w:ascii="仿宋_GB2312" w:hAnsi="宋体" w:eastAsia="仿宋_GB2312" w:cs="仿宋_GB2312"/>
                <w:kern w:val="0"/>
                <w:sz w:val="22"/>
              </w:rPr>
              <w:t>产出指标</w:t>
            </w:r>
          </w:p>
        </w:tc>
        <w:tc>
          <w:tcPr>
            <w:tcW w:w="772" w:type="pct"/>
            <w:vMerge w:val="restar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数量指标</w:t>
            </w: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在校生总人数</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1000人</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61" w:type="pct"/>
            <w:vMerge w:val="continue"/>
            <w:vAlign w:val="center"/>
          </w:tcPr>
          <w:p>
            <w:pPr>
              <w:widowControl/>
              <w:spacing w:line="276" w:lineRule="auto"/>
              <w:ind w:left="880" w:hanging="880" w:hangingChars="400"/>
              <w:jc w:val="left"/>
              <w:rPr>
                <w:rFonts w:ascii="Calibri" w:hAnsi="Calibri" w:cs="Calibri"/>
                <w:kern w:val="0"/>
                <w:sz w:val="22"/>
                <w:lang w:eastAsia="en-US"/>
              </w:rPr>
            </w:pPr>
          </w:p>
        </w:tc>
        <w:tc>
          <w:tcPr>
            <w:tcW w:w="348" w:type="pct"/>
            <w:vMerge w:val="continue"/>
            <w:vAlign w:val="center"/>
          </w:tcPr>
          <w:p>
            <w:pPr>
              <w:widowControl/>
              <w:spacing w:line="276" w:lineRule="auto"/>
              <w:ind w:left="880" w:hanging="880" w:hangingChars="400"/>
              <w:jc w:val="left"/>
              <w:rPr>
                <w:rFonts w:ascii="Calibri" w:hAnsi="Calibri" w:cs="Calibri"/>
                <w:kern w:val="0"/>
                <w:sz w:val="22"/>
                <w:lang w:eastAsia="en-US"/>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lang w:eastAsia="en-US"/>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组织或参加技能大赛次数</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ascii="仿宋_GB2312" w:hAnsi="宋体" w:eastAsia="仿宋_GB2312" w:cs="仿宋_GB2312"/>
                <w:kern w:val="0"/>
                <w:sz w:val="22"/>
              </w:rPr>
              <w:t>1</w:t>
            </w:r>
            <w:r>
              <w:rPr>
                <w:rFonts w:hint="eastAsia" w:ascii="仿宋_GB2312" w:hAnsi="宋体" w:eastAsia="仿宋_GB2312" w:cs="仿宋_GB2312"/>
                <w:kern w:val="0"/>
                <w:sz w:val="22"/>
              </w:rPr>
              <w:t>次</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1" w:type="pct"/>
            <w:vMerge w:val="continue"/>
            <w:vAlign w:val="center"/>
          </w:tcPr>
          <w:p>
            <w:pPr>
              <w:widowControl/>
              <w:spacing w:line="276" w:lineRule="auto"/>
              <w:ind w:left="880" w:hanging="880" w:hangingChars="400"/>
              <w:jc w:val="left"/>
              <w:rPr>
                <w:rFonts w:ascii="Calibri" w:hAnsi="Calibri" w:cs="Calibri"/>
                <w:kern w:val="0"/>
                <w:sz w:val="22"/>
              </w:rPr>
            </w:pPr>
          </w:p>
        </w:tc>
        <w:tc>
          <w:tcPr>
            <w:tcW w:w="348" w:type="pct"/>
            <w:vMerge w:val="continue"/>
            <w:vAlign w:val="center"/>
          </w:tcPr>
          <w:p>
            <w:pPr>
              <w:widowControl/>
              <w:spacing w:line="276" w:lineRule="auto"/>
              <w:ind w:left="880" w:hanging="880" w:hangingChars="400"/>
              <w:jc w:val="left"/>
              <w:rPr>
                <w:rFonts w:ascii="Calibri" w:hAnsi="Calibri" w:cs="Calibri"/>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rPr>
                <w:rFonts w:ascii="仿宋_GB2312" w:hAnsi="宋体" w:eastAsia="仿宋_GB2312" w:cs="仿宋_GB2312"/>
                <w:kern w:val="0"/>
                <w:sz w:val="22"/>
              </w:rPr>
            </w:pPr>
            <w:r>
              <w:rPr>
                <w:rFonts w:hint="eastAsia" w:ascii="仿宋_GB2312" w:hAnsi="宋体" w:eastAsia="仿宋_GB2312" w:cs="仿宋_GB2312"/>
                <w:kern w:val="0"/>
                <w:sz w:val="22"/>
              </w:rPr>
              <w:t>购置教学设备</w:t>
            </w:r>
          </w:p>
        </w:tc>
        <w:tc>
          <w:tcPr>
            <w:tcW w:w="866" w:type="pct"/>
            <w:vAlign w:val="center"/>
          </w:tcPr>
          <w:p>
            <w:pPr>
              <w:widowControl/>
              <w:spacing w:line="276" w:lineRule="auto"/>
              <w:rPr>
                <w:rFonts w:ascii="仿宋_GB2312" w:hAnsi="宋体" w:eastAsia="仿宋_GB2312" w:cs="仿宋_GB2312"/>
                <w:kern w:val="0"/>
                <w:sz w:val="22"/>
              </w:rPr>
            </w:pPr>
            <w:r>
              <w:rPr>
                <w:rFonts w:hint="eastAsia" w:ascii="仿宋_GB2312" w:hAnsi="宋体" w:eastAsia="仿宋_GB2312" w:cs="仿宋_GB2312"/>
                <w:kern w:val="0"/>
                <w:sz w:val="22"/>
              </w:rPr>
              <w:t>4台</w:t>
            </w:r>
          </w:p>
        </w:tc>
        <w:tc>
          <w:tcPr>
            <w:tcW w:w="582" w:type="pct"/>
            <w:vAlign w:val="center"/>
          </w:tcPr>
          <w:p>
            <w:pPr>
              <w:widowControl/>
              <w:spacing w:line="276" w:lineRule="auto"/>
              <w:ind w:left="880" w:hanging="880" w:hangingChars="400"/>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61" w:type="pct"/>
            <w:vMerge w:val="continue"/>
            <w:vAlign w:val="center"/>
          </w:tcPr>
          <w:p>
            <w:pPr>
              <w:widowControl/>
              <w:spacing w:line="276" w:lineRule="auto"/>
              <w:ind w:left="880" w:hanging="880" w:hangingChars="400"/>
              <w:jc w:val="left"/>
              <w:rPr>
                <w:rFonts w:ascii="Calibri" w:hAnsi="Calibri" w:cs="Calibri"/>
                <w:kern w:val="0"/>
                <w:sz w:val="22"/>
              </w:rPr>
            </w:pPr>
          </w:p>
        </w:tc>
        <w:tc>
          <w:tcPr>
            <w:tcW w:w="348" w:type="pct"/>
            <w:vMerge w:val="continue"/>
            <w:vAlign w:val="center"/>
          </w:tcPr>
          <w:p>
            <w:pPr>
              <w:widowControl/>
              <w:spacing w:line="276" w:lineRule="auto"/>
              <w:ind w:left="880" w:hanging="880" w:hangingChars="400"/>
              <w:jc w:val="left"/>
              <w:rPr>
                <w:rFonts w:ascii="Calibri" w:hAnsi="Calibri" w:cs="Calibri"/>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实训课开课率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100%</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61" w:type="pct"/>
            <w:vMerge w:val="continue"/>
            <w:vAlign w:val="center"/>
          </w:tcPr>
          <w:p>
            <w:pPr>
              <w:widowControl/>
              <w:spacing w:line="276" w:lineRule="auto"/>
              <w:ind w:left="880" w:hanging="880" w:hangingChars="400"/>
              <w:jc w:val="left"/>
              <w:rPr>
                <w:rFonts w:ascii="Calibri" w:hAnsi="Calibri" w:cs="Calibri"/>
                <w:kern w:val="0"/>
                <w:sz w:val="22"/>
              </w:rPr>
            </w:pPr>
          </w:p>
        </w:tc>
        <w:tc>
          <w:tcPr>
            <w:tcW w:w="348" w:type="pct"/>
            <w:vMerge w:val="continue"/>
            <w:vAlign w:val="center"/>
          </w:tcPr>
          <w:p>
            <w:pPr>
              <w:widowControl/>
              <w:spacing w:line="276" w:lineRule="auto"/>
              <w:ind w:left="880" w:hanging="880" w:hangingChars="400"/>
              <w:jc w:val="left"/>
              <w:rPr>
                <w:rFonts w:ascii="Calibri" w:hAnsi="Calibri" w:cs="Calibri"/>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质量指标</w:t>
            </w: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教学设施设备使用率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100%</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vMerge w:val="continue"/>
            <w:vAlign w:val="center"/>
          </w:tcPr>
          <w:p>
            <w:pPr>
              <w:widowControl/>
              <w:spacing w:line="276" w:lineRule="auto"/>
              <w:ind w:left="880" w:hanging="880" w:hangingChars="400"/>
              <w:jc w:val="left"/>
              <w:rPr>
                <w:rFonts w:ascii="Calibri" w:hAnsi="Calibri" w:cs="Calibri"/>
                <w:kern w:val="0"/>
                <w:sz w:val="22"/>
                <w:lang w:eastAsia="en-US"/>
              </w:rPr>
            </w:pPr>
          </w:p>
        </w:tc>
        <w:tc>
          <w:tcPr>
            <w:tcW w:w="348" w:type="pct"/>
            <w:vMerge w:val="continue"/>
            <w:vAlign w:val="center"/>
          </w:tcPr>
          <w:p>
            <w:pPr>
              <w:widowControl/>
              <w:spacing w:line="276" w:lineRule="auto"/>
              <w:ind w:left="880" w:hanging="880" w:hangingChars="400"/>
              <w:jc w:val="left"/>
              <w:rPr>
                <w:rFonts w:ascii="Calibri" w:hAnsi="Calibri" w:cs="Calibri"/>
                <w:kern w:val="0"/>
                <w:sz w:val="22"/>
                <w:lang w:eastAsia="en-US"/>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lang w:eastAsia="en-US"/>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学生技能考证取证率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10%</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学生应知应会合格率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100%</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毕业证书获取比例</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ascii="仿宋_GB2312" w:hAnsi="宋体" w:eastAsia="仿宋_GB2312" w:cs="仿宋_GB2312"/>
                <w:kern w:val="0"/>
                <w:sz w:val="22"/>
              </w:rPr>
              <w:t>100</w:t>
            </w:r>
            <w:r>
              <w:rPr>
                <w:rFonts w:hint="eastAsia" w:ascii="仿宋_GB2312" w:hAnsi="宋体" w:eastAsia="仿宋_GB2312" w:cs="仿宋_GB2312"/>
                <w:kern w:val="0"/>
                <w:sz w:val="22"/>
              </w:rPr>
              <w:t>%</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时效指标</w:t>
            </w: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新生招生工作完成时间</w:t>
            </w:r>
          </w:p>
        </w:tc>
        <w:tc>
          <w:tcPr>
            <w:tcW w:w="866" w:type="pct"/>
          </w:tcPr>
          <w:p>
            <w:pPr>
              <w:spacing w:line="276" w:lineRule="auto"/>
              <w:rPr>
                <w:rFonts w:ascii="仿宋_GB2312" w:hAnsi="宋体" w:eastAsia="仿宋_GB2312" w:cs="仿宋_GB2312"/>
                <w:kern w:val="0"/>
                <w:sz w:val="22"/>
              </w:rPr>
            </w:pPr>
            <w:r>
              <w:rPr>
                <w:rFonts w:hint="eastAsia" w:ascii="仿宋_GB2312" w:hAnsi="宋体" w:eastAsia="仿宋_GB2312" w:cs="仿宋_GB2312"/>
                <w:kern w:val="0"/>
                <w:sz w:val="22"/>
              </w:rPr>
              <w:t>9月1日前</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毕业生就业完成时间</w:t>
            </w:r>
          </w:p>
        </w:tc>
        <w:tc>
          <w:tcPr>
            <w:tcW w:w="866" w:type="pct"/>
          </w:tcPr>
          <w:p>
            <w:pPr>
              <w:widowControl/>
              <w:spacing w:line="276" w:lineRule="auto"/>
              <w:rPr>
                <w:rFonts w:ascii="仿宋_GB2312" w:hAnsi="宋体" w:eastAsia="仿宋_GB2312" w:cs="仿宋_GB2312"/>
                <w:kern w:val="0"/>
                <w:sz w:val="22"/>
              </w:rPr>
            </w:pPr>
            <w:r>
              <w:rPr>
                <w:rFonts w:hint="eastAsia" w:ascii="仿宋_GB2312" w:hAnsi="宋体" w:eastAsia="仿宋_GB2312" w:cs="仿宋_GB2312"/>
                <w:kern w:val="0"/>
                <w:sz w:val="22"/>
              </w:rPr>
              <w:t>12月31日前</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效益指标</w:t>
            </w:r>
          </w:p>
        </w:tc>
        <w:tc>
          <w:tcPr>
            <w:tcW w:w="772"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经济效益</w:t>
            </w: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资本保值增值率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lang w:eastAsia="en-US"/>
              </w:rPr>
            </w:pPr>
            <w:r>
              <w:rPr>
                <w:rFonts w:hint="eastAsia" w:ascii="仿宋_GB2312" w:hAnsi="宋体" w:eastAsia="仿宋_GB2312" w:cs="仿宋_GB2312"/>
                <w:kern w:val="0"/>
                <w:sz w:val="22"/>
              </w:rPr>
              <w:t>100</w:t>
            </w:r>
            <w:r>
              <w:rPr>
                <w:rFonts w:hint="eastAsia" w:ascii="仿宋_GB2312" w:hAnsi="宋体" w:eastAsia="仿宋_GB2312" w:cs="仿宋_GB2312"/>
                <w:kern w:val="0"/>
                <w:sz w:val="22"/>
                <w:lang w:eastAsia="en-US"/>
              </w:rPr>
              <w:t>%</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Calibri" w:eastAsia="仿宋_GB2312"/>
                <w:kern w:val="0"/>
                <w:sz w:val="22"/>
                <w:lang w:eastAsia="en-US"/>
              </w:rPr>
            </w:pPr>
          </w:p>
        </w:tc>
        <w:tc>
          <w:tcPr>
            <w:tcW w:w="772" w:type="pct"/>
            <w:vMerge w:val="restar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社会效益</w:t>
            </w:r>
          </w:p>
        </w:tc>
        <w:tc>
          <w:tcPr>
            <w:tcW w:w="1371" w:type="pct"/>
            <w:vAlign w:val="center"/>
          </w:tcPr>
          <w:p>
            <w:pPr>
              <w:widowControl/>
              <w:spacing w:line="276" w:lineRule="auto"/>
              <w:jc w:val="left"/>
              <w:rPr>
                <w:rFonts w:ascii="仿宋_GB2312" w:hAnsi="Calibri" w:eastAsia="仿宋_GB2312"/>
                <w:kern w:val="0"/>
                <w:sz w:val="22"/>
              </w:rPr>
            </w:pPr>
            <w:r>
              <w:rPr>
                <w:rFonts w:hint="eastAsia" w:ascii="仿宋_GB2312" w:hAnsi="Calibri" w:eastAsia="仿宋_GB2312"/>
                <w:kern w:val="0"/>
                <w:sz w:val="22"/>
              </w:rPr>
              <w:t>提高学生的综合素质和职业素养</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显著</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Calibri" w:eastAsia="仿宋_GB2312"/>
                <w:kern w:val="0"/>
                <w:sz w:val="22"/>
                <w:lang w:eastAsia="en-US"/>
              </w:rPr>
            </w:pPr>
          </w:p>
        </w:tc>
        <w:tc>
          <w:tcPr>
            <w:tcW w:w="772" w:type="pct"/>
            <w:vMerge w:val="continue"/>
            <w:vAlign w:val="center"/>
          </w:tcPr>
          <w:p>
            <w:pPr>
              <w:widowControl/>
              <w:spacing w:line="276" w:lineRule="auto"/>
              <w:ind w:left="880" w:hanging="880" w:hangingChars="400"/>
              <w:jc w:val="left"/>
              <w:rPr>
                <w:rFonts w:ascii="仿宋_GB2312" w:hAnsi="Calibri" w:eastAsia="仿宋_GB2312"/>
                <w:kern w:val="0"/>
                <w:sz w:val="22"/>
              </w:rPr>
            </w:pP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毕业生就业率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ascii="仿宋_GB2312" w:hAnsi="宋体" w:eastAsia="仿宋_GB2312" w:cs="仿宋_GB2312"/>
                <w:kern w:val="0"/>
                <w:sz w:val="22"/>
              </w:rPr>
              <w:t>95</w:t>
            </w:r>
            <w:r>
              <w:rPr>
                <w:rFonts w:hint="eastAsia" w:ascii="仿宋_GB2312" w:hAnsi="宋体" w:eastAsia="仿宋_GB2312" w:cs="仿宋_GB2312"/>
                <w:kern w:val="0"/>
                <w:sz w:val="22"/>
              </w:rPr>
              <w:t>%</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Calibri" w:eastAsia="仿宋_GB2312"/>
                <w:kern w:val="0"/>
                <w:sz w:val="22"/>
              </w:rPr>
            </w:pPr>
          </w:p>
        </w:tc>
        <w:tc>
          <w:tcPr>
            <w:tcW w:w="772"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满意度指标</w:t>
            </w:r>
          </w:p>
        </w:tc>
        <w:tc>
          <w:tcPr>
            <w:tcW w:w="1371"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学生满意度</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90%</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restart"/>
            <w:vAlign w:val="center"/>
          </w:tcPr>
          <w:p>
            <w:pPr>
              <w:widowControl/>
              <w:spacing w:line="276" w:lineRule="auto"/>
              <w:jc w:val="left"/>
              <w:rPr>
                <w:rFonts w:ascii="仿宋_GB2312" w:hAnsi="Calibri" w:eastAsia="仿宋_GB2312"/>
                <w:kern w:val="0"/>
                <w:sz w:val="22"/>
              </w:rPr>
            </w:pPr>
            <w:r>
              <w:rPr>
                <w:rFonts w:hint="eastAsia" w:ascii="仿宋_GB2312" w:hAnsi="Calibri" w:eastAsia="仿宋_GB2312"/>
                <w:bCs/>
                <w:kern w:val="0"/>
                <w:sz w:val="22"/>
              </w:rPr>
              <w:t>加强教师队伍建设</w:t>
            </w:r>
          </w:p>
        </w:tc>
        <w:tc>
          <w:tcPr>
            <w:tcW w:w="697" w:type="pct"/>
            <w:vMerge w:val="restart"/>
            <w:vAlign w:val="center"/>
          </w:tcPr>
          <w:p>
            <w:pPr>
              <w:widowControl/>
              <w:spacing w:line="276" w:lineRule="auto"/>
              <w:jc w:val="center"/>
              <w:rPr>
                <w:rFonts w:ascii="仿宋_GB2312" w:hAnsi="宋体" w:eastAsia="仿宋_GB2312" w:cs="仿宋_GB2312"/>
                <w:kern w:val="0"/>
                <w:sz w:val="22"/>
              </w:rPr>
            </w:pPr>
            <w:r>
              <w:rPr>
                <w:rFonts w:hint="eastAsia" w:ascii="仿宋_GB2312" w:hAnsi="宋体" w:eastAsia="仿宋_GB2312" w:cs="仿宋_GB2312"/>
                <w:kern w:val="0"/>
                <w:sz w:val="22"/>
              </w:rPr>
              <w:t>产出指标</w:t>
            </w:r>
          </w:p>
        </w:tc>
        <w:tc>
          <w:tcPr>
            <w:tcW w:w="772" w:type="pct"/>
            <w:vMerge w:val="restar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数量指标</w:t>
            </w:r>
          </w:p>
        </w:tc>
        <w:tc>
          <w:tcPr>
            <w:tcW w:w="1371"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教师总人数</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100人</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宋体" w:eastAsia="仿宋_GB2312" w:cs="仿宋_GB2312"/>
                <w:kern w:val="0"/>
                <w:sz w:val="22"/>
                <w:lang w:eastAsia="en-US"/>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Calibri" w:eastAsia="仿宋_GB2312"/>
                <w:kern w:val="0"/>
                <w:sz w:val="22"/>
              </w:rPr>
            </w:pPr>
            <w:r>
              <w:rPr>
                <w:rFonts w:hint="eastAsia" w:ascii="仿宋_GB2312" w:hAnsi="Calibri" w:eastAsia="仿宋_GB2312"/>
                <w:kern w:val="0"/>
                <w:sz w:val="22"/>
              </w:rPr>
              <w:t>参加各项教师培训人次</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100人</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jc w:val="left"/>
              <w:rPr>
                <w:rFonts w:ascii="仿宋_GB2312" w:hAnsi="Calibri" w:eastAsia="仿宋_GB2312"/>
                <w:kern w:val="0"/>
                <w:sz w:val="22"/>
              </w:rPr>
            </w:pPr>
            <w:r>
              <w:rPr>
                <w:rFonts w:hint="eastAsia" w:ascii="仿宋_GB2312" w:hAnsi="Calibri" w:eastAsia="仿宋_GB2312"/>
                <w:kern w:val="0"/>
                <w:sz w:val="22"/>
              </w:rPr>
              <w:t>发表科研论文数量</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4篇</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宋体" w:eastAsia="仿宋_GB2312" w:cs="仿宋_GB2312"/>
                <w:kern w:val="0"/>
                <w:sz w:val="22"/>
              </w:rPr>
            </w:pPr>
          </w:p>
        </w:tc>
        <w:tc>
          <w:tcPr>
            <w:tcW w:w="772"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质量指标</w:t>
            </w:r>
          </w:p>
        </w:tc>
        <w:tc>
          <w:tcPr>
            <w:tcW w:w="1371" w:type="pct"/>
            <w:vAlign w:val="center"/>
          </w:tcPr>
          <w:p>
            <w:pPr>
              <w:widowControl/>
              <w:adjustRightInd w:val="0"/>
              <w:snapToGrid w:val="0"/>
              <w:spacing w:line="276" w:lineRule="auto"/>
              <w:jc w:val="left"/>
              <w:rPr>
                <w:rFonts w:ascii="仿宋_GB2312" w:hAnsi="Calibri" w:eastAsia="仿宋_GB2312"/>
                <w:kern w:val="0"/>
                <w:sz w:val="22"/>
              </w:rPr>
            </w:pPr>
            <w:r>
              <w:rPr>
                <w:rFonts w:hint="eastAsia" w:ascii="仿宋_GB2312" w:hAnsi="宋体" w:eastAsia="仿宋_GB2312" w:cs="仿宋_GB2312"/>
                <w:kern w:val="0"/>
                <w:sz w:val="22"/>
              </w:rPr>
              <w:t>“双师型”教师占专业专任教师的比例</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60%</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专任教师师生比</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ascii="仿宋_GB2312" w:hAnsi="Calibri" w:eastAsia="仿宋_GB2312"/>
                <w:kern w:val="0"/>
                <w:sz w:val="22"/>
              </w:rPr>
              <w:t>1</w:t>
            </w:r>
            <w:r>
              <w:rPr>
                <w:rFonts w:hint="eastAsia" w:ascii="仿宋_GB2312" w:hAnsi="Calibri" w:eastAsia="仿宋_GB2312"/>
                <w:kern w:val="0"/>
                <w:sz w:val="22"/>
              </w:rPr>
              <w:t>:</w:t>
            </w:r>
            <w:r>
              <w:rPr>
                <w:rFonts w:ascii="仿宋_GB2312" w:hAnsi="Calibri" w:eastAsia="仿宋_GB2312"/>
                <w:kern w:val="0"/>
                <w:sz w:val="22"/>
              </w:rPr>
              <w:t>20</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restart"/>
            <w:vAlign w:val="center"/>
          </w:tcPr>
          <w:p>
            <w:pPr>
              <w:widowControl/>
              <w:spacing w:line="276" w:lineRule="auto"/>
              <w:jc w:val="center"/>
              <w:rPr>
                <w:rFonts w:ascii="仿宋_GB2312" w:hAnsi="宋体" w:eastAsia="仿宋_GB2312" w:cs="仿宋_GB2312"/>
                <w:kern w:val="0"/>
                <w:sz w:val="22"/>
              </w:rPr>
            </w:pPr>
            <w:r>
              <w:rPr>
                <w:rFonts w:hint="eastAsia" w:ascii="仿宋_GB2312" w:hAnsi="宋体" w:eastAsia="仿宋_GB2312" w:cs="仿宋_GB2312"/>
                <w:kern w:val="0"/>
                <w:sz w:val="22"/>
              </w:rPr>
              <w:t>效益指标</w:t>
            </w:r>
          </w:p>
        </w:tc>
        <w:tc>
          <w:tcPr>
            <w:tcW w:w="772"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社会效益</w:t>
            </w:r>
          </w:p>
        </w:tc>
        <w:tc>
          <w:tcPr>
            <w:tcW w:w="1371" w:type="pct"/>
            <w:vAlign w:val="center"/>
          </w:tcPr>
          <w:p>
            <w:pPr>
              <w:widowControl/>
              <w:spacing w:line="276" w:lineRule="auto"/>
              <w:jc w:val="left"/>
              <w:rPr>
                <w:rFonts w:ascii="仿宋_GB2312" w:hAnsi="Calibri" w:eastAsia="仿宋_GB2312"/>
                <w:kern w:val="0"/>
                <w:sz w:val="22"/>
              </w:rPr>
            </w:pPr>
            <w:r>
              <w:rPr>
                <w:rFonts w:hint="eastAsia" w:ascii="仿宋_GB2312" w:hAnsi="宋体" w:eastAsia="仿宋_GB2312" w:cs="仿宋_GB2312"/>
                <w:kern w:val="0"/>
                <w:sz w:val="22"/>
              </w:rPr>
              <w:t>提升教师专业知识、教学能力、综合素质</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显著</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jc w:val="left"/>
              <w:rPr>
                <w:rFonts w:ascii="仿宋_GB2312" w:hAnsi="Calibri" w:eastAsia="仿宋_GB2312"/>
                <w:kern w:val="0"/>
                <w:sz w:val="22"/>
              </w:rPr>
            </w:pPr>
          </w:p>
        </w:tc>
        <w:tc>
          <w:tcPr>
            <w:tcW w:w="348" w:type="pct"/>
            <w:vMerge w:val="continue"/>
            <w:vAlign w:val="center"/>
          </w:tcPr>
          <w:p>
            <w:pPr>
              <w:widowControl/>
              <w:spacing w:line="276" w:lineRule="auto"/>
              <w:jc w:val="left"/>
              <w:rPr>
                <w:rFonts w:ascii="仿宋_GB2312" w:hAnsi="Calibri" w:eastAsia="仿宋_GB2312"/>
                <w:kern w:val="0"/>
                <w:sz w:val="22"/>
              </w:rPr>
            </w:pPr>
          </w:p>
        </w:tc>
        <w:tc>
          <w:tcPr>
            <w:tcW w:w="697" w:type="pct"/>
            <w:vMerge w:val="continue"/>
            <w:vAlign w:val="center"/>
          </w:tcPr>
          <w:p>
            <w:pPr>
              <w:widowControl/>
              <w:spacing w:line="276" w:lineRule="auto"/>
              <w:jc w:val="center"/>
              <w:rPr>
                <w:rFonts w:ascii="仿宋_GB2312" w:hAnsi="宋体" w:eastAsia="仿宋_GB2312" w:cs="仿宋_GB2312"/>
                <w:kern w:val="0"/>
                <w:sz w:val="22"/>
              </w:rPr>
            </w:pPr>
          </w:p>
        </w:tc>
        <w:tc>
          <w:tcPr>
            <w:tcW w:w="772"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满意度指标</w:t>
            </w:r>
          </w:p>
        </w:tc>
        <w:tc>
          <w:tcPr>
            <w:tcW w:w="1371" w:type="pct"/>
            <w:vAlign w:val="center"/>
          </w:tcPr>
          <w:p>
            <w:pPr>
              <w:widowControl/>
              <w:spacing w:line="276" w:lineRule="auto"/>
              <w:jc w:val="left"/>
              <w:rPr>
                <w:rFonts w:ascii="仿宋_GB2312" w:hAnsi="Calibri" w:eastAsia="仿宋_GB2312"/>
                <w:kern w:val="0"/>
                <w:sz w:val="22"/>
              </w:rPr>
            </w:pPr>
            <w:r>
              <w:rPr>
                <w:rFonts w:hint="eastAsia" w:ascii="仿宋_GB2312" w:hAnsi="宋体" w:eastAsia="仿宋_GB2312" w:cs="仿宋_GB2312"/>
                <w:kern w:val="0"/>
                <w:sz w:val="22"/>
              </w:rPr>
              <w:t>教职工满意度</w:t>
            </w:r>
          </w:p>
        </w:tc>
        <w:tc>
          <w:tcPr>
            <w:tcW w:w="866" w:type="pct"/>
            <w:vAlign w:val="center"/>
          </w:tcPr>
          <w:p>
            <w:pPr>
              <w:widowControl/>
              <w:spacing w:line="276" w:lineRule="auto"/>
              <w:ind w:left="880" w:hanging="880" w:hangingChars="400"/>
              <w:jc w:val="left"/>
              <w:rPr>
                <w:rFonts w:ascii="仿宋_GB2312" w:hAnsi="Calibri" w:eastAsia="仿宋_GB2312"/>
                <w:kern w:val="0"/>
                <w:sz w:val="22"/>
              </w:rPr>
            </w:pPr>
            <w:r>
              <w:rPr>
                <w:rFonts w:hint="eastAsia" w:ascii="仿宋_GB2312" w:hAnsi="Calibri" w:eastAsia="仿宋_GB2312"/>
                <w:kern w:val="0"/>
                <w:sz w:val="22"/>
              </w:rPr>
              <w:t>90%</w:t>
            </w:r>
          </w:p>
        </w:tc>
        <w:tc>
          <w:tcPr>
            <w:tcW w:w="582" w:type="pct"/>
            <w:vAlign w:val="center"/>
          </w:tcPr>
          <w:p>
            <w:pPr>
              <w:widowControl/>
              <w:spacing w:line="276" w:lineRule="auto"/>
              <w:ind w:left="880" w:hanging="880" w:hangingChars="400"/>
              <w:jc w:val="left"/>
              <w:rPr>
                <w:rFonts w:ascii="仿宋_GB2312" w:hAnsi="Calibri"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Calibri" w:hAnsi="Calibri" w:cs="Calibri"/>
                <w:kern w:val="0"/>
                <w:sz w:val="22"/>
              </w:rPr>
            </w:pPr>
          </w:p>
        </w:tc>
        <w:tc>
          <w:tcPr>
            <w:tcW w:w="348" w:type="pct"/>
            <w:vMerge w:val="restart"/>
            <w:vAlign w:val="center"/>
          </w:tcPr>
          <w:p>
            <w:pPr>
              <w:widowControl/>
              <w:spacing w:line="276" w:lineRule="auto"/>
              <w:jc w:val="left"/>
              <w:rPr>
                <w:rFonts w:ascii="Calibri" w:hAnsi="Calibri" w:cs="Calibri"/>
                <w:kern w:val="0"/>
                <w:sz w:val="22"/>
              </w:rPr>
            </w:pPr>
            <w:r>
              <w:rPr>
                <w:rFonts w:hint="eastAsia" w:ascii="仿宋_GB2312" w:hAnsi="Calibri" w:eastAsia="仿宋_GB2312"/>
                <w:bCs/>
                <w:kern w:val="0"/>
                <w:szCs w:val="21"/>
              </w:rPr>
              <w:t>资助贫困家庭学生</w:t>
            </w:r>
          </w:p>
        </w:tc>
        <w:tc>
          <w:tcPr>
            <w:tcW w:w="697"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产出指标</w:t>
            </w:r>
          </w:p>
        </w:tc>
        <w:tc>
          <w:tcPr>
            <w:tcW w:w="772"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数量指标</w:t>
            </w:r>
          </w:p>
        </w:tc>
        <w:tc>
          <w:tcPr>
            <w:tcW w:w="1371" w:type="pct"/>
            <w:vAlign w:val="center"/>
          </w:tcPr>
          <w:p>
            <w:pPr>
              <w:widowControl/>
              <w:adjustRightInd w:val="0"/>
              <w:snapToGrid w:val="0"/>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招收建档立卡贫困家庭学生人数</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50人</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adjustRightInd w:val="0"/>
              <w:snapToGrid w:val="0"/>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资助救助金人均发放标准</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2000元/人</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质量指标</w:t>
            </w: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资助救助金发放达标率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100%</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时效指标</w:t>
            </w:r>
          </w:p>
        </w:tc>
        <w:tc>
          <w:tcPr>
            <w:tcW w:w="1371"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资助救助金发放及时率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100%</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jc w:val="left"/>
              <w:rPr>
                <w:rFonts w:ascii="仿宋_GB2312" w:hAnsi="宋体" w:eastAsia="仿宋_GB2312" w:cs="仿宋_GB2312"/>
                <w:kern w:val="0"/>
                <w:sz w:val="22"/>
              </w:rPr>
            </w:pPr>
          </w:p>
        </w:tc>
        <w:tc>
          <w:tcPr>
            <w:tcW w:w="697"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效益指标</w:t>
            </w:r>
          </w:p>
        </w:tc>
        <w:tc>
          <w:tcPr>
            <w:tcW w:w="772" w:type="pc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kern w:val="0"/>
                <w:sz w:val="22"/>
              </w:rPr>
              <w:t>社会效益</w:t>
            </w: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学生辍学率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ascii="仿宋_GB2312" w:hAnsi="宋体" w:eastAsia="仿宋_GB2312" w:cs="仿宋_GB2312"/>
                <w:kern w:val="0"/>
                <w:sz w:val="22"/>
              </w:rPr>
              <w:t>2</w:t>
            </w:r>
            <w:r>
              <w:rPr>
                <w:rFonts w:hint="eastAsia" w:ascii="仿宋_GB2312" w:hAnsi="宋体" w:eastAsia="仿宋_GB2312" w:cs="仿宋_GB2312"/>
                <w:kern w:val="0"/>
                <w:sz w:val="22"/>
              </w:rPr>
              <w:t>%</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restart"/>
            <w:vAlign w:val="center"/>
          </w:tcPr>
          <w:p>
            <w:pPr>
              <w:widowControl/>
              <w:spacing w:line="276" w:lineRule="auto"/>
              <w:jc w:val="left"/>
              <w:rPr>
                <w:rFonts w:ascii="仿宋_GB2312" w:hAnsi="宋体" w:eastAsia="仿宋_GB2312" w:cs="仿宋_GB2312"/>
                <w:kern w:val="0"/>
                <w:sz w:val="22"/>
              </w:rPr>
            </w:pPr>
            <w:r>
              <w:rPr>
                <w:rFonts w:hint="eastAsia" w:ascii="仿宋_GB2312" w:hAnsi="宋体" w:eastAsia="仿宋_GB2312" w:cs="仿宋_GB2312"/>
                <w:bCs/>
                <w:kern w:val="0"/>
                <w:szCs w:val="21"/>
              </w:rPr>
              <w:t>开展各项教育教学检查活动</w:t>
            </w:r>
          </w:p>
        </w:tc>
        <w:tc>
          <w:tcPr>
            <w:tcW w:w="697"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产出指标</w:t>
            </w:r>
          </w:p>
        </w:tc>
        <w:tc>
          <w:tcPr>
            <w:tcW w:w="772"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数量指标</w:t>
            </w: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教学检查次数</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4次</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教学工作例会次数</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3</w:t>
            </w:r>
            <w:r>
              <w:rPr>
                <w:rFonts w:ascii="仿宋_GB2312" w:hAnsi="宋体" w:eastAsia="仿宋_GB2312" w:cs="仿宋_GB2312"/>
                <w:kern w:val="0"/>
                <w:sz w:val="22"/>
              </w:rPr>
              <w:t>6</w:t>
            </w:r>
            <w:r>
              <w:rPr>
                <w:rFonts w:hint="eastAsia" w:ascii="仿宋_GB2312" w:hAnsi="宋体" w:eastAsia="仿宋_GB2312" w:cs="仿宋_GB2312"/>
                <w:kern w:val="0"/>
                <w:sz w:val="22"/>
              </w:rPr>
              <w:t>次</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推门听课次数</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6</w:t>
            </w:r>
            <w:r>
              <w:rPr>
                <w:rFonts w:ascii="仿宋_GB2312" w:hAnsi="宋体" w:eastAsia="仿宋_GB2312" w:cs="仿宋_GB2312"/>
                <w:kern w:val="0"/>
                <w:sz w:val="22"/>
              </w:rPr>
              <w:t>0</w:t>
            </w:r>
            <w:r>
              <w:rPr>
                <w:rFonts w:hint="eastAsia" w:ascii="仿宋_GB2312" w:hAnsi="宋体" w:eastAsia="仿宋_GB2312" w:cs="仿宋_GB2312"/>
                <w:kern w:val="0"/>
                <w:sz w:val="22"/>
              </w:rPr>
              <w:t>次</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restar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质量指标</w:t>
            </w: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检查问题整改率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ascii="仿宋_GB2312" w:hAnsi="宋体" w:eastAsia="仿宋_GB2312" w:cs="仿宋_GB2312"/>
                <w:kern w:val="0"/>
                <w:sz w:val="22"/>
              </w:rPr>
              <w:t>100</w:t>
            </w:r>
            <w:r>
              <w:rPr>
                <w:rFonts w:hint="eastAsia" w:ascii="仿宋_GB2312" w:hAnsi="宋体" w:eastAsia="仿宋_GB2312" w:cs="仿宋_GB2312"/>
                <w:kern w:val="0"/>
                <w:sz w:val="22"/>
              </w:rPr>
              <w:t>%</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772"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1371"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听课质量达标率</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ascii="仿宋_GB2312" w:hAnsi="宋体" w:eastAsia="仿宋_GB2312" w:cs="仿宋_GB2312"/>
                <w:kern w:val="0"/>
                <w:sz w:val="22"/>
              </w:rPr>
              <w:t>100</w:t>
            </w:r>
            <w:r>
              <w:rPr>
                <w:rFonts w:hint="eastAsia" w:ascii="仿宋_GB2312" w:hAnsi="宋体" w:eastAsia="仿宋_GB2312" w:cs="仿宋_GB2312"/>
                <w:kern w:val="0"/>
                <w:sz w:val="22"/>
              </w:rPr>
              <w:t>%</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61"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348" w:type="pct"/>
            <w:vMerge w:val="continue"/>
            <w:vAlign w:val="center"/>
          </w:tcPr>
          <w:p>
            <w:pPr>
              <w:widowControl/>
              <w:spacing w:line="276" w:lineRule="auto"/>
              <w:ind w:left="880" w:hanging="880" w:hangingChars="400"/>
              <w:jc w:val="left"/>
              <w:rPr>
                <w:rFonts w:ascii="仿宋_GB2312" w:hAnsi="宋体" w:eastAsia="仿宋_GB2312" w:cs="仿宋_GB2312"/>
                <w:kern w:val="0"/>
                <w:sz w:val="22"/>
              </w:rPr>
            </w:pPr>
          </w:p>
        </w:tc>
        <w:tc>
          <w:tcPr>
            <w:tcW w:w="697"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效益指标</w:t>
            </w:r>
          </w:p>
        </w:tc>
        <w:tc>
          <w:tcPr>
            <w:tcW w:w="772"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社会效益</w:t>
            </w:r>
          </w:p>
        </w:tc>
        <w:tc>
          <w:tcPr>
            <w:tcW w:w="1371" w:type="pct"/>
            <w:vAlign w:val="center"/>
          </w:tcPr>
          <w:p>
            <w:pPr>
              <w:widowControl/>
              <w:spacing w:line="276" w:lineRule="auto"/>
              <w:rPr>
                <w:rFonts w:ascii="仿宋_GB2312" w:hAnsi="宋体" w:eastAsia="仿宋_GB2312" w:cs="仿宋_GB2312"/>
                <w:kern w:val="0"/>
                <w:sz w:val="22"/>
              </w:rPr>
            </w:pPr>
            <w:r>
              <w:rPr>
                <w:rFonts w:hint="eastAsia" w:ascii="仿宋_GB2312" w:hAnsi="宋体" w:eastAsia="仿宋_GB2312" w:cs="仿宋_GB2312"/>
                <w:kern w:val="0"/>
                <w:sz w:val="22"/>
              </w:rPr>
              <w:t>提升教学质量</w:t>
            </w:r>
          </w:p>
        </w:tc>
        <w:tc>
          <w:tcPr>
            <w:tcW w:w="866" w:type="pct"/>
            <w:vAlign w:val="center"/>
          </w:tcPr>
          <w:p>
            <w:pPr>
              <w:widowControl/>
              <w:spacing w:line="276" w:lineRule="auto"/>
              <w:ind w:left="880" w:hanging="880" w:hangingChars="400"/>
              <w:jc w:val="left"/>
              <w:rPr>
                <w:rFonts w:ascii="仿宋_GB2312" w:hAnsi="宋体" w:eastAsia="仿宋_GB2312" w:cs="仿宋_GB2312"/>
                <w:kern w:val="0"/>
                <w:sz w:val="22"/>
              </w:rPr>
            </w:pPr>
            <w:r>
              <w:rPr>
                <w:rFonts w:hint="eastAsia" w:ascii="仿宋_GB2312" w:hAnsi="宋体" w:eastAsia="仿宋_GB2312" w:cs="仿宋_GB2312"/>
                <w:kern w:val="0"/>
                <w:sz w:val="22"/>
              </w:rPr>
              <w:t>显著</w:t>
            </w:r>
          </w:p>
        </w:tc>
        <w:tc>
          <w:tcPr>
            <w:tcW w:w="582" w:type="pct"/>
            <w:vAlign w:val="center"/>
          </w:tcPr>
          <w:p>
            <w:pPr>
              <w:widowControl/>
              <w:spacing w:line="276" w:lineRule="auto"/>
              <w:ind w:left="880" w:hanging="880" w:hangingChars="400"/>
              <w:jc w:val="left"/>
              <w:rPr>
                <w:rFonts w:ascii="仿宋_GB2312" w:hAnsi="宋体" w:eastAsia="仿宋_GB2312" w:cs="仿宋_GB2312"/>
                <w:kern w:val="0"/>
                <w:sz w:val="22"/>
              </w:rPr>
            </w:pPr>
          </w:p>
        </w:tc>
      </w:tr>
    </w:tbl>
    <w:p>
      <w:pPr>
        <w:pStyle w:val="3"/>
        <w:spacing w:line="240" w:lineRule="auto"/>
        <w:ind w:firstLine="643"/>
        <w:rPr>
          <w:rFonts w:ascii="楷体_GB2312" w:hAnsi="楷体_GB2312" w:eastAsia="楷体_GB2312" w:cs="楷体_GB2312"/>
          <w:bCs w:val="0"/>
        </w:rPr>
      </w:pPr>
      <w:bookmarkStart w:id="15" w:name="_Toc23758"/>
      <w:r>
        <w:rPr>
          <w:rFonts w:hint="eastAsia" w:ascii="楷体_GB2312" w:hAnsi="楷体_GB2312" w:eastAsia="楷体_GB2312" w:cs="楷体_GB2312"/>
          <w:bCs w:val="0"/>
        </w:rPr>
        <w:t>（四）预算资金安排情况</w:t>
      </w:r>
      <w:bookmarkEnd w:id="12"/>
      <w:bookmarkEnd w:id="15"/>
    </w:p>
    <w:p>
      <w:pPr>
        <w:ind w:firstLine="640" w:firstLineChars="200"/>
        <w:rPr>
          <w:rFonts w:ascii="仿宋_GB2312" w:eastAsia="仿宋_GB2312"/>
          <w:bCs/>
          <w:sz w:val="32"/>
          <w:szCs w:val="32"/>
        </w:rPr>
      </w:pPr>
      <w:r>
        <w:rPr>
          <w:rFonts w:ascii="仿宋_GB2312" w:eastAsia="仿宋_GB2312"/>
          <w:bCs/>
          <w:sz w:val="32"/>
          <w:szCs w:val="32"/>
        </w:rPr>
        <w:t>2019</w:t>
      </w:r>
      <w:r>
        <w:rPr>
          <w:rFonts w:hint="eastAsia" w:ascii="仿宋_GB2312" w:eastAsia="仿宋_GB2312"/>
          <w:bCs/>
          <w:sz w:val="32"/>
          <w:szCs w:val="32"/>
        </w:rPr>
        <w:t>年职业中专预算收入1065.392万元，其中公共财政拨款收入1063.292万元，纳入专户管理的非税收入拨款2.1万元。</w:t>
      </w:r>
    </w:p>
    <w:p>
      <w:pPr>
        <w:ind w:firstLine="640" w:firstLineChars="200"/>
        <w:rPr>
          <w:rFonts w:ascii="仿宋_GB2312" w:eastAsia="仿宋_GB2312"/>
          <w:bCs/>
          <w:sz w:val="32"/>
          <w:szCs w:val="32"/>
        </w:rPr>
      </w:pPr>
      <w:r>
        <w:rPr>
          <w:rFonts w:hint="eastAsia" w:ascii="仿宋_GB2312" w:eastAsia="仿宋_GB2312"/>
          <w:bCs/>
          <w:sz w:val="32"/>
          <w:szCs w:val="32"/>
        </w:rPr>
        <w:t>2019年职业中专预算支出1065.392万元，全部为基本支出，其中人员工资751.78万元，取暖费102.12万元，养老保险110.57万元，职业年金44.23万元，医疗保险38.7万元，其他补贴0.792万元，公务经费17.2万元。</w:t>
      </w:r>
    </w:p>
    <w:p>
      <w:pPr>
        <w:pStyle w:val="3"/>
        <w:spacing w:line="240" w:lineRule="auto"/>
        <w:ind w:firstLine="643"/>
        <w:rPr>
          <w:rFonts w:ascii="楷体_GB2312" w:hAnsi="楷体_GB2312" w:eastAsia="楷体_GB2312" w:cs="楷体_GB2312"/>
          <w:bCs w:val="0"/>
        </w:rPr>
      </w:pPr>
      <w:bookmarkStart w:id="16" w:name="_Toc13708"/>
      <w:bookmarkStart w:id="17" w:name="_Toc26695"/>
      <w:r>
        <w:rPr>
          <w:rFonts w:hint="eastAsia" w:ascii="楷体_GB2312" w:hAnsi="楷体_GB2312" w:eastAsia="楷体_GB2312" w:cs="楷体_GB2312"/>
          <w:bCs w:val="0"/>
        </w:rPr>
        <w:t>（五）资产情况</w:t>
      </w:r>
      <w:bookmarkEnd w:id="16"/>
      <w:bookmarkEnd w:id="17"/>
    </w:p>
    <w:p>
      <w:pPr>
        <w:pStyle w:val="3"/>
        <w:keepNext w:val="0"/>
        <w:keepLines w:val="0"/>
        <w:spacing w:line="240" w:lineRule="auto"/>
        <w:ind w:firstLine="640"/>
      </w:pPr>
      <w:r>
        <w:rPr>
          <w:rFonts w:hint="eastAsia" w:ascii="仿宋_GB2312" w:eastAsia="仿宋_GB2312" w:hAnsiTheme="minorHAnsi" w:cstheme="minorBidi"/>
          <w:b w:val="0"/>
        </w:rPr>
        <w:t>截至</w:t>
      </w:r>
      <w:r>
        <w:rPr>
          <w:rFonts w:ascii="仿宋_GB2312" w:eastAsia="仿宋_GB2312" w:hAnsiTheme="minorHAnsi" w:cstheme="minorBidi"/>
          <w:b w:val="0"/>
        </w:rPr>
        <w:t>2019年12月31日，职业中专资产总额为</w:t>
      </w:r>
      <w:r>
        <w:rPr>
          <w:rFonts w:hint="eastAsia" w:ascii="仿宋_GB2312" w:eastAsia="仿宋_GB2312" w:hAnsiTheme="minorHAnsi" w:cstheme="minorBidi"/>
          <w:b w:val="0"/>
        </w:rPr>
        <w:t>7218.88万</w:t>
      </w:r>
      <w:r>
        <w:rPr>
          <w:rFonts w:ascii="仿宋_GB2312" w:eastAsia="仿宋_GB2312" w:hAnsiTheme="minorHAnsi" w:cstheme="minorBidi"/>
          <w:b w:val="0"/>
        </w:rPr>
        <w:t>元。其中，流动资产</w:t>
      </w:r>
      <w:r>
        <w:rPr>
          <w:rFonts w:hint="eastAsia" w:ascii="仿宋_GB2312" w:eastAsia="仿宋_GB2312" w:hAnsiTheme="minorHAnsi" w:cstheme="minorBidi"/>
          <w:b w:val="0"/>
        </w:rPr>
        <w:t>796.78万</w:t>
      </w:r>
      <w:r>
        <w:rPr>
          <w:rFonts w:ascii="仿宋_GB2312" w:eastAsia="仿宋_GB2312" w:hAnsiTheme="minorHAnsi" w:cstheme="minorBidi"/>
          <w:b w:val="0"/>
        </w:rPr>
        <w:t>元；固定资产原值为1578</w:t>
      </w:r>
      <w:r>
        <w:rPr>
          <w:rFonts w:hint="eastAsia" w:ascii="仿宋_GB2312" w:eastAsia="仿宋_GB2312" w:hAnsiTheme="minorHAnsi" w:cstheme="minorBidi"/>
          <w:b w:val="0"/>
        </w:rPr>
        <w:t>.</w:t>
      </w:r>
      <w:r>
        <w:rPr>
          <w:rFonts w:ascii="仿宋_GB2312" w:eastAsia="仿宋_GB2312" w:hAnsiTheme="minorHAnsi" w:cstheme="minorBidi"/>
          <w:b w:val="0"/>
        </w:rPr>
        <w:t>11</w:t>
      </w:r>
      <w:r>
        <w:rPr>
          <w:rFonts w:hint="eastAsia" w:ascii="仿宋_GB2312" w:eastAsia="仿宋_GB2312" w:hAnsiTheme="minorHAnsi" w:cstheme="minorBidi"/>
          <w:b w:val="0"/>
        </w:rPr>
        <w:t>万</w:t>
      </w:r>
      <w:r>
        <w:rPr>
          <w:rFonts w:ascii="仿宋_GB2312" w:eastAsia="仿宋_GB2312" w:hAnsiTheme="minorHAnsi" w:cstheme="minorBidi"/>
          <w:b w:val="0"/>
        </w:rPr>
        <w:t>元，累计折旧400</w:t>
      </w:r>
      <w:r>
        <w:rPr>
          <w:rFonts w:hint="eastAsia" w:ascii="仿宋_GB2312" w:eastAsia="仿宋_GB2312" w:hAnsiTheme="minorHAnsi" w:cstheme="minorBidi"/>
          <w:b w:val="0"/>
        </w:rPr>
        <w:t>.</w:t>
      </w:r>
      <w:r>
        <w:rPr>
          <w:rFonts w:ascii="仿宋_GB2312" w:eastAsia="仿宋_GB2312" w:hAnsiTheme="minorHAnsi" w:cstheme="minorBidi"/>
          <w:b w:val="0"/>
        </w:rPr>
        <w:t>41</w:t>
      </w:r>
      <w:r>
        <w:rPr>
          <w:rFonts w:hint="eastAsia" w:ascii="仿宋_GB2312" w:eastAsia="仿宋_GB2312" w:hAnsiTheme="minorHAnsi" w:cstheme="minorBidi"/>
          <w:b w:val="0"/>
        </w:rPr>
        <w:t>万</w:t>
      </w:r>
      <w:r>
        <w:rPr>
          <w:rFonts w:ascii="仿宋_GB2312" w:eastAsia="仿宋_GB2312" w:hAnsiTheme="minorHAnsi" w:cstheme="minorBidi"/>
          <w:b w:val="0"/>
        </w:rPr>
        <w:t>元，在固定资产中，房屋及构建物原值14</w:t>
      </w:r>
      <w:r>
        <w:rPr>
          <w:rFonts w:hint="eastAsia" w:ascii="仿宋_GB2312" w:eastAsia="仿宋_GB2312" w:hAnsiTheme="minorHAnsi" w:cstheme="minorBidi"/>
          <w:b w:val="0"/>
        </w:rPr>
        <w:t>.</w:t>
      </w:r>
      <w:r>
        <w:rPr>
          <w:rFonts w:ascii="仿宋_GB2312" w:eastAsia="仿宋_GB2312" w:hAnsiTheme="minorHAnsi" w:cstheme="minorBidi"/>
          <w:b w:val="0"/>
        </w:rPr>
        <w:t>93</w:t>
      </w:r>
      <w:r>
        <w:rPr>
          <w:rFonts w:hint="eastAsia" w:ascii="仿宋_GB2312" w:eastAsia="仿宋_GB2312" w:hAnsiTheme="minorHAnsi" w:cstheme="minorBidi"/>
          <w:b w:val="0"/>
        </w:rPr>
        <w:t>万</w:t>
      </w:r>
      <w:r>
        <w:rPr>
          <w:rFonts w:ascii="仿宋_GB2312" w:eastAsia="仿宋_GB2312" w:hAnsiTheme="minorHAnsi" w:cstheme="minorBidi"/>
          <w:b w:val="0"/>
        </w:rPr>
        <w:t>元（新校基建项目未竣工决算，在建工程</w:t>
      </w:r>
      <w:r>
        <w:rPr>
          <w:rFonts w:hint="eastAsia" w:ascii="仿宋_GB2312" w:eastAsia="仿宋_GB2312" w:hAnsiTheme="minorHAnsi" w:cstheme="minorBidi"/>
          <w:b w:val="0"/>
        </w:rPr>
        <w:t>5244.29万</w:t>
      </w:r>
      <w:r>
        <w:rPr>
          <w:rFonts w:ascii="仿宋_GB2312" w:eastAsia="仿宋_GB2312" w:hAnsiTheme="minorHAnsi" w:cstheme="minorBidi"/>
          <w:b w:val="0"/>
        </w:rPr>
        <w:t>元），累计折旧2</w:t>
      </w:r>
      <w:r>
        <w:rPr>
          <w:rFonts w:hint="eastAsia" w:ascii="仿宋_GB2312" w:eastAsia="仿宋_GB2312" w:hAnsiTheme="minorHAnsi" w:cstheme="minorBidi"/>
          <w:b w:val="0"/>
        </w:rPr>
        <w:t>.</w:t>
      </w:r>
      <w:r>
        <w:rPr>
          <w:rFonts w:ascii="仿宋_GB2312" w:eastAsia="仿宋_GB2312" w:hAnsiTheme="minorHAnsi" w:cstheme="minorBidi"/>
          <w:b w:val="0"/>
        </w:rPr>
        <w:t>02</w:t>
      </w:r>
      <w:r>
        <w:rPr>
          <w:rFonts w:hint="eastAsia" w:ascii="仿宋_GB2312" w:eastAsia="仿宋_GB2312" w:hAnsiTheme="minorHAnsi" w:cstheme="minorBidi"/>
          <w:b w:val="0"/>
        </w:rPr>
        <w:t>万</w:t>
      </w:r>
      <w:r>
        <w:rPr>
          <w:rFonts w:ascii="仿宋_GB2312" w:eastAsia="仿宋_GB2312" w:hAnsiTheme="minorHAnsi" w:cstheme="minorBidi"/>
          <w:b w:val="0"/>
        </w:rPr>
        <w:t>元，专用设备和通用设备原值1388</w:t>
      </w:r>
      <w:r>
        <w:rPr>
          <w:rFonts w:hint="eastAsia" w:ascii="仿宋_GB2312" w:eastAsia="仿宋_GB2312" w:hAnsiTheme="minorHAnsi" w:cstheme="minorBidi"/>
          <w:b w:val="0"/>
        </w:rPr>
        <w:t>.</w:t>
      </w:r>
      <w:r>
        <w:rPr>
          <w:rFonts w:ascii="仿宋_GB2312" w:eastAsia="仿宋_GB2312" w:hAnsiTheme="minorHAnsi" w:cstheme="minorBidi"/>
          <w:b w:val="0"/>
        </w:rPr>
        <w:t>45</w:t>
      </w:r>
      <w:r>
        <w:rPr>
          <w:rFonts w:hint="eastAsia" w:ascii="仿宋_GB2312" w:eastAsia="仿宋_GB2312" w:hAnsiTheme="minorHAnsi" w:cstheme="minorBidi"/>
          <w:b w:val="0"/>
        </w:rPr>
        <w:t>万</w:t>
      </w:r>
      <w:r>
        <w:rPr>
          <w:rFonts w:ascii="仿宋_GB2312" w:eastAsia="仿宋_GB2312" w:hAnsiTheme="minorHAnsi" w:cstheme="minorBidi"/>
          <w:b w:val="0"/>
        </w:rPr>
        <w:t>元，累计折旧373</w:t>
      </w:r>
      <w:r>
        <w:rPr>
          <w:rFonts w:hint="eastAsia" w:ascii="仿宋_GB2312" w:eastAsia="仿宋_GB2312" w:hAnsiTheme="minorHAnsi" w:cstheme="minorBidi"/>
          <w:b w:val="0"/>
        </w:rPr>
        <w:t>.</w:t>
      </w:r>
      <w:r>
        <w:rPr>
          <w:rFonts w:ascii="仿宋_GB2312" w:eastAsia="仿宋_GB2312" w:hAnsiTheme="minorHAnsi" w:cstheme="minorBidi"/>
          <w:b w:val="0"/>
        </w:rPr>
        <w:t>6</w:t>
      </w:r>
      <w:r>
        <w:rPr>
          <w:rFonts w:hint="eastAsia" w:ascii="仿宋_GB2312" w:eastAsia="仿宋_GB2312" w:hAnsiTheme="minorHAnsi" w:cstheme="minorBidi"/>
          <w:b w:val="0"/>
        </w:rPr>
        <w:t>6万</w:t>
      </w:r>
      <w:r>
        <w:rPr>
          <w:rFonts w:ascii="仿宋_GB2312" w:eastAsia="仿宋_GB2312" w:hAnsiTheme="minorHAnsi" w:cstheme="minorBidi"/>
          <w:b w:val="0"/>
        </w:rPr>
        <w:t>元。</w:t>
      </w:r>
    </w:p>
    <w:p>
      <w:pPr>
        <w:pStyle w:val="2"/>
        <w:spacing w:line="240" w:lineRule="auto"/>
        <w:ind w:firstLine="640"/>
        <w:rPr>
          <w:sz w:val="32"/>
          <w:szCs w:val="32"/>
        </w:rPr>
      </w:pPr>
      <w:bookmarkStart w:id="18" w:name="_Toc505776211"/>
      <w:bookmarkStart w:id="19" w:name="_Toc8058"/>
      <w:bookmarkStart w:id="20" w:name="_Toc2046"/>
      <w:r>
        <w:rPr>
          <w:rFonts w:hint="eastAsia"/>
          <w:sz w:val="32"/>
          <w:szCs w:val="32"/>
        </w:rPr>
        <w:t>二、绩效评价工作要求及实施</w:t>
      </w:r>
      <w:bookmarkEnd w:id="18"/>
      <w:bookmarkEnd w:id="19"/>
      <w:bookmarkEnd w:id="20"/>
    </w:p>
    <w:p>
      <w:pPr>
        <w:pStyle w:val="3"/>
        <w:spacing w:line="240" w:lineRule="auto"/>
        <w:ind w:firstLine="643"/>
        <w:rPr>
          <w:rFonts w:ascii="楷体_GB2312" w:hAnsi="楷体_GB2312" w:eastAsia="楷体_GB2312" w:cs="楷体_GB2312"/>
          <w:bCs w:val="0"/>
        </w:rPr>
      </w:pPr>
      <w:bookmarkStart w:id="21" w:name="_Toc28029"/>
      <w:bookmarkStart w:id="22" w:name="_Toc443"/>
      <w:r>
        <w:rPr>
          <w:rFonts w:hint="eastAsia" w:ascii="楷体_GB2312" w:hAnsi="楷体_GB2312" w:eastAsia="楷体_GB2312" w:cs="楷体_GB2312"/>
          <w:bCs w:val="0"/>
        </w:rPr>
        <w:t>（一）基本情况</w:t>
      </w:r>
      <w:bookmarkEnd w:id="21"/>
      <w:bookmarkEnd w:id="22"/>
    </w:p>
    <w:p>
      <w:pPr>
        <w:ind w:firstLine="643" w:firstLineChars="200"/>
        <w:outlineLvl w:val="0"/>
        <w:rPr>
          <w:rFonts w:ascii="仿宋_GB2312" w:hAnsi="Times New Roman" w:eastAsia="仿宋_GB2312" w:cs="Times New Roman"/>
          <w:sz w:val="32"/>
          <w:szCs w:val="32"/>
        </w:rPr>
      </w:pPr>
      <w:r>
        <w:rPr>
          <w:rFonts w:hint="eastAsia" w:ascii="仿宋_GB2312" w:hAnsi="仿宋_GB2312" w:eastAsia="仿宋_GB2312" w:cs="仿宋_GB2312"/>
          <w:b/>
          <w:sz w:val="32"/>
          <w:szCs w:val="32"/>
        </w:rPr>
        <w:t>1.评价目的。</w:t>
      </w:r>
      <w:bookmarkStart w:id="23" w:name="_Toc48921856"/>
      <w:bookmarkStart w:id="24" w:name="_Toc48921626"/>
      <w:r>
        <w:rPr>
          <w:rFonts w:hint="eastAsia" w:ascii="仿宋_GB2312" w:eastAsia="仿宋_GB2312"/>
          <w:bCs/>
          <w:sz w:val="32"/>
          <w:szCs w:val="32"/>
        </w:rPr>
        <w:t>为全面贯彻党的十九大关于国家财政预算改革的重要要求，完善预算编制有目标、预算执行有监控、预算完成有评价、评价结果有反馈，反馈结果有应用的全过程预算绩效管理链条，建设以绩效为核心的财政政策体系和资金管理机制，实现预算和绩效管理一体化，提升预算管理水平和政策实施效果，现对职业中专部门整体支出进行绩效评价。通过绩效评价，总结经验，发现问题，改进工作，进一步加强职业中专预算绩效管理，强化支出责任，提高财政资金使用效益，为后续年度预算资金安排提供重要参考。</w:t>
      </w:r>
      <w:bookmarkEnd w:id="23"/>
      <w:bookmarkEnd w:id="24"/>
    </w:p>
    <w:p>
      <w:pPr>
        <w:ind w:firstLine="643" w:firstLineChars="200"/>
        <w:jc w:val="left"/>
        <w:rPr>
          <w:rFonts w:ascii="仿宋_GB2312" w:eastAsia="仿宋_GB2312"/>
          <w:bCs/>
          <w:sz w:val="32"/>
          <w:szCs w:val="32"/>
        </w:rPr>
      </w:pPr>
      <w:r>
        <w:rPr>
          <w:rFonts w:hint="eastAsia" w:ascii="仿宋_GB2312" w:hAnsi="仿宋_GB2312" w:eastAsia="仿宋_GB2312" w:cs="仿宋_GB2312"/>
          <w:b/>
          <w:sz w:val="32"/>
          <w:szCs w:val="32"/>
        </w:rPr>
        <w:t>2.评价原则和依据。</w:t>
      </w:r>
      <w:r>
        <w:rPr>
          <w:rFonts w:hint="eastAsia" w:ascii="仿宋_GB2312" w:eastAsia="仿宋_GB2312"/>
          <w:bCs/>
          <w:sz w:val="32"/>
          <w:szCs w:val="32"/>
        </w:rPr>
        <w:t>按照科学规范、公正公开、分级分类、绩效相关等原则，主要评价依据如下：</w:t>
      </w:r>
      <w:bookmarkStart w:id="25" w:name="_Toc48921863"/>
      <w:bookmarkStart w:id="26" w:name="_Toc48921633"/>
    </w:p>
    <w:p>
      <w:pPr>
        <w:ind w:firstLine="640" w:firstLineChars="200"/>
        <w:jc w:val="left"/>
        <w:rPr>
          <w:rFonts w:ascii="仿宋_GB2312" w:hAnsi="Times New Roman" w:eastAsia="仿宋_GB2312" w:cs="Times New Roman"/>
          <w:bCs/>
          <w:sz w:val="32"/>
          <w:szCs w:val="32"/>
        </w:rPr>
      </w:pPr>
      <w:r>
        <w:rPr>
          <w:rFonts w:hint="eastAsia" w:ascii="仿宋_GB2312" w:eastAsia="仿宋_GB2312"/>
          <w:bCs/>
          <w:sz w:val="32"/>
          <w:szCs w:val="32"/>
        </w:rPr>
        <w:t>（1）财政部发布的</w:t>
      </w:r>
      <w:r>
        <w:rPr>
          <w:rFonts w:hint="eastAsia" w:ascii="仿宋_GB2312" w:eastAsia="仿宋_GB2312"/>
          <w:bCs/>
          <w:color w:val="auto"/>
          <w:sz w:val="32"/>
          <w:szCs w:val="32"/>
        </w:rPr>
        <w:t>财政部发布的《项目支出绩效评价管理办法》（财预〔2020〕10号）、</w:t>
      </w:r>
      <w:bookmarkStart w:id="82" w:name="_GoBack"/>
      <w:bookmarkEnd w:id="82"/>
      <w:r>
        <w:rPr>
          <w:rFonts w:hint="eastAsia" w:ascii="仿宋_GB2312" w:eastAsia="仿宋_GB2312"/>
          <w:bCs/>
          <w:sz w:val="32"/>
          <w:szCs w:val="32"/>
        </w:rPr>
        <w:t>《预算绩效评价共性指标体系框架》（财预〔</w:t>
      </w:r>
      <w:r>
        <w:rPr>
          <w:rFonts w:ascii="仿宋_GB2312" w:eastAsia="仿宋_GB2312"/>
          <w:bCs/>
          <w:sz w:val="32"/>
          <w:szCs w:val="32"/>
        </w:rPr>
        <w:t>2013</w:t>
      </w:r>
      <w:r>
        <w:rPr>
          <w:rFonts w:hint="eastAsia" w:ascii="仿宋_GB2312" w:eastAsia="仿宋_GB2312"/>
          <w:bCs/>
          <w:sz w:val="32"/>
          <w:szCs w:val="32"/>
        </w:rPr>
        <w:t>〕</w:t>
      </w:r>
      <w:r>
        <w:rPr>
          <w:rFonts w:ascii="仿宋_GB2312" w:eastAsia="仿宋_GB2312"/>
          <w:bCs/>
          <w:sz w:val="32"/>
          <w:szCs w:val="32"/>
        </w:rPr>
        <w:t>53</w:t>
      </w:r>
      <w:r>
        <w:rPr>
          <w:rFonts w:hint="eastAsia" w:ascii="仿宋_GB2312" w:eastAsia="仿宋_GB2312"/>
          <w:bCs/>
          <w:sz w:val="32"/>
          <w:szCs w:val="32"/>
        </w:rPr>
        <w:t>号）、《中央部门预算绩效目标管理办法》（财预〔2015〕88号）以及相关绩效评价工作要求等</w:t>
      </w:r>
      <w:r>
        <w:rPr>
          <w:rFonts w:hint="eastAsia" w:ascii="仿宋_GB2312" w:hAnsi="Times New Roman" w:eastAsia="仿宋_GB2312" w:cs="Times New Roman"/>
          <w:bCs/>
          <w:sz w:val="32"/>
          <w:szCs w:val="32"/>
        </w:rPr>
        <w:t>。</w:t>
      </w:r>
      <w:bookmarkEnd w:id="25"/>
      <w:bookmarkEnd w:id="26"/>
    </w:p>
    <w:p>
      <w:pPr>
        <w:ind w:firstLine="640" w:firstLineChars="200"/>
        <w:outlineLvl w:val="0"/>
        <w:rPr>
          <w:rFonts w:ascii="仿宋_GB2312" w:hAnsi="Times New Roman" w:eastAsia="仿宋_GB2312" w:cs="Times New Roman"/>
          <w:bCs/>
          <w:sz w:val="32"/>
          <w:szCs w:val="32"/>
        </w:rPr>
      </w:pPr>
      <w:bookmarkStart w:id="27" w:name="_Toc48921634"/>
      <w:bookmarkStart w:id="28" w:name="_Toc48921864"/>
      <w:r>
        <w:rPr>
          <w:rFonts w:hint="eastAsia" w:ascii="仿宋_GB2312" w:hAnsi="Times New Roman" w:eastAsia="仿宋_GB2312" w:cs="Times New Roman"/>
          <w:bCs/>
          <w:sz w:val="32"/>
          <w:szCs w:val="32"/>
        </w:rPr>
        <w:t>（2）《中共山东省委山东省人民政府关于全面推进预算绩效管理的实施意见》（鲁发〔2019〕2号）、《山东省省级部门单位预算绩效管理办法》（鲁政办字〔2019〕20号）等山东省预算绩效相关政策文件。</w:t>
      </w:r>
      <w:bookmarkEnd w:id="27"/>
      <w:bookmarkEnd w:id="28"/>
    </w:p>
    <w:p>
      <w:pPr>
        <w:ind w:firstLine="640" w:firstLineChars="200"/>
        <w:outlineLvl w:val="0"/>
        <w:rPr>
          <w:rFonts w:ascii="仿宋_GB2312" w:hAnsi="Times New Roman" w:eastAsia="仿宋_GB2312" w:cs="Times New Roman"/>
          <w:bCs/>
          <w:sz w:val="32"/>
          <w:szCs w:val="32"/>
        </w:rPr>
      </w:pPr>
      <w:bookmarkStart w:id="29" w:name="_Toc48921635"/>
      <w:bookmarkStart w:id="30" w:name="_Toc48921865"/>
      <w:r>
        <w:rPr>
          <w:rFonts w:hint="eastAsia" w:ascii="仿宋_GB2312" w:hAnsi="Times New Roman" w:eastAsia="仿宋_GB2312" w:cs="Times New Roman"/>
          <w:bCs/>
          <w:sz w:val="32"/>
          <w:szCs w:val="32"/>
        </w:rPr>
        <w:t>（3）山亭区财政局下发的《关于上报2019年度&lt;项目绩效自评报告&gt;和&lt;部门整体支出绩效评价报告&gt;的通知》（山财绩</w:t>
      </w:r>
      <w:r>
        <w:rPr>
          <w:rFonts w:ascii="仿宋_GB2312" w:hAnsi="Times New Roman" w:eastAsia="仿宋_GB2312" w:cs="Times New Roman"/>
          <w:bCs/>
          <w:sz w:val="32"/>
          <w:szCs w:val="32"/>
        </w:rPr>
        <w:t>〔20</w:t>
      </w:r>
      <w:r>
        <w:rPr>
          <w:rFonts w:hint="eastAsia" w:ascii="仿宋_GB2312" w:hAnsi="Times New Roman" w:eastAsia="仿宋_GB2312" w:cs="Times New Roman"/>
          <w:bCs/>
          <w:sz w:val="32"/>
          <w:szCs w:val="32"/>
        </w:rPr>
        <w:t>20</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2</w:t>
      </w:r>
      <w:r>
        <w:rPr>
          <w:rFonts w:ascii="仿宋_GB2312" w:hAnsi="Times New Roman" w:eastAsia="仿宋_GB2312" w:cs="Times New Roman"/>
          <w:bCs/>
          <w:sz w:val="32"/>
          <w:szCs w:val="32"/>
        </w:rPr>
        <w:t>号</w:t>
      </w:r>
      <w:r>
        <w:rPr>
          <w:rFonts w:hint="eastAsia" w:ascii="仿宋_GB2312" w:hAnsi="Times New Roman" w:eastAsia="仿宋_GB2312" w:cs="Times New Roman"/>
          <w:bCs/>
          <w:sz w:val="32"/>
          <w:szCs w:val="32"/>
        </w:rPr>
        <w:t>）。</w:t>
      </w:r>
      <w:bookmarkEnd w:id="29"/>
      <w:bookmarkEnd w:id="30"/>
    </w:p>
    <w:p>
      <w:pPr>
        <w:ind w:firstLine="640" w:firstLineChars="200"/>
        <w:outlineLvl w:val="0"/>
        <w:rPr>
          <w:rFonts w:ascii="仿宋_GB2312" w:hAnsi="Times New Roman" w:eastAsia="仿宋_GB2312" w:cs="Times New Roman"/>
          <w:bCs/>
          <w:sz w:val="32"/>
          <w:szCs w:val="32"/>
        </w:rPr>
      </w:pPr>
      <w:bookmarkStart w:id="31" w:name="_Toc48921866"/>
      <w:bookmarkStart w:id="32" w:name="_Toc48921636"/>
      <w:r>
        <w:rPr>
          <w:rFonts w:hint="eastAsia" w:ascii="仿宋_GB2312" w:hAnsi="Times New Roman" w:eastAsia="仿宋_GB2312" w:cs="Times New Roman"/>
          <w:bCs/>
          <w:sz w:val="32"/>
          <w:szCs w:val="32"/>
        </w:rPr>
        <w:t>（4）职业中专《2019年度部门整体支出绩效目标申报表》、《2019年度部门整体支出绩效自评报告》、2019年度工作计划、“十三五”发展规划及总结、2019年度工作总结等；预算管理制度、资金及财务管理办法、财务会计资料、业务管理制度和绩效资料等。</w:t>
      </w:r>
      <w:bookmarkEnd w:id="31"/>
      <w:bookmarkEnd w:id="32"/>
    </w:p>
    <w:p>
      <w:pPr>
        <w:ind w:firstLine="643" w:firstLineChars="200"/>
        <w:rPr>
          <w:rFonts w:ascii="仿宋_GB2312" w:eastAsia="仿宋_GB2312"/>
          <w:bCs/>
          <w:sz w:val="32"/>
          <w:szCs w:val="32"/>
        </w:rPr>
      </w:pPr>
      <w:r>
        <w:rPr>
          <w:rFonts w:hint="eastAsia" w:ascii="仿宋_GB2312" w:hAnsi="仿宋_GB2312" w:eastAsia="仿宋_GB2312" w:cs="仿宋_GB2312"/>
          <w:b/>
          <w:sz w:val="32"/>
          <w:szCs w:val="32"/>
        </w:rPr>
        <w:t>3.评价方法。</w:t>
      </w:r>
      <w:r>
        <w:rPr>
          <w:rFonts w:hint="eastAsia" w:ascii="仿宋_GB2312" w:eastAsia="仿宋_GB2312"/>
          <w:bCs/>
          <w:sz w:val="32"/>
          <w:szCs w:val="32"/>
        </w:rPr>
        <w:t>本次绩效评价主要采用案卷分析法、成本效益分析法、比较法、因素分析法、标杆管理法、社会调查法等绩效评价方法。</w:t>
      </w:r>
    </w:p>
    <w:p>
      <w:pPr>
        <w:ind w:firstLine="640" w:firstLineChars="200"/>
        <w:rPr>
          <w:rFonts w:ascii="仿宋_GB2312" w:eastAsia="仿宋_GB2312"/>
          <w:bCs/>
          <w:sz w:val="32"/>
          <w:szCs w:val="32"/>
        </w:rPr>
      </w:pPr>
      <w:r>
        <w:rPr>
          <w:rFonts w:hint="eastAsia" w:ascii="仿宋_GB2312" w:eastAsia="仿宋_GB2312"/>
          <w:bCs/>
          <w:sz w:val="32"/>
          <w:szCs w:val="32"/>
        </w:rPr>
        <w:t>针对财务部分，主要采用倒查法、抽查法及盘存法进行检查，其中，倒查法是指按照与会计账务处理完全相反的方式进行检查的方法，即从截至2019年12月31日的科目余额汇总账中，初步拟定现场重点核查的会计科目，然后查找记账凭证核实原始凭证进行检查；抽查法是从2019年凭证汇总表中抽取资金量较大，以及各项经费支出中金额较大的凭证作为样本进行检查，并根据其样本结果来推断总体的一种方法；盘存法是对职业中专各种实物资产进行适当的抽查盘点。</w:t>
      </w:r>
    </w:p>
    <w:p>
      <w:pPr>
        <w:ind w:firstLine="640" w:firstLineChars="200"/>
        <w:rPr>
          <w:rFonts w:ascii="仿宋_GB2312" w:eastAsia="仿宋_GB2312"/>
          <w:bCs/>
          <w:sz w:val="32"/>
          <w:szCs w:val="32"/>
        </w:rPr>
      </w:pPr>
      <w:r>
        <w:rPr>
          <w:rFonts w:hint="eastAsia" w:ascii="仿宋_GB2312" w:eastAsia="仿宋_GB2312"/>
          <w:bCs/>
          <w:sz w:val="32"/>
          <w:szCs w:val="32"/>
        </w:rPr>
        <w:t>针对业务部分，主要采用核对法和查询法进行检查，其中，核对法是在相关的资料之间进行相互对照比较，以认定其内容是否一致、记录是否正确；查询法是通过查对和询问来取得必要资料，以获得真实可靠证据。</w:t>
      </w:r>
    </w:p>
    <w:p>
      <w:pPr>
        <w:ind w:firstLine="640" w:firstLineChars="200"/>
        <w:rPr>
          <w:rFonts w:ascii="仿宋_GB2312" w:eastAsia="仿宋_GB2312"/>
          <w:bCs/>
          <w:sz w:val="32"/>
          <w:szCs w:val="32"/>
        </w:rPr>
      </w:pPr>
      <w:r>
        <w:rPr>
          <w:rFonts w:hint="eastAsia" w:ascii="仿宋_GB2312" w:eastAsia="仿宋_GB2312"/>
          <w:bCs/>
          <w:sz w:val="32"/>
          <w:szCs w:val="32"/>
        </w:rPr>
        <w:t>针对服务对象满意度部分，主要采取公众调查法，公众调查法是指通过满意度问卷调查或访谈的方式，对学生和教师开展满意度调查，学生和教师满意度问卷样本抽取比例不低于20%，采取纸质和发放二维码相结合的方式发放问卷，以了解职业中专履职服务对象的满意度。</w:t>
      </w:r>
    </w:p>
    <w:p>
      <w:pPr>
        <w:ind w:firstLine="643" w:firstLineChars="200"/>
        <w:outlineLvl w:val="0"/>
        <w:rPr>
          <w:rFonts w:ascii="仿宋_GB2312" w:hAnsi="Times New Roman" w:eastAsia="仿宋_GB2312" w:cs="Times New Roman"/>
          <w:bCs/>
          <w:sz w:val="32"/>
          <w:szCs w:val="32"/>
        </w:rPr>
      </w:pPr>
      <w:r>
        <w:rPr>
          <w:rFonts w:hint="eastAsia" w:ascii="仿宋_GB2312" w:hAnsi="仿宋_GB2312" w:eastAsia="仿宋_GB2312" w:cs="仿宋_GB2312"/>
          <w:b/>
          <w:sz w:val="32"/>
          <w:szCs w:val="32"/>
        </w:rPr>
        <w:t>4.评价指标体系。</w:t>
      </w:r>
      <w:bookmarkStart w:id="33" w:name="_Toc48921868"/>
      <w:bookmarkStart w:id="34" w:name="_Toc48921638"/>
      <w:r>
        <w:rPr>
          <w:rFonts w:hint="eastAsia" w:ascii="仿宋_GB2312" w:hAnsi="Times New Roman" w:eastAsia="仿宋_GB2312" w:cs="Times New Roman"/>
          <w:bCs/>
          <w:sz w:val="32"/>
          <w:szCs w:val="32"/>
        </w:rPr>
        <w:t>根据《财政部关于印发〈预算绩效评价共性指标体系框架〉的通知》（财预〔</w:t>
      </w:r>
      <w:r>
        <w:rPr>
          <w:rFonts w:ascii="仿宋_GB2312" w:hAnsi="Times New Roman" w:eastAsia="仿宋_GB2312" w:cs="Times New Roman"/>
          <w:bCs/>
          <w:sz w:val="32"/>
          <w:szCs w:val="32"/>
        </w:rPr>
        <w:t>2013</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53</w:t>
      </w:r>
      <w:r>
        <w:rPr>
          <w:rFonts w:hint="eastAsia" w:ascii="仿宋_GB2312" w:hAnsi="Times New Roman" w:eastAsia="仿宋_GB2312" w:cs="Times New Roman"/>
          <w:bCs/>
          <w:sz w:val="32"/>
          <w:szCs w:val="32"/>
        </w:rPr>
        <w:t>号）的要求，结合职业中专部门职能职责及特点，评价机构与职业中专共同研究并细化了绩效评价指标体系（详见附件3）。评价内容包括投入、过程、产出、效果四个方面。综合绩效评价总分值为100分，其中投入方面15分，过程方面25分，产出方面33分，效果方面27分。</w:t>
      </w:r>
      <w:bookmarkEnd w:id="33"/>
      <w:bookmarkEnd w:id="34"/>
    </w:p>
    <w:p>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本次绩效评价综合绩效级别分为4个等级：综合得分90—100分为优；综合得分80—89分为良；综合得分60—79分为中；综合得分0—59分为差。</w:t>
      </w:r>
    </w:p>
    <w:p>
      <w:pPr>
        <w:pStyle w:val="3"/>
        <w:spacing w:line="240" w:lineRule="auto"/>
        <w:ind w:firstLine="643"/>
        <w:rPr>
          <w:rFonts w:ascii="楷体_GB2312" w:hAnsi="楷体_GB2312" w:eastAsia="楷体_GB2312" w:cs="楷体_GB2312"/>
          <w:bCs w:val="0"/>
        </w:rPr>
      </w:pPr>
      <w:bookmarkStart w:id="35" w:name="_Toc20333"/>
      <w:bookmarkStart w:id="36" w:name="_Toc17760"/>
      <w:r>
        <w:rPr>
          <w:rFonts w:hint="eastAsia" w:ascii="楷体_GB2312" w:hAnsi="楷体_GB2312" w:eastAsia="楷体_GB2312" w:cs="楷体_GB2312"/>
          <w:bCs w:val="0"/>
        </w:rPr>
        <w:t>（二）评价组织实施</w:t>
      </w:r>
      <w:bookmarkEnd w:id="35"/>
      <w:bookmarkEnd w:id="36"/>
      <w:bookmarkStart w:id="37" w:name="_Toc505776212"/>
      <w:bookmarkStart w:id="38" w:name="_Toc30053"/>
      <w:bookmarkStart w:id="39" w:name="_Toc14207"/>
    </w:p>
    <w:p>
      <w:pPr>
        <w:ind w:firstLine="640" w:firstLineChars="200"/>
        <w:jc w:val="left"/>
        <w:outlineLvl w:val="1"/>
        <w:rPr>
          <w:rFonts w:ascii="仿宋_GB2312" w:eastAsia="仿宋_GB2312"/>
          <w:bCs/>
          <w:sz w:val="32"/>
          <w:szCs w:val="32"/>
        </w:rPr>
      </w:pPr>
      <w:r>
        <w:rPr>
          <w:rFonts w:hint="eastAsia" w:ascii="仿宋_GB2312" w:eastAsia="仿宋_GB2312"/>
          <w:bCs/>
          <w:sz w:val="32"/>
          <w:szCs w:val="32"/>
        </w:rPr>
        <w:t>本次绩效评价工作共分为三个阶段：前期准备阶段、评价实施阶段、报告撰写阶段，拟于2020年</w:t>
      </w:r>
      <w:r>
        <w:rPr>
          <w:rFonts w:hint="eastAsia" w:ascii="仿宋_GB2312" w:eastAsia="仿宋_GB2312"/>
          <w:bCs/>
          <w:sz w:val="32"/>
          <w:szCs w:val="32"/>
          <w:lang w:val="en-US" w:eastAsia="zh-CN"/>
        </w:rPr>
        <w:t>6</w:t>
      </w:r>
      <w:r>
        <w:rPr>
          <w:rFonts w:hint="eastAsia" w:ascii="仿宋_GB2312" w:eastAsia="仿宋_GB2312"/>
          <w:bCs/>
          <w:sz w:val="32"/>
          <w:szCs w:val="32"/>
        </w:rPr>
        <w:t xml:space="preserve">月10日前完成。各阶段具体工作安排如下： </w:t>
      </w:r>
    </w:p>
    <w:p>
      <w:pPr>
        <w:ind w:firstLine="640" w:firstLineChars="200"/>
        <w:rPr>
          <w:rFonts w:ascii="仿宋_GB2312" w:eastAsia="仿宋_GB2312"/>
          <w:bCs/>
          <w:sz w:val="32"/>
          <w:szCs w:val="32"/>
        </w:rPr>
      </w:pPr>
      <w:bookmarkStart w:id="40" w:name="_Toc48921870"/>
      <w:bookmarkStart w:id="41" w:name="_Toc470506801"/>
      <w:bookmarkStart w:id="42" w:name="_Toc471667809"/>
      <w:r>
        <w:rPr>
          <w:rFonts w:hint="eastAsia" w:ascii="仿宋_GB2312" w:eastAsia="仿宋_GB2312"/>
          <w:bCs/>
          <w:sz w:val="32"/>
          <w:szCs w:val="32"/>
        </w:rPr>
        <w:t>1.前期准备阶段（2020年</w:t>
      </w:r>
      <w:r>
        <w:rPr>
          <w:rFonts w:hint="eastAsia" w:ascii="仿宋_GB2312" w:eastAsia="仿宋_GB2312"/>
          <w:bCs/>
          <w:sz w:val="32"/>
          <w:szCs w:val="32"/>
          <w:lang w:val="en-US" w:eastAsia="zh-CN"/>
        </w:rPr>
        <w:t>6</w:t>
      </w:r>
      <w:r>
        <w:rPr>
          <w:rFonts w:hint="eastAsia" w:ascii="仿宋_GB2312" w:eastAsia="仿宋_GB2312"/>
          <w:bCs/>
          <w:sz w:val="32"/>
          <w:szCs w:val="32"/>
        </w:rPr>
        <w:t>月24日-</w:t>
      </w:r>
      <w:r>
        <w:rPr>
          <w:rFonts w:hint="eastAsia" w:ascii="仿宋_GB2312" w:eastAsia="仿宋_GB2312"/>
          <w:bCs/>
          <w:sz w:val="32"/>
          <w:szCs w:val="32"/>
          <w:lang w:val="en-US" w:eastAsia="zh-CN"/>
        </w:rPr>
        <w:t>6</w:t>
      </w:r>
      <w:r>
        <w:rPr>
          <w:rFonts w:hint="eastAsia" w:ascii="仿宋_GB2312" w:eastAsia="仿宋_GB2312"/>
          <w:bCs/>
          <w:sz w:val="32"/>
          <w:szCs w:val="32"/>
        </w:rPr>
        <w:t>月1日）</w:t>
      </w:r>
      <w:bookmarkEnd w:id="40"/>
      <w:bookmarkEnd w:id="41"/>
      <w:bookmarkEnd w:id="42"/>
    </w:p>
    <w:p>
      <w:pPr>
        <w:ind w:firstLine="640" w:firstLineChars="200"/>
        <w:rPr>
          <w:rFonts w:ascii="仿宋_GB2312" w:eastAsia="仿宋_GB2312"/>
          <w:bCs/>
          <w:sz w:val="32"/>
          <w:szCs w:val="32"/>
        </w:rPr>
      </w:pPr>
      <w:r>
        <w:rPr>
          <w:rFonts w:hint="eastAsia" w:ascii="仿宋_GB2312" w:eastAsia="仿宋_GB2312"/>
          <w:bCs/>
          <w:sz w:val="32"/>
          <w:szCs w:val="32"/>
        </w:rPr>
        <w:t>（1）制定工作方案。为保证绩效评价工作质量，评价机构在初步收集整理相关资料的基础上，制定工作方案，对评价对象、评价内容、评价依据、评价指标、评价方式方法、评价程序和时间安排、评价人员安排等做出具体规定。提交区财政局绩效评价领导小组确认后，作为本次绩效评价工作开展的规范性文件。</w:t>
      </w:r>
    </w:p>
    <w:p>
      <w:pPr>
        <w:ind w:firstLine="640" w:firstLineChars="200"/>
        <w:rPr>
          <w:rFonts w:ascii="仿宋_GB2312" w:eastAsia="仿宋_GB2312"/>
          <w:bCs/>
          <w:sz w:val="32"/>
          <w:szCs w:val="32"/>
        </w:rPr>
      </w:pPr>
      <w:r>
        <w:rPr>
          <w:rFonts w:hint="eastAsia" w:ascii="仿宋_GB2312" w:eastAsia="仿宋_GB2312"/>
          <w:bCs/>
          <w:sz w:val="32"/>
          <w:szCs w:val="32"/>
        </w:rPr>
        <w:t>（2）组建工作组。评价机构结合职业中专实际情况，根据工作所需，组建工作组，并聘请有关专家参与。</w:t>
      </w:r>
    </w:p>
    <w:p>
      <w:pPr>
        <w:ind w:firstLine="640" w:firstLineChars="200"/>
        <w:rPr>
          <w:rFonts w:ascii="仿宋_GB2312" w:eastAsia="仿宋_GB2312"/>
          <w:bCs/>
          <w:sz w:val="32"/>
          <w:szCs w:val="32"/>
        </w:rPr>
      </w:pPr>
      <w:r>
        <w:rPr>
          <w:rFonts w:hint="eastAsia" w:ascii="仿宋_GB2312" w:eastAsia="仿宋_GB2312"/>
          <w:bCs/>
          <w:sz w:val="32"/>
          <w:szCs w:val="32"/>
        </w:rPr>
        <w:t>（3）下达绩效评价通知书。区财政局绩效评价领导小组根据审核确认后的《工作方案》的实施步骤，对职业中专下达绩效评价通知书，明确评价任务、评价内容、评价工作进程安排、应提供的资料及上报资料时间等。</w:t>
      </w:r>
    </w:p>
    <w:p>
      <w:pPr>
        <w:ind w:firstLine="640" w:firstLineChars="200"/>
        <w:rPr>
          <w:rFonts w:ascii="仿宋_GB2312" w:eastAsia="仿宋_GB2312"/>
          <w:bCs/>
          <w:sz w:val="32"/>
          <w:szCs w:val="32"/>
        </w:rPr>
      </w:pPr>
      <w:r>
        <w:rPr>
          <w:rFonts w:hint="eastAsia" w:ascii="仿宋_GB2312" w:eastAsia="仿宋_GB2312"/>
          <w:bCs/>
          <w:sz w:val="32"/>
          <w:szCs w:val="32"/>
        </w:rPr>
        <w:t>（4）职业中专根据评价机构提供的绩效报告模版，汇总撰写绩效报告，对照需准备资料清单，提交资料；评价机构跟踪绩效报告撰写情况。</w:t>
      </w:r>
    </w:p>
    <w:p>
      <w:pPr>
        <w:ind w:firstLine="640" w:firstLineChars="200"/>
        <w:rPr>
          <w:rFonts w:asciiTheme="minorEastAsia" w:hAnsiTheme="minorEastAsia"/>
          <w:sz w:val="28"/>
          <w:szCs w:val="28"/>
        </w:rPr>
      </w:pPr>
      <w:r>
        <w:rPr>
          <w:rFonts w:hint="eastAsia" w:ascii="仿宋_GB2312" w:eastAsia="仿宋_GB2312"/>
          <w:bCs/>
          <w:sz w:val="32"/>
          <w:szCs w:val="32"/>
        </w:rPr>
        <w:t>（5）形式审查。评价机构对职业中专提交的绩效报告和相关资料进行审查，对不能满足评价需要、存在重大缺项漏项的退回修改。</w:t>
      </w:r>
    </w:p>
    <w:p>
      <w:pPr>
        <w:ind w:firstLine="640" w:firstLineChars="200"/>
        <w:rPr>
          <w:rFonts w:ascii="仿宋_GB2312" w:eastAsia="仿宋_GB2312"/>
          <w:bCs/>
          <w:sz w:val="32"/>
          <w:szCs w:val="32"/>
        </w:rPr>
      </w:pPr>
      <w:bookmarkStart w:id="43" w:name="_Toc471667810"/>
      <w:bookmarkStart w:id="44" w:name="_Toc48921871"/>
      <w:bookmarkStart w:id="45" w:name="_Toc470506802"/>
      <w:r>
        <w:rPr>
          <w:rFonts w:hint="eastAsia" w:ascii="仿宋_GB2312" w:eastAsia="仿宋_GB2312"/>
          <w:bCs/>
          <w:sz w:val="32"/>
          <w:szCs w:val="32"/>
        </w:rPr>
        <w:t>2.评价实施阶段（2020年</w:t>
      </w:r>
      <w:r>
        <w:rPr>
          <w:rFonts w:hint="eastAsia" w:ascii="仿宋_GB2312" w:eastAsia="仿宋_GB2312"/>
          <w:bCs/>
          <w:sz w:val="32"/>
          <w:szCs w:val="32"/>
          <w:lang w:val="en-US" w:eastAsia="zh-CN"/>
        </w:rPr>
        <w:t>6</w:t>
      </w:r>
      <w:r>
        <w:rPr>
          <w:rFonts w:hint="eastAsia" w:ascii="仿宋_GB2312" w:eastAsia="仿宋_GB2312"/>
          <w:bCs/>
          <w:sz w:val="32"/>
          <w:szCs w:val="32"/>
        </w:rPr>
        <w:t>月2日-</w:t>
      </w:r>
      <w:r>
        <w:rPr>
          <w:rFonts w:hint="eastAsia" w:ascii="仿宋_GB2312" w:eastAsia="仿宋_GB2312"/>
          <w:bCs/>
          <w:sz w:val="32"/>
          <w:szCs w:val="32"/>
          <w:lang w:val="en-US" w:eastAsia="zh-CN"/>
        </w:rPr>
        <w:t>6</w:t>
      </w:r>
      <w:r>
        <w:rPr>
          <w:rFonts w:hint="eastAsia" w:ascii="仿宋_GB2312" w:eastAsia="仿宋_GB2312"/>
          <w:bCs/>
          <w:sz w:val="32"/>
          <w:szCs w:val="32"/>
        </w:rPr>
        <w:t>月7日）</w:t>
      </w:r>
      <w:bookmarkEnd w:id="43"/>
      <w:bookmarkEnd w:id="44"/>
      <w:bookmarkEnd w:id="45"/>
    </w:p>
    <w:p>
      <w:pPr>
        <w:ind w:firstLine="640" w:firstLineChars="200"/>
        <w:rPr>
          <w:rFonts w:ascii="仿宋_GB2312" w:eastAsia="仿宋_GB2312"/>
          <w:bCs/>
          <w:sz w:val="32"/>
          <w:szCs w:val="32"/>
        </w:rPr>
      </w:pPr>
      <w:r>
        <w:rPr>
          <w:rFonts w:hint="eastAsia" w:ascii="仿宋_GB2312" w:eastAsia="仿宋_GB2312"/>
          <w:bCs/>
          <w:sz w:val="32"/>
          <w:szCs w:val="32"/>
        </w:rPr>
        <w:t>（1）制定工作手册。评价机构制定工作手册，明确细化工作程序和内容。</w:t>
      </w:r>
    </w:p>
    <w:p>
      <w:pPr>
        <w:ind w:firstLine="640" w:firstLineChars="200"/>
        <w:rPr>
          <w:rFonts w:ascii="仿宋_GB2312" w:eastAsia="仿宋_GB2312"/>
          <w:bCs/>
          <w:sz w:val="32"/>
          <w:szCs w:val="32"/>
        </w:rPr>
      </w:pPr>
      <w:r>
        <w:rPr>
          <w:rFonts w:hint="eastAsia" w:ascii="仿宋_GB2312" w:eastAsia="仿宋_GB2312"/>
          <w:bCs/>
          <w:sz w:val="32"/>
          <w:szCs w:val="32"/>
        </w:rPr>
        <w:t>（2）现场勘查。区财政局绩效评价领导小组下达评价通知书后，评价机构赴职业中专进行实地勘查，主要对职业中专整体支出目标设置、预算配置、预算执行、预算管理、资产管理、部门履职、履职效益等情况进行现场勘查。对现场掌握的有关信息资料进行分类、整理和初步分析，出具现场勘查意见。具体工作内容为：</w:t>
      </w:r>
    </w:p>
    <w:p>
      <w:pPr>
        <w:ind w:firstLine="640" w:firstLineChars="200"/>
        <w:rPr>
          <w:rFonts w:ascii="仿宋_GB2312" w:eastAsia="仿宋_GB2312"/>
          <w:bCs/>
          <w:sz w:val="32"/>
          <w:szCs w:val="32"/>
        </w:rPr>
      </w:pPr>
      <w:r>
        <w:rPr>
          <w:rFonts w:hint="eastAsia" w:ascii="仿宋" w:hAnsi="仿宋" w:eastAsia="仿宋"/>
          <w:bCs/>
          <w:sz w:val="32"/>
          <w:szCs w:val="32"/>
        </w:rPr>
        <w:t>①</w:t>
      </w:r>
      <w:r>
        <w:rPr>
          <w:rFonts w:hint="eastAsia" w:ascii="仿宋_GB2312" w:eastAsia="仿宋_GB2312"/>
          <w:bCs/>
          <w:sz w:val="32"/>
          <w:szCs w:val="32"/>
        </w:rPr>
        <w:t>资料收集。根据《2019年度山亭区职业中专整体支出绩效评价需准备资料清单》，核实职业中专部门整体支出资料提交情况。</w:t>
      </w:r>
    </w:p>
    <w:p>
      <w:pPr>
        <w:ind w:firstLine="640" w:firstLineChars="200"/>
        <w:rPr>
          <w:rFonts w:ascii="仿宋_GB2312" w:eastAsia="仿宋_GB2312"/>
          <w:bCs/>
          <w:sz w:val="32"/>
          <w:szCs w:val="32"/>
        </w:rPr>
      </w:pPr>
      <w:r>
        <w:rPr>
          <w:rFonts w:hint="eastAsia" w:ascii="宋体" w:hAnsi="宋体" w:eastAsia="宋体"/>
          <w:bCs/>
          <w:sz w:val="32"/>
          <w:szCs w:val="32"/>
        </w:rPr>
        <w:t>②</w:t>
      </w:r>
      <w:r>
        <w:rPr>
          <w:rFonts w:hint="eastAsia" w:ascii="仿宋_GB2312" w:eastAsia="仿宋_GB2312"/>
          <w:bCs/>
          <w:sz w:val="32"/>
          <w:szCs w:val="32"/>
        </w:rPr>
        <w:t>资料分析。一是分析预算批复、决算、调整说明、政府采购计划等资料，了解职业中专的预算配置及预算执行情况；二是分析截至2019年12月31日的科目余额汇总账，初步拟定现场重点核查的会计科目。</w:t>
      </w:r>
    </w:p>
    <w:p>
      <w:pPr>
        <w:ind w:firstLine="640" w:firstLineChars="200"/>
        <w:rPr>
          <w:rFonts w:ascii="仿宋_GB2312" w:eastAsia="仿宋_GB2312"/>
          <w:bCs/>
          <w:sz w:val="32"/>
          <w:szCs w:val="32"/>
        </w:rPr>
      </w:pPr>
      <w:r>
        <w:rPr>
          <w:rFonts w:hint="eastAsia" w:ascii="宋体" w:hAnsi="宋体" w:eastAsia="宋体"/>
          <w:bCs/>
          <w:sz w:val="32"/>
          <w:szCs w:val="32"/>
        </w:rPr>
        <w:t>③</w:t>
      </w:r>
      <w:r>
        <w:rPr>
          <w:rFonts w:hint="eastAsia" w:ascii="仿宋_GB2312" w:eastAsia="仿宋_GB2312"/>
          <w:bCs/>
          <w:sz w:val="32"/>
          <w:szCs w:val="32"/>
        </w:rPr>
        <w:t>管理制度检查。通过查看职业中专预算资金管理、财务管理等方面的制度文件，评价职业中专制度管理的完整性和合规性。</w:t>
      </w:r>
    </w:p>
    <w:p>
      <w:pPr>
        <w:ind w:firstLine="640" w:firstLineChars="200"/>
        <w:rPr>
          <w:rFonts w:ascii="仿宋_GB2312" w:eastAsia="仿宋_GB2312"/>
          <w:bCs/>
          <w:sz w:val="32"/>
          <w:szCs w:val="32"/>
        </w:rPr>
      </w:pPr>
      <w:r>
        <w:rPr>
          <w:rFonts w:hint="eastAsia" w:ascii="仿宋" w:hAnsi="仿宋" w:eastAsia="仿宋"/>
          <w:bCs/>
          <w:sz w:val="32"/>
          <w:szCs w:val="32"/>
        </w:rPr>
        <w:t>④</w:t>
      </w:r>
      <w:r>
        <w:rPr>
          <w:rFonts w:hint="eastAsia" w:ascii="仿宋_GB2312" w:eastAsia="仿宋_GB2312"/>
          <w:bCs/>
          <w:sz w:val="32"/>
          <w:szCs w:val="32"/>
        </w:rPr>
        <w:t>会计凭证抽查。通过对重点核查会计科目及“三公经费”支出的相关会计凭证进行抽查，评价职业中专的资金使用合规性及基础信息完善性。</w:t>
      </w:r>
    </w:p>
    <w:p>
      <w:pPr>
        <w:ind w:firstLine="640" w:firstLineChars="200"/>
        <w:rPr>
          <w:rFonts w:ascii="仿宋_GB2312" w:eastAsia="仿宋_GB2312"/>
          <w:bCs/>
          <w:sz w:val="32"/>
          <w:szCs w:val="32"/>
        </w:rPr>
      </w:pPr>
      <w:r>
        <w:rPr>
          <w:rFonts w:hint="eastAsia" w:ascii="仿宋" w:hAnsi="仿宋" w:eastAsia="仿宋"/>
          <w:bCs/>
          <w:sz w:val="32"/>
          <w:szCs w:val="32"/>
        </w:rPr>
        <w:t>⑤</w:t>
      </w:r>
      <w:r>
        <w:rPr>
          <w:rFonts w:hint="eastAsia" w:ascii="仿宋_GB2312" w:eastAsia="仿宋_GB2312"/>
          <w:bCs/>
          <w:sz w:val="32"/>
          <w:szCs w:val="32"/>
        </w:rPr>
        <w:t>资产抽查。通过查看资产管理制度、资产购置相关资料、资产台账、资产处置审批文件等，对实物资产的使用和保存进行抽盘，评价职业中专的资产管理情况。</w:t>
      </w:r>
    </w:p>
    <w:p>
      <w:pPr>
        <w:ind w:firstLine="640" w:firstLineChars="200"/>
        <w:rPr>
          <w:rFonts w:ascii="仿宋_GB2312" w:eastAsia="仿宋_GB2312"/>
          <w:bCs/>
          <w:sz w:val="32"/>
          <w:szCs w:val="32"/>
        </w:rPr>
      </w:pPr>
      <w:r>
        <w:rPr>
          <w:rFonts w:hint="eastAsia" w:ascii="宋体" w:hAnsi="宋体" w:eastAsia="宋体"/>
          <w:bCs/>
          <w:sz w:val="32"/>
          <w:szCs w:val="32"/>
        </w:rPr>
        <w:t>⑥</w:t>
      </w:r>
      <w:r>
        <w:rPr>
          <w:rFonts w:hint="eastAsia" w:ascii="仿宋_GB2312" w:eastAsia="仿宋_GB2312"/>
          <w:bCs/>
          <w:sz w:val="32"/>
          <w:szCs w:val="32"/>
        </w:rPr>
        <w:t>绩效目标完成情况核实。通过查看职业中专整体支出绩效目标申报表，通过业务资料查对和询问的方式，核实绩效目标的完成情况，评价职业中专的目标设置、部门履职和履职效益情况。</w:t>
      </w:r>
    </w:p>
    <w:p>
      <w:pPr>
        <w:ind w:firstLine="640" w:firstLineChars="200"/>
        <w:rPr>
          <w:rFonts w:ascii="仿宋_GB2312" w:eastAsia="仿宋_GB2312"/>
          <w:bCs/>
          <w:sz w:val="32"/>
          <w:szCs w:val="32"/>
        </w:rPr>
      </w:pPr>
      <w:r>
        <w:rPr>
          <w:rFonts w:hint="eastAsia" w:ascii="宋体" w:hAnsi="宋体" w:eastAsia="宋体"/>
          <w:bCs/>
          <w:sz w:val="32"/>
          <w:szCs w:val="32"/>
        </w:rPr>
        <w:t>⑦</w:t>
      </w:r>
      <w:r>
        <w:rPr>
          <w:rFonts w:hint="eastAsia" w:ascii="仿宋_GB2312" w:eastAsia="仿宋_GB2312"/>
          <w:bCs/>
          <w:sz w:val="32"/>
          <w:szCs w:val="32"/>
        </w:rPr>
        <w:t>结合以上现场勘查情况，整理工作底稿。</w:t>
      </w:r>
    </w:p>
    <w:p>
      <w:pPr>
        <w:ind w:firstLine="640" w:firstLineChars="200"/>
        <w:rPr>
          <w:rFonts w:ascii="仿宋_GB2312" w:eastAsia="仿宋_GB2312"/>
          <w:bCs/>
          <w:sz w:val="32"/>
          <w:szCs w:val="32"/>
        </w:rPr>
      </w:pPr>
      <w:r>
        <w:rPr>
          <w:rFonts w:hint="eastAsia" w:ascii="仿宋_GB2312" w:eastAsia="仿宋_GB2312"/>
          <w:bCs/>
          <w:sz w:val="32"/>
          <w:szCs w:val="32"/>
        </w:rPr>
        <w:t>（3）开展满意度调查。评价机构通过满意度问卷调查或面谈访问的方式，对学生和教师开展满意度调查。</w:t>
      </w:r>
    </w:p>
    <w:p>
      <w:pPr>
        <w:ind w:firstLine="640" w:firstLineChars="200"/>
        <w:rPr>
          <w:rFonts w:ascii="仿宋_GB2312" w:eastAsia="仿宋_GB2312"/>
          <w:bCs/>
          <w:sz w:val="32"/>
          <w:szCs w:val="32"/>
        </w:rPr>
      </w:pPr>
      <w:r>
        <w:rPr>
          <w:rFonts w:hint="eastAsia" w:ascii="仿宋_GB2312" w:eastAsia="仿宋_GB2312"/>
          <w:bCs/>
          <w:sz w:val="32"/>
          <w:szCs w:val="32"/>
        </w:rPr>
        <w:t>（4）综合评价。评价组根据现场勘查情况、满意度调查情况和绩效报告等资料，按照评价指标、评价标准等对职业中专整体支出的执行情况和经费使用情况进行总体评价，出具绩效评价意见。</w:t>
      </w:r>
    </w:p>
    <w:p>
      <w:pPr>
        <w:ind w:firstLine="640" w:firstLineChars="200"/>
        <w:rPr>
          <w:rFonts w:ascii="仿宋_GB2312" w:eastAsia="仿宋_GB2312"/>
          <w:bCs/>
          <w:sz w:val="32"/>
          <w:szCs w:val="32"/>
        </w:rPr>
      </w:pPr>
      <w:bookmarkStart w:id="46" w:name="_Toc48921872"/>
      <w:bookmarkStart w:id="47" w:name="_Toc471667811"/>
      <w:bookmarkStart w:id="48" w:name="_Toc470506803"/>
      <w:r>
        <w:rPr>
          <w:rFonts w:hint="eastAsia" w:ascii="仿宋_GB2312" w:eastAsia="仿宋_GB2312"/>
          <w:bCs/>
          <w:sz w:val="32"/>
          <w:szCs w:val="32"/>
        </w:rPr>
        <w:t>3.报告撰写阶段（2020年</w:t>
      </w:r>
      <w:r>
        <w:rPr>
          <w:rFonts w:hint="eastAsia" w:ascii="仿宋_GB2312" w:eastAsia="仿宋_GB2312"/>
          <w:bCs/>
          <w:sz w:val="32"/>
          <w:szCs w:val="32"/>
          <w:lang w:val="en-US" w:eastAsia="zh-CN"/>
        </w:rPr>
        <w:t>6</w:t>
      </w:r>
      <w:r>
        <w:rPr>
          <w:rFonts w:hint="eastAsia" w:ascii="仿宋_GB2312" w:eastAsia="仿宋_GB2312"/>
          <w:bCs/>
          <w:sz w:val="32"/>
          <w:szCs w:val="32"/>
        </w:rPr>
        <w:t>月8日-</w:t>
      </w:r>
      <w:r>
        <w:rPr>
          <w:rFonts w:hint="eastAsia" w:ascii="仿宋_GB2312" w:eastAsia="仿宋_GB2312"/>
          <w:bCs/>
          <w:sz w:val="32"/>
          <w:szCs w:val="32"/>
          <w:lang w:val="en-US" w:eastAsia="zh-CN"/>
        </w:rPr>
        <w:t>6</w:t>
      </w:r>
      <w:r>
        <w:rPr>
          <w:rFonts w:hint="eastAsia" w:ascii="仿宋_GB2312" w:eastAsia="仿宋_GB2312"/>
          <w:bCs/>
          <w:sz w:val="32"/>
          <w:szCs w:val="32"/>
        </w:rPr>
        <w:t>月10日）</w:t>
      </w:r>
      <w:bookmarkEnd w:id="46"/>
      <w:bookmarkEnd w:id="47"/>
      <w:bookmarkEnd w:id="48"/>
    </w:p>
    <w:p>
      <w:pPr>
        <w:ind w:firstLine="640" w:firstLineChars="200"/>
        <w:rPr>
          <w:rFonts w:ascii="仿宋_GB2312" w:eastAsia="仿宋_GB2312"/>
          <w:bCs/>
          <w:sz w:val="32"/>
          <w:szCs w:val="32"/>
        </w:rPr>
      </w:pPr>
      <w:r>
        <w:rPr>
          <w:rFonts w:hint="eastAsia" w:ascii="仿宋_GB2312" w:eastAsia="仿宋_GB2312"/>
          <w:bCs/>
          <w:sz w:val="32"/>
          <w:szCs w:val="32"/>
        </w:rPr>
        <w:t>评价机构根据整体支出综合评价意见，结合收集的资料和现场调研情况等，撰写《2019年山亭区职业中专部门整体支出绩效评价报告》，经机构内部审核后，提交区财政局绩效评价领导小组，并接受区财政局绩效评价领导小组对绩效评价结果的集中会评。</w:t>
      </w:r>
    </w:p>
    <w:p>
      <w:pPr>
        <w:pStyle w:val="2"/>
        <w:spacing w:line="240" w:lineRule="auto"/>
        <w:ind w:firstLine="640"/>
        <w:rPr>
          <w:rFonts w:ascii="黑体" w:hAnsi="黑体" w:cs="黑体"/>
          <w:sz w:val="32"/>
          <w:szCs w:val="32"/>
        </w:rPr>
      </w:pPr>
      <w:r>
        <w:rPr>
          <w:rFonts w:hint="eastAsia" w:ascii="黑体" w:hAnsi="黑体" w:cs="黑体"/>
          <w:sz w:val="32"/>
          <w:szCs w:val="32"/>
        </w:rPr>
        <w:t>三、总体评价结论</w:t>
      </w:r>
      <w:bookmarkEnd w:id="37"/>
      <w:bookmarkEnd w:id="38"/>
      <w:bookmarkEnd w:id="39"/>
    </w:p>
    <w:p>
      <w:pPr>
        <w:pStyle w:val="3"/>
        <w:spacing w:line="240" w:lineRule="auto"/>
        <w:ind w:firstLine="643"/>
        <w:rPr>
          <w:rFonts w:ascii="楷体_GB2312" w:hAnsi="楷体_GB2312" w:eastAsia="楷体_GB2312" w:cs="楷体_GB2312"/>
          <w:bCs w:val="0"/>
        </w:rPr>
      </w:pPr>
      <w:bookmarkStart w:id="49" w:name="_Toc1510"/>
      <w:bookmarkStart w:id="50" w:name="_Toc505776213"/>
      <w:bookmarkStart w:id="51" w:name="_Toc17942"/>
      <w:r>
        <w:rPr>
          <w:rFonts w:hint="eastAsia" w:ascii="楷体_GB2312" w:hAnsi="楷体_GB2312" w:eastAsia="楷体_GB2312" w:cs="楷体_GB2312"/>
          <w:bCs w:val="0"/>
        </w:rPr>
        <w:t>（一）评价得分情况</w:t>
      </w:r>
      <w:bookmarkEnd w:id="49"/>
      <w:bookmarkEnd w:id="50"/>
      <w:bookmarkEnd w:id="51"/>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经评价机构工作组评价，2019年度职业中专部门整体支出绩效评价综合评价得分为83.23分。其中，投入方面12分，过程方面16.58分，产出方面27.65分，</w:t>
      </w:r>
      <w:r>
        <w:rPr>
          <w:rFonts w:hint="eastAsia" w:ascii="仿宋_GB2312" w:hAnsi="仿宋_GB2312" w:eastAsia="仿宋_GB2312" w:cs="仿宋_GB2312"/>
          <w:spacing w:val="-6"/>
          <w:sz w:val="32"/>
          <w:szCs w:val="32"/>
        </w:rPr>
        <w:t>效果</w:t>
      </w:r>
      <w:r>
        <w:rPr>
          <w:rFonts w:hint="eastAsia" w:ascii="仿宋_GB2312" w:hAnsi="仿宋_GB2312" w:eastAsia="仿宋_GB2312" w:cs="仿宋_GB2312"/>
          <w:sz w:val="32"/>
          <w:szCs w:val="32"/>
        </w:rPr>
        <w:t>方面27.00</w:t>
      </w:r>
      <w:r>
        <w:rPr>
          <w:rFonts w:hint="eastAsia" w:ascii="仿宋_GB2312" w:hAnsi="仿宋_GB2312" w:eastAsia="仿宋_GB2312" w:cs="仿宋_GB2312"/>
          <w:spacing w:val="-6"/>
          <w:sz w:val="32"/>
          <w:szCs w:val="32"/>
        </w:rPr>
        <w:t>分，综合绩效级别为“良”（绩效评价专家组意见表详见附件</w:t>
      </w:r>
      <w:r>
        <w:rPr>
          <w:rFonts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2019年度职业中专部门整体支出</w:t>
      </w:r>
      <w:r>
        <w:rPr>
          <w:rFonts w:hint="eastAsia" w:ascii="仿宋_GB2312" w:hAnsi="仿宋_GB2312" w:eastAsia="仿宋_GB2312" w:cs="仿宋_GB2312"/>
          <w:spacing w:val="-6"/>
          <w:sz w:val="32"/>
          <w:szCs w:val="32"/>
        </w:rPr>
        <w:t>绩效评价得分情况详见表2。</w:t>
      </w:r>
    </w:p>
    <w:p>
      <w:pPr>
        <w:tabs>
          <w:tab w:val="left" w:pos="6405"/>
        </w:tabs>
        <w:adjustRightInd w:val="0"/>
        <w:snapToGrid w:val="0"/>
        <w:spacing w:line="360" w:lineRule="auto"/>
        <w:ind w:firstLine="480" w:firstLineChars="200"/>
        <w:jc w:val="center"/>
        <w:rPr>
          <w:rFonts w:ascii="仿宋_GB2312" w:hAnsi="仿宋_GB2312" w:eastAsia="仿宋_GB2312" w:cs="仿宋_GB2312"/>
          <w:bCs/>
          <w:sz w:val="24"/>
          <w:szCs w:val="28"/>
        </w:rPr>
      </w:pPr>
      <w:r>
        <w:rPr>
          <w:rFonts w:hint="eastAsia" w:ascii="仿宋_GB2312" w:hAnsi="仿宋_GB2312" w:eastAsia="仿宋_GB2312" w:cs="仿宋_GB2312"/>
          <w:bCs/>
          <w:sz w:val="24"/>
          <w:szCs w:val="28"/>
        </w:rPr>
        <w:t>表</w:t>
      </w:r>
      <w:r>
        <w:rPr>
          <w:rFonts w:ascii="仿宋_GB2312" w:hAnsi="仿宋_GB2312" w:eastAsia="仿宋_GB2312" w:cs="仿宋_GB2312"/>
          <w:bCs/>
          <w:sz w:val="24"/>
          <w:szCs w:val="28"/>
        </w:rPr>
        <w:t>2</w:t>
      </w:r>
      <w:r>
        <w:rPr>
          <w:rFonts w:hint="eastAsia" w:ascii="仿宋_GB2312" w:hAnsi="仿宋_GB2312" w:eastAsia="仿宋_GB2312" w:cs="仿宋_GB2312"/>
          <w:bCs/>
          <w:sz w:val="24"/>
          <w:szCs w:val="28"/>
        </w:rPr>
        <w:t>：2019年度职业中专部门整体支出绩效评价得分情况表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0" w:type="dxa"/>
            <w:shd w:val="clear" w:color="auto" w:fill="BEBEBE" w:themeFill="background1" w:themeFillShade="BF"/>
            <w:vAlign w:val="center"/>
          </w:tcPr>
          <w:p>
            <w:pPr>
              <w:tabs>
                <w:tab w:val="left" w:pos="6405"/>
              </w:tabs>
              <w:adjustRightInd w:val="0"/>
              <w:snapToGrid w:val="0"/>
              <w:jc w:val="center"/>
              <w:rPr>
                <w:rFonts w:ascii="黑体" w:hAnsi="黑体" w:eastAsia="黑体" w:cs="黑体"/>
                <w:bCs/>
                <w:sz w:val="24"/>
                <w:szCs w:val="24"/>
              </w:rPr>
            </w:pPr>
            <w:r>
              <w:rPr>
                <w:rFonts w:hint="eastAsia" w:ascii="黑体" w:hAnsi="黑体" w:eastAsia="黑体" w:cs="黑体"/>
                <w:bCs/>
                <w:sz w:val="24"/>
                <w:szCs w:val="24"/>
              </w:rPr>
              <w:t>评价内容</w:t>
            </w:r>
          </w:p>
        </w:tc>
        <w:tc>
          <w:tcPr>
            <w:tcW w:w="2841" w:type="dxa"/>
            <w:shd w:val="clear" w:color="auto" w:fill="BEBEBE" w:themeFill="background1" w:themeFillShade="BF"/>
            <w:vAlign w:val="center"/>
          </w:tcPr>
          <w:p>
            <w:pPr>
              <w:tabs>
                <w:tab w:val="left" w:pos="6405"/>
              </w:tabs>
              <w:adjustRightInd w:val="0"/>
              <w:snapToGrid w:val="0"/>
              <w:jc w:val="center"/>
              <w:rPr>
                <w:rFonts w:ascii="黑体" w:hAnsi="黑体" w:eastAsia="黑体" w:cs="黑体"/>
                <w:bCs/>
                <w:sz w:val="24"/>
                <w:szCs w:val="24"/>
              </w:rPr>
            </w:pPr>
            <w:r>
              <w:rPr>
                <w:rFonts w:hint="eastAsia" w:ascii="黑体" w:hAnsi="黑体" w:eastAsia="黑体" w:cs="黑体"/>
                <w:bCs/>
                <w:sz w:val="24"/>
                <w:szCs w:val="24"/>
              </w:rPr>
              <w:t>分值</w:t>
            </w:r>
          </w:p>
        </w:tc>
        <w:tc>
          <w:tcPr>
            <w:tcW w:w="2841" w:type="dxa"/>
            <w:shd w:val="clear" w:color="auto" w:fill="BEBEBE" w:themeFill="background1" w:themeFillShade="BF"/>
            <w:vAlign w:val="center"/>
          </w:tcPr>
          <w:p>
            <w:pPr>
              <w:tabs>
                <w:tab w:val="left" w:pos="6405"/>
              </w:tabs>
              <w:adjustRightInd w:val="0"/>
              <w:snapToGrid w:val="0"/>
              <w:jc w:val="center"/>
              <w:rPr>
                <w:rFonts w:ascii="黑体" w:hAnsi="黑体" w:eastAsia="黑体" w:cs="黑体"/>
                <w:bCs/>
                <w:sz w:val="24"/>
                <w:szCs w:val="24"/>
              </w:rPr>
            </w:pPr>
            <w:r>
              <w:rPr>
                <w:rFonts w:hint="eastAsia" w:ascii="黑体" w:hAnsi="黑体" w:eastAsia="黑体" w:cs="黑体"/>
                <w:bCs/>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投入</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过程</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产出</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效果</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综合得分</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综合绩效级别</w:t>
            </w:r>
          </w:p>
        </w:tc>
        <w:tc>
          <w:tcPr>
            <w:tcW w:w="5682" w:type="dxa"/>
            <w:gridSpan w:val="2"/>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良</w:t>
            </w:r>
          </w:p>
        </w:tc>
      </w:tr>
    </w:tbl>
    <w:p>
      <w:bookmarkStart w:id="52" w:name="_Toc13468"/>
      <w:bookmarkStart w:id="53" w:name="_Toc505776214"/>
    </w:p>
    <w:p>
      <w:pPr>
        <w:pStyle w:val="3"/>
        <w:spacing w:line="240" w:lineRule="auto"/>
        <w:ind w:firstLine="643"/>
        <w:rPr>
          <w:rFonts w:ascii="楷体_GB2312" w:hAnsi="楷体_GB2312" w:eastAsia="楷体_GB2312" w:cs="楷体_GB2312"/>
          <w:bCs w:val="0"/>
        </w:rPr>
      </w:pPr>
      <w:bookmarkStart w:id="54" w:name="_Toc32357"/>
      <w:r>
        <w:rPr>
          <w:rFonts w:hint="eastAsia" w:ascii="楷体_GB2312" w:hAnsi="楷体_GB2312" w:eastAsia="楷体_GB2312" w:cs="楷体_GB2312"/>
          <w:bCs w:val="0"/>
        </w:rPr>
        <w:t>（二）部门整体支出所实现的主要绩效</w:t>
      </w:r>
      <w:bookmarkEnd w:id="52"/>
      <w:bookmarkEnd w:id="53"/>
      <w:bookmarkEnd w:id="5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2019年度职业中专依据单位职能结合年度工作需要，编制了年度预算，绩效情况良好。具体表现为：</w:t>
      </w:r>
      <w:bookmarkStart w:id="55" w:name="_Toc505776215"/>
      <w:bookmarkStart w:id="56" w:name="_Toc13265"/>
      <w:bookmarkStart w:id="57" w:name="_Toc3605"/>
    </w:p>
    <w:p>
      <w:pPr>
        <w:ind w:firstLine="640" w:firstLineChars="200"/>
        <w:rPr>
          <w:rFonts w:ascii="仿宋_GB2312" w:eastAsia="仿宋_GB2312"/>
          <w:bCs/>
          <w:sz w:val="32"/>
          <w:szCs w:val="32"/>
        </w:rPr>
      </w:pPr>
      <w:r>
        <w:rPr>
          <w:rFonts w:hint="eastAsia" w:ascii="仿宋_GB2312" w:eastAsia="仿宋_GB2312"/>
          <w:bCs/>
          <w:sz w:val="32"/>
          <w:szCs w:val="32"/>
        </w:rPr>
        <w:t>1．扩大学校办学规模方面。2019年底在校生人数达到982人，开展枣庄市2019年“鲁班传人”职业院校技能大赛1次，购置教学设备5台，实训课开课率达到95%，教学设施设备使用率达到100%，学生技能考证取证率达到3%，学生应知应会合格率达到96%，学生毕业证书获取比例达到100%,毕业生就业率达到95%，学生的综合素质和职业素养</w:t>
      </w:r>
      <w:r>
        <w:rPr>
          <w:rFonts w:hint="eastAsia" w:ascii="仿宋_GB2312" w:eastAsia="仿宋_GB2312"/>
          <w:bCs/>
          <w:sz w:val="32"/>
          <w:szCs w:val="32"/>
          <w:lang w:val="en-US" w:eastAsia="zh-CN"/>
        </w:rPr>
        <w:t>得到</w:t>
      </w:r>
      <w:r>
        <w:rPr>
          <w:rFonts w:hint="eastAsia" w:ascii="仿宋_GB2312" w:eastAsia="仿宋_GB2312"/>
          <w:bCs/>
          <w:sz w:val="32"/>
          <w:szCs w:val="32"/>
        </w:rPr>
        <w:t>提高。</w:t>
      </w:r>
    </w:p>
    <w:p>
      <w:pPr>
        <w:ind w:firstLine="640" w:firstLineChars="200"/>
        <w:rPr>
          <w:rFonts w:ascii="仿宋_GB2312" w:eastAsia="仿宋_GB2312"/>
          <w:bCs/>
          <w:sz w:val="32"/>
          <w:szCs w:val="32"/>
        </w:rPr>
      </w:pPr>
      <w:r>
        <w:rPr>
          <w:rFonts w:hint="eastAsia" w:ascii="仿宋_GB2312" w:eastAsia="仿宋_GB2312"/>
          <w:bCs/>
          <w:sz w:val="32"/>
          <w:szCs w:val="32"/>
        </w:rPr>
        <w:t>2.教师队伍建设方面。2019年教师总人数达到45人，组织参加各项教师培训49人次，发表科研论文2篇，“双师型”教师占专业专任教师的比例达到58%，师生比达到1:20，教师专业知识、教学能力、综合素质</w:t>
      </w:r>
      <w:r>
        <w:rPr>
          <w:rFonts w:hint="eastAsia" w:ascii="仿宋_GB2312" w:eastAsia="仿宋_GB2312"/>
          <w:bCs/>
          <w:sz w:val="32"/>
          <w:szCs w:val="32"/>
          <w:lang w:val="en-US" w:eastAsia="zh-CN"/>
        </w:rPr>
        <w:t>显著</w:t>
      </w:r>
      <w:r>
        <w:rPr>
          <w:rFonts w:hint="eastAsia" w:ascii="仿宋_GB2312" w:eastAsia="仿宋_GB2312"/>
          <w:bCs/>
          <w:sz w:val="32"/>
          <w:szCs w:val="32"/>
        </w:rPr>
        <w:t>提升。</w:t>
      </w:r>
    </w:p>
    <w:p>
      <w:pPr>
        <w:ind w:firstLine="640" w:firstLineChars="200"/>
        <w:rPr>
          <w:rFonts w:ascii="仿宋_GB2312" w:eastAsia="仿宋_GB2312"/>
          <w:bCs/>
          <w:sz w:val="32"/>
          <w:szCs w:val="32"/>
        </w:rPr>
      </w:pPr>
      <w:r>
        <w:rPr>
          <w:rFonts w:hint="eastAsia" w:ascii="仿宋_GB2312" w:eastAsia="仿宋_GB2312"/>
          <w:bCs/>
          <w:sz w:val="32"/>
          <w:szCs w:val="32"/>
        </w:rPr>
        <w:t>3.资助贫困学生方面。招收建档立卡贫困家庭学生63人，按照人均2000元的标准发放救助金，学生辍学率不超过2%。</w:t>
      </w:r>
    </w:p>
    <w:p>
      <w:pPr>
        <w:ind w:firstLine="640" w:firstLineChars="200"/>
        <w:rPr>
          <w:rFonts w:ascii="仿宋_GB2312" w:eastAsia="仿宋_GB2312"/>
          <w:sz w:val="32"/>
          <w:szCs w:val="32"/>
        </w:rPr>
      </w:pPr>
      <w:r>
        <w:rPr>
          <w:rFonts w:hint="eastAsia" w:ascii="仿宋_GB2312" w:eastAsia="仿宋_GB2312"/>
          <w:bCs/>
          <w:sz w:val="32"/>
          <w:szCs w:val="32"/>
        </w:rPr>
        <w:t>4.教育教学检查方面。2019年开展教学检查3次，组织工作例会79次，推门听课60次，教育教学质量不断提升。</w:t>
      </w:r>
    </w:p>
    <w:p>
      <w:pPr>
        <w:pStyle w:val="2"/>
        <w:spacing w:line="240" w:lineRule="auto"/>
        <w:ind w:firstLine="640"/>
        <w:rPr>
          <w:sz w:val="32"/>
          <w:szCs w:val="32"/>
        </w:rPr>
      </w:pPr>
      <w:r>
        <w:rPr>
          <w:rFonts w:hint="eastAsia"/>
          <w:sz w:val="32"/>
          <w:szCs w:val="32"/>
        </w:rPr>
        <w:t>四、绩效管理和实现过程</w:t>
      </w:r>
      <w:bookmarkEnd w:id="55"/>
      <w:bookmarkEnd w:id="56"/>
      <w:bookmarkEnd w:id="57"/>
    </w:p>
    <w:p>
      <w:pPr>
        <w:pStyle w:val="3"/>
        <w:spacing w:line="240" w:lineRule="auto"/>
        <w:ind w:firstLine="643"/>
        <w:rPr>
          <w:rFonts w:ascii="楷体_GB2312" w:hAnsi="楷体_GB2312" w:eastAsia="楷体_GB2312" w:cs="楷体_GB2312"/>
          <w:bCs w:val="0"/>
        </w:rPr>
      </w:pPr>
      <w:bookmarkStart w:id="58" w:name="_Toc505776216"/>
      <w:bookmarkStart w:id="59" w:name="_Toc30394"/>
      <w:bookmarkStart w:id="60" w:name="_Toc8194"/>
      <w:r>
        <w:rPr>
          <w:rFonts w:hint="eastAsia" w:ascii="楷体_GB2312" w:hAnsi="楷体_GB2312" w:eastAsia="楷体_GB2312" w:cs="楷体_GB2312"/>
          <w:bCs w:val="0"/>
        </w:rPr>
        <w:t>（一）投入情况评价分析</w:t>
      </w:r>
      <w:bookmarkEnd w:id="58"/>
      <w:bookmarkEnd w:id="59"/>
      <w:bookmarkEnd w:id="60"/>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1.目标设定情况分析</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2019年职业中专所设立的整体绩效目标符合国家法律法规、国民经济和社会发展总体规划；符合《“三定”方案》及“十三五”规划和年初工作计划的规定；与职业中专职能职责相匹配，依据充分。职业中专将绩效目标较好地分解为具体工作任务；绩效指标设定明确，分解程度与量化程度较高；能与职业中专年度预算资金相匹配。但存在以下问题：职业中专2019年工作计划中未体现各项工作任务的具体实施时间、人员安排以及资金安排等情况。</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综上，评价认为，职业中专2019年度部门整体支出绩效目标编制较完善，但工作计划安排不详，还需进一步完善。</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2.预算配置情况分析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（1）在职人员控制情况分析。</w:t>
      </w:r>
      <w:r>
        <w:rPr>
          <w:rFonts w:hint="eastAsia" w:ascii="仿宋_GB2312" w:hAnsi="仿宋_GB2312" w:eastAsia="仿宋_GB2312" w:cs="仿宋_GB2312"/>
          <w:sz w:val="32"/>
          <w:szCs w:val="32"/>
        </w:rPr>
        <w:t>职业中专编制人数75人，截至2019年12月31日，职业中专在职人员68人，在职人员控制率90.67%。</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变动情况分析。职业中专2019年“三公经费”预算安排为7.3万元，均为一般财政拨款资金，其中，因公出国（境）费用0万元，公务接待费0万元，公务用车运行维护费7.3万元，较2018年“三公经费”13.6万元，减少6.3万元，“三公经费”变动率为-46.32%。</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（3）重点支出保障情况分析。职业中专2019年预算未安排项目支出，重点支出保障率为0%。</w:t>
      </w:r>
    </w:p>
    <w:p>
      <w:pPr>
        <w:ind w:firstLine="640" w:firstLineChars="200"/>
        <w:jc w:val="left"/>
        <w:rPr>
          <w:rFonts w:ascii="仿宋_GB2312" w:hAnsi="仿宋_GB2312" w:eastAsia="仿宋_GB2312" w:cs="仿宋_GB2312"/>
          <w:sz w:val="32"/>
          <w:szCs w:val="32"/>
        </w:rPr>
      </w:pPr>
      <w:r>
        <w:rPr>
          <w:rFonts w:hint="eastAsia" w:ascii="仿宋_GB2312" w:hAnsi="仿宋" w:eastAsia="仿宋_GB2312"/>
          <w:sz w:val="32"/>
          <w:szCs w:val="32"/>
        </w:rPr>
        <w:t>综上，评价认为，2019年度职业中专对人员成本及行政成本的控制情况较好，但对重点支出保障情况未做安排，预算编制不够合理。</w:t>
      </w:r>
    </w:p>
    <w:p>
      <w:pPr>
        <w:pStyle w:val="3"/>
        <w:spacing w:line="240" w:lineRule="auto"/>
        <w:ind w:firstLine="643"/>
        <w:rPr>
          <w:rFonts w:ascii="楷体_GB2312" w:hAnsi="楷体_GB2312" w:eastAsia="楷体_GB2312" w:cs="楷体_GB2312"/>
          <w:bCs w:val="0"/>
        </w:rPr>
      </w:pPr>
      <w:bookmarkStart w:id="61" w:name="_Toc28944"/>
      <w:bookmarkStart w:id="62" w:name="_Toc505776217"/>
      <w:bookmarkStart w:id="63" w:name="_Toc14973"/>
      <w:r>
        <w:rPr>
          <w:rFonts w:hint="eastAsia" w:ascii="楷体_GB2312" w:hAnsi="楷体_GB2312" w:eastAsia="楷体_GB2312" w:cs="楷体_GB2312"/>
          <w:bCs w:val="0"/>
        </w:rPr>
        <w:t>（二）过程情况评价分析</w:t>
      </w:r>
      <w:bookmarkEnd w:id="61"/>
      <w:bookmarkEnd w:id="62"/>
      <w:bookmarkEnd w:id="63"/>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1.支出预算执行情况分析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（1）支出预算执行情况分析。</w:t>
      </w:r>
      <w:r>
        <w:rPr>
          <w:rFonts w:hint="eastAsia" w:ascii="仿宋_GB2312" w:hAnsi="仿宋_GB2312" w:eastAsia="仿宋_GB2312" w:cs="仿宋_GB2312"/>
          <w:sz w:val="32"/>
          <w:szCs w:val="32"/>
        </w:rPr>
        <w:t>根据《关于批复2019年区级部门预算的通知》（山财预〔2019〕1号），职业中专2019年支出预算数为1065.392万元，其中，基本支出1065.392万元，项目支出0万元。实际支出3028.46万元，其中，基本支出1357.08万元，项目支出1671.38万元。职业中专2019年度部门支出预算完成率按实际支出金额计算为284.26%。</w:t>
      </w:r>
    </w:p>
    <w:p>
      <w:pPr>
        <w:pStyle w:val="36"/>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评价发现，</w:t>
      </w:r>
      <w:r>
        <w:rPr>
          <w:rFonts w:hint="eastAsia" w:ascii="仿宋" w:hAnsi="仿宋" w:eastAsia="仿宋" w:cs="仿宋_GB2312"/>
          <w:sz w:val="32"/>
          <w:szCs w:val="32"/>
        </w:rPr>
        <w:t>①</w:t>
      </w:r>
      <w:r>
        <w:rPr>
          <w:rFonts w:hint="eastAsia" w:ascii="仿宋_GB2312" w:hAnsi="仿宋_GB2312" w:eastAsia="仿宋_GB2312" w:cs="仿宋_GB2312"/>
          <w:sz w:val="32"/>
          <w:szCs w:val="32"/>
        </w:rPr>
        <w:t>职业中专2019年《收入支出决算总表》反映数据与账面金额不一致，存在决算报表编报不实，账表不符的情况。其中2019年全年支出决算金额为2510.41万元，实际账面支出金额为3028.46万元，差异金额518.05万元。建议职业中专进一步核实，查明资金差异原因，并</w:t>
      </w:r>
      <w:r>
        <w:rPr>
          <w:rFonts w:hint="eastAsia" w:ascii="仿宋_GB2312" w:hAnsi="楷体_GB2312" w:eastAsia="仿宋_GB2312" w:cs="楷体_GB2312"/>
          <w:spacing w:val="-1"/>
          <w:kern w:val="0"/>
          <w:sz w:val="32"/>
          <w:szCs w:val="32"/>
        </w:rPr>
        <w:t>加强单位决算编制管理，确保账表相符。</w:t>
      </w:r>
      <w:r>
        <w:rPr>
          <w:rFonts w:hint="eastAsia" w:cs="仿宋_GB2312"/>
          <w:sz w:val="32"/>
          <w:szCs w:val="32"/>
        </w:rPr>
        <w:t>②</w:t>
      </w:r>
      <w:r>
        <w:rPr>
          <w:rFonts w:hint="eastAsia" w:ascii="仿宋_GB2312" w:hAnsi="仿宋_GB2312" w:eastAsia="仿宋_GB2312" w:cs="仿宋_GB2312"/>
          <w:sz w:val="32"/>
          <w:szCs w:val="32"/>
        </w:rPr>
        <w:t>职业中专《收入支出决算总表》中数据统计不够科学、准确。收入、支出年初预算数与财政局批复的预算指标不一致。建议职业中专按照统一的口径编制预算和决算，确保预决算之间互相衔接。</w:t>
      </w:r>
      <w:r>
        <w:rPr>
          <w:rFonts w:hint="eastAsia" w:cs="仿宋_GB2312"/>
          <w:sz w:val="32"/>
          <w:szCs w:val="32"/>
        </w:rPr>
        <w:t>③</w:t>
      </w:r>
      <w:r>
        <w:rPr>
          <w:rFonts w:hint="eastAsia" w:ascii="仿宋_GB2312" w:hAnsi="仿宋_GB2312" w:eastAsia="仿宋_GB2312" w:cs="仿宋_GB2312"/>
          <w:sz w:val="32"/>
          <w:szCs w:val="32"/>
        </w:rPr>
        <w:t>存在</w:t>
      </w:r>
      <w:r>
        <w:rPr>
          <w:rFonts w:hint="eastAsia" w:ascii="仿宋_GB2312" w:hAnsi="楷体_GB2312" w:eastAsia="仿宋_GB2312" w:cs="楷体_GB2312"/>
          <w:spacing w:val="-1"/>
          <w:kern w:val="0"/>
          <w:sz w:val="32"/>
          <w:szCs w:val="32"/>
        </w:rPr>
        <w:t>超预算、无预算支出现象，</w:t>
      </w:r>
      <w:r>
        <w:rPr>
          <w:rFonts w:hint="eastAsia" w:ascii="仿宋_GB2312" w:hAnsi="仿宋_GB2312" w:eastAsia="仿宋_GB2312" w:cs="仿宋_GB2312"/>
          <w:sz w:val="32"/>
          <w:szCs w:val="32"/>
        </w:rPr>
        <w:t>预算编制科学性和合理性有待提高。2019年支出预算数为1065.392万元，实际支出3028.46万元，超出预算1963.068万元，超出比例达284.26%；年度预算中项目支出未做预算，但现场核查，2019年《收入支出决算总表》中项目支出1419.83万元，占全年总决算的56.56%，资金占比较大。</w:t>
      </w:r>
    </w:p>
    <w:p>
      <w:pPr>
        <w:ind w:firstLine="640" w:firstLineChars="200"/>
        <w:jc w:val="left"/>
        <w:rPr>
          <w:rFonts w:ascii="仿宋_GB2312" w:hAnsi="仿宋_GB2312" w:cs="仿宋_GB2312"/>
          <w:sz w:val="32"/>
          <w:szCs w:val="32"/>
        </w:rPr>
      </w:pPr>
      <w:r>
        <w:rPr>
          <w:rFonts w:hint="eastAsia" w:ascii="仿宋_GB2312" w:hAnsi="仿宋_GB2312" w:eastAsia="仿宋_GB2312" w:cs="仿宋_GB2312"/>
          <w:sz w:val="32"/>
          <w:szCs w:val="32"/>
        </w:rPr>
        <w:t>（2）预算调整情况分析。职业中专2019年预算批复1065.392万元，根据2019年度《收入支出决算总表》，调整后的预算数为2533.54万元，增加预算1468.148万元，预算调整率为137.8%。仅有财政局审核的《资金请拨单》，未提供财政局批复的年中预算调整文件，预算调整缺少支撑材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公用经费控制情况分析。职业中专2019年公用经费预算数17.2万元，《收入支出决算总表》中决算数为98.52万元，差异81.32万元，现场核查职业中专将年度内生均经费支出53万元，列支在公用经费中，按照和预算编制统一口径调整决算数，剔除生均经费后实际支出45.52万元，公用经费控制率为264.65%。</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（4）“三公经费”控制情况分析。职业中专2019年度“三公经费”预算批复7.3万元，实际支出0.95万元，其中，公务接待费0万元，公务用车运行维护费0.95万元，公务接待费0万元，三公经费控制率为13.01%。</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综上，评价认为，2019年度职业中专预算编制质量较差，预算管理水平有待提高，预算执行情况一般，“三公经费”控制情况较好。</w:t>
      </w:r>
    </w:p>
    <w:p>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2.预算管理情况分析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（1）管理制度评价分析。</w:t>
      </w:r>
      <w:r>
        <w:rPr>
          <w:rFonts w:hint="eastAsia" w:ascii="仿宋_GB2312" w:hAnsi="仿宋_GB2312" w:eastAsia="仿宋_GB2312" w:cs="仿宋_GB2312"/>
          <w:sz w:val="32"/>
          <w:szCs w:val="32"/>
        </w:rPr>
        <w:t>职业中专编制了《管理制度汇编》，涉及行政管理、教学管理、德育教育、财务管理、安全管理等工作，制定了《国债资金管理办法》《山亭区职业中专部门预算绩效目标管理办法》《山亭区职业中专收支管理办法》《山亭区职业中专收支业务管理制度》《内部控制制度》《财务管理制度》《专项资金管理办法》等制度，管理制度较健全，内容较完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但评价发现，</w:t>
      </w:r>
      <w:r>
        <w:rPr>
          <w:rFonts w:hint="eastAsia" w:ascii="仿宋" w:hAnsi="仿宋" w:eastAsia="仿宋" w:cs="仿宋_GB2312"/>
          <w:sz w:val="32"/>
          <w:szCs w:val="32"/>
        </w:rPr>
        <w:t>①</w:t>
      </w:r>
      <w:r>
        <w:rPr>
          <w:rFonts w:hint="eastAsia" w:ascii="仿宋_GB2312" w:hAnsi="仿宋_GB2312" w:eastAsia="仿宋_GB2312" w:cs="仿宋_GB2312"/>
          <w:sz w:val="32"/>
          <w:szCs w:val="32"/>
        </w:rPr>
        <w:t xml:space="preserve">该《汇编》系2017年度编制，部分制度一直沿用，但也有少部分制度中领导小组成员有变动未及时修订，例如《山亭区职业中专学校加强培养骨干教师的实施意见》。建议职业中专及时对制度进行梳理和修订，使制度更加完善。 </w:t>
      </w:r>
      <w:r>
        <w:rPr>
          <w:rFonts w:hint="eastAsia" w:ascii="宋体" w:hAnsi="宋体" w:eastAsia="宋体" w:cs="仿宋_GB2312"/>
          <w:sz w:val="32"/>
          <w:szCs w:val="32"/>
        </w:rPr>
        <w:t>②</w:t>
      </w:r>
      <w:r>
        <w:rPr>
          <w:rFonts w:hint="eastAsia" w:ascii="仿宋_GB2312" w:hAnsi="仿宋_GB2312" w:eastAsia="仿宋_GB2312" w:cs="仿宋_GB2312"/>
          <w:sz w:val="32"/>
          <w:szCs w:val="32"/>
        </w:rPr>
        <w:t>《山亭区职业中专部门预算绩效目标管理办法》与职业中专实际管理工作结合性不强，未体现职业中专内部预算绩效组织领导、具体职责分工以及工作流程、保障措施等内容，制度还需进一步完善。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资金使用合规性分析。职业中专能够执行国家财经法规和财务管理制度的规定，能够按照相关资金管理办法规定的程序、用途等进行预算资金的管理与运用。2019年度职业中专未使用公务卡进行结算，通过对财务核算情况进行抽查，未发现财政资金截留、挤占、挪用等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但评价发现，</w:t>
      </w:r>
      <w:r>
        <w:rPr>
          <w:rFonts w:hint="eastAsia" w:ascii="仿宋" w:hAnsi="仿宋" w:eastAsia="仿宋" w:cs="仿宋_GB2312"/>
          <w:sz w:val="32"/>
          <w:szCs w:val="32"/>
        </w:rPr>
        <w:t>①</w:t>
      </w:r>
      <w:r>
        <w:rPr>
          <w:rFonts w:hint="eastAsia" w:ascii="仿宋_GB2312" w:hAnsi="仿宋_GB2312" w:eastAsia="仿宋_GB2312" w:cs="仿宋_GB2312"/>
          <w:sz w:val="32"/>
          <w:szCs w:val="32"/>
        </w:rPr>
        <w:t>2019年的会计凭证至今尚未装订完毕，仍在教体局结算中心存放，财务人员自2020年5月调整后至今尚未完全交接完毕，不符合《财务管理制度》中相关规定。</w:t>
      </w:r>
      <w:r>
        <w:rPr>
          <w:rFonts w:hint="eastAsia" w:ascii="宋体" w:hAnsi="宋体" w:eastAsia="宋体" w:cs="仿宋_GB2312"/>
          <w:sz w:val="32"/>
          <w:szCs w:val="32"/>
        </w:rPr>
        <w:t>②</w:t>
      </w:r>
      <w:r>
        <w:rPr>
          <w:rFonts w:hint="eastAsia" w:ascii="仿宋_GB2312" w:hAnsi="仿宋_GB2312" w:eastAsia="仿宋_GB2312" w:cs="仿宋_GB2312"/>
          <w:sz w:val="32"/>
          <w:szCs w:val="32"/>
        </w:rPr>
        <w:t>会计核算不够规范。固定资产科目明细仅按照“土地、房屋及构筑物”“通用设备”“专用设备”“文物和陈列品”“图书、档案”“家具、用具、装具及动植物”六个大类进行设置，未按资产明细核算，账面上体现不出具体的固定资产的数量、原值、折旧、净值等情况，为今后的固定资产管理、调拨、报废处置等环节造成极大的困难。在建工程科目也未明细至具体项目，核算不够规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（3）预决算信息公开情况分析。按照财政信息公开要求，职业中专2019年度财政预算及决算信息分别由区财政局在山亭区人民政府官网公开，接受社会监督。</w:t>
      </w:r>
    </w:p>
    <w:p>
      <w:pPr>
        <w:ind w:firstLine="596"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综上，评价认为，职业中专资金管理和内部财务制度较健全，但资金使用、会计核算规范性有待进一步提高。</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3.资产管理评价分析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职业中专制定了《学校固定资产管理制度》，制度设置较完善。现场核查发现，2019年职业中专的资产保存完整，固定资产利用率100%。评价中职业中专未提供固定资产出入库记录，以及固定资产清查资料，固定资产管理不够规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评价发现，在建工程项目已完工使用，但没有及时验收结转；固定资产台账设置不规范，仅按照购置固定资产的时间顺序记账，</w:t>
      </w:r>
      <w:r>
        <w:rPr>
          <w:rFonts w:hint="eastAsia" w:ascii="仿宋_GB2312" w:hAnsi="仿宋_GB2312" w:eastAsia="仿宋_GB2312" w:cs="仿宋_GB2312"/>
          <w:sz w:val="32"/>
          <w:szCs w:val="32"/>
          <w:lang w:val="en-US" w:eastAsia="zh-CN"/>
        </w:rPr>
        <w:t>只</w:t>
      </w:r>
      <w:r>
        <w:rPr>
          <w:rFonts w:hint="eastAsia" w:ascii="仿宋_GB2312" w:hAnsi="仿宋_GB2312" w:eastAsia="仿宋_GB2312" w:cs="仿宋_GB2312"/>
          <w:sz w:val="32"/>
          <w:szCs w:val="32"/>
        </w:rPr>
        <w:t>累计了固定资产的总价值，未对固定资产进行编号管理，位置信息不明，处置情况不明，固定资产未建立卡片管理，账实无法核对。</w:t>
      </w:r>
    </w:p>
    <w:p>
      <w:pPr>
        <w:ind w:firstLine="640" w:firstLineChars="200"/>
        <w:jc w:val="left"/>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t>评价认为，职业中专固定资产利用率较高，资产保存完整，现场勘查未见资产流失、超标配置资产等情况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资产管理方面亟需加强。</w:t>
      </w:r>
    </w:p>
    <w:p>
      <w:pPr>
        <w:pStyle w:val="3"/>
        <w:spacing w:line="240" w:lineRule="auto"/>
        <w:ind w:firstLine="643"/>
        <w:rPr>
          <w:rFonts w:ascii="楷体_GB2312" w:hAnsi="楷体_GB2312" w:eastAsia="楷体_GB2312" w:cs="楷体_GB2312"/>
          <w:bCs w:val="0"/>
        </w:rPr>
      </w:pPr>
      <w:bookmarkStart w:id="64" w:name="_Toc27372"/>
      <w:bookmarkStart w:id="65" w:name="_Toc149"/>
      <w:bookmarkStart w:id="66" w:name="_Toc505776218"/>
      <w:r>
        <w:rPr>
          <w:rFonts w:hint="eastAsia" w:ascii="楷体_GB2312" w:hAnsi="楷体_GB2312" w:eastAsia="楷体_GB2312" w:cs="楷体_GB2312"/>
          <w:bCs w:val="0"/>
        </w:rPr>
        <w:t>（三）产出情况评价分析</w:t>
      </w:r>
      <w:bookmarkEnd w:id="64"/>
      <w:bookmarkEnd w:id="65"/>
      <w:bookmarkEnd w:id="66"/>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扩大学校办学规模方面。2019年计划在校生人数达到1000人，实际人数为982人；计划购置教学设备4台，实际购置5台；开展枣庄市2019年“鲁班传人”职业院校技能大赛1次；计划实训课开课率达到100%，实际平均开课率达到95%（其中计算机应用专业实训课开课率为95%，机电技术应用专业实训课开课率为95%，汽车运用与维修专业实训课开课率为95%，电子商务专业实训课开课率为96%，美发与形象设计专业实训课开课率为95%）；教学设施设备使用率计划达到100%，现场核查教学设备设施无闲置现象，使用率100%；学生技能考证取证率计划达到10%，实际达到3%（2019年毕业生获得技能证书30人，占全部在校生的3%）；学生应知应会合格率计划达到100%，实际达到96%；2019年全部毕业生均获得毕业证书，毕业证书获取比例达到100%；新生招生分为春季招生和秋季招生，招生工作分别于4月17日和12月17日完成；毕业生就业工作于2019年7月完成。</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评价认为，职业中专在校生人数未达到既定目标，实训课开课率不足，学生技能考证取证率过低，学生应知应会合格率未达到既定目标。</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教师队伍建设方面。2019年教师总人数计划达到100人，实际达到45人；计划组织参加各项教师培训100人次，实际培训49人次；计划发表科研论文5篇，实际发表论文2篇（分别为中国知网期刊发表的《中专语文诗歌阅读教学教法初探》，电子报发表的《论中职学生的创新精神的培养》）；“双师型”教师占专业专任教师的比例计划达到60%，实际达到58%（双师型教师26人占教师总人数的58%）；师生比达到1:20。</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评价认为，教师总人数与计划值相差较大，师资力量和师资水平较薄弱，发表论文数量较少，学校科研水平有待提高。</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3.资助贫困学生方面。招收建档立卡贫困家庭学生63人，按照人均2000元的标准，按学期分两次足额发放救助金。</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4.教育教学检查方面。2019年计划开展教学检查4次，实际开展检查3次（分别于2019年5月、7月、11月开展）；组织工作例会79次，推门听课60次。</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价认为，职业中专教育教学检查工作数量未完成计划目标，职业中专仅提供了《教师业务检查情况统计表》包括教学计划、教案、听课记录、作业批改以及教学进度情况的检查，未提供教学检查总结报告，以及检查问题和问题的整改情况，检查工作未形成闭环。</w:t>
      </w:r>
    </w:p>
    <w:p>
      <w:pPr>
        <w:pStyle w:val="3"/>
        <w:spacing w:line="240" w:lineRule="auto"/>
        <w:ind w:firstLine="643"/>
        <w:rPr>
          <w:rFonts w:ascii="楷体_GB2312" w:hAnsi="楷体_GB2312" w:eastAsia="楷体_GB2312" w:cs="楷体_GB2312"/>
          <w:bCs w:val="0"/>
        </w:rPr>
      </w:pPr>
      <w:bookmarkStart w:id="67" w:name="_Toc5537"/>
      <w:bookmarkStart w:id="68" w:name="_Toc29099"/>
      <w:bookmarkStart w:id="69" w:name="_Toc505776219"/>
      <w:r>
        <w:rPr>
          <w:rFonts w:hint="eastAsia" w:ascii="楷体_GB2312" w:hAnsi="楷体_GB2312" w:eastAsia="楷体_GB2312" w:cs="楷体_GB2312"/>
          <w:bCs w:val="0"/>
        </w:rPr>
        <w:t>（四）效果实现情况评价分析</w:t>
      </w:r>
      <w:bookmarkEnd w:id="67"/>
      <w:bookmarkEnd w:id="68"/>
      <w:bookmarkEnd w:id="69"/>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1.经济效益和社会效益情况</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扩大学校办学规模方面。一是2019年年初净资产为1758.73万元，年末净资产为1571.39万元，由于本年度计提折旧400.41万元中包含以前年度折旧，导致年末净资产减少，剔除折旧影响后年末净资产为1771.8万元，资本保值增值率为1.01%，完成了计划目标；二是2019年度应届毕业生195人，顺利就业185人，毕业生总体就业率为95%；三是在职业中专举办的枣庄市2</w:t>
      </w:r>
      <w:r>
        <w:rPr>
          <w:rFonts w:ascii="仿宋_GB2312" w:hAnsi="仿宋_GB2312" w:eastAsia="仿宋_GB2312" w:cs="仿宋_GB2312"/>
          <w:bCs/>
          <w:sz w:val="32"/>
          <w:szCs w:val="32"/>
        </w:rPr>
        <w:t>019</w:t>
      </w:r>
      <w:r>
        <w:rPr>
          <w:rFonts w:hint="eastAsia" w:ascii="仿宋_GB2312" w:hAnsi="仿宋_GB2312" w:eastAsia="仿宋_GB2312" w:cs="仿宋_GB2312"/>
          <w:bCs/>
          <w:sz w:val="32"/>
          <w:szCs w:val="32"/>
        </w:rPr>
        <w:t>年“鲁班传人”杯职业学校技能大赛中职业中专代表队获得“美发”和“新娘化妆”两个赛项第一名，枣庄市山亭区职业中专荣获“鲁班传人”杯职业学校技能大赛优秀团体奖；四是2020届春季高考职业中专5名毕业生考入本科学府，71名学生考入专科学院，教学质量明显提升；五是现场调研发现，职业中专校舍建设、附属工程、内部设施购置标准较高，从硬件设施上保障了教育教学工作的顺利开展。</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（2）教师队伍建设方面。职业中专通过招聘、兼职、交流、校企合作和教师培训等多种渠道，增加专任教师规模，提升教师专业知识、教学能力、综合素质。</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（3）资助贫困学生方面。职业中专学生辍学19人，占全校学生总人数的2%，学生辍学率控制在既定目标范围之内。</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2.服务对象满意度情况</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评价机构开展了2019年度教师和学生满意度调查工作，其中教师满意度问卷发放60份，收回54份，学生满意度调查问卷发放80份，收回71份，经统计，教师满意度为96.95%，学生满意度为91.18%。</w:t>
      </w:r>
    </w:p>
    <w:p>
      <w:pPr>
        <w:pStyle w:val="2"/>
        <w:tabs>
          <w:tab w:val="left" w:pos="6760"/>
        </w:tabs>
        <w:spacing w:line="240" w:lineRule="auto"/>
        <w:ind w:firstLine="640"/>
        <w:jc w:val="left"/>
        <w:rPr>
          <w:rFonts w:hint="eastAsia" w:eastAsia="黑体"/>
          <w:sz w:val="32"/>
          <w:szCs w:val="32"/>
          <w:lang w:eastAsia="zh-CN"/>
        </w:rPr>
      </w:pPr>
      <w:bookmarkStart w:id="70" w:name="_Toc13221"/>
      <w:bookmarkStart w:id="71" w:name="_Toc26802"/>
      <w:bookmarkStart w:id="72" w:name="_Toc505776220"/>
      <w:r>
        <w:rPr>
          <w:rFonts w:hint="eastAsia"/>
          <w:sz w:val="32"/>
          <w:szCs w:val="32"/>
        </w:rPr>
        <w:t>五、存在的主要问题及建议</w:t>
      </w:r>
      <w:bookmarkEnd w:id="70"/>
      <w:bookmarkEnd w:id="71"/>
      <w:bookmarkEnd w:id="72"/>
      <w:r>
        <w:rPr>
          <w:rFonts w:hint="eastAsia"/>
          <w:sz w:val="32"/>
          <w:szCs w:val="32"/>
          <w:lang w:eastAsia="zh-CN"/>
        </w:rPr>
        <w:tab/>
      </w:r>
    </w:p>
    <w:p>
      <w:pPr>
        <w:pStyle w:val="3"/>
        <w:spacing w:line="240" w:lineRule="auto"/>
        <w:ind w:firstLine="643"/>
        <w:rPr>
          <w:rFonts w:ascii="楷体_GB2312" w:hAnsi="楷体_GB2312" w:eastAsia="楷体_GB2312" w:cs="楷体_GB2312"/>
          <w:bCs w:val="0"/>
        </w:rPr>
      </w:pPr>
      <w:bookmarkStart w:id="73" w:name="_Toc505776221"/>
      <w:bookmarkStart w:id="74" w:name="_Toc4483"/>
      <w:bookmarkStart w:id="75" w:name="_Toc8277"/>
      <w:r>
        <w:rPr>
          <w:rFonts w:hint="eastAsia" w:ascii="楷体_GB2312" w:hAnsi="楷体_GB2312" w:eastAsia="楷体_GB2312" w:cs="楷体_GB2312"/>
          <w:bCs w:val="0"/>
        </w:rPr>
        <w:t>（一）存在的主要问题</w:t>
      </w:r>
      <w:bookmarkEnd w:id="73"/>
      <w:bookmarkEnd w:id="74"/>
      <w:bookmarkEnd w:id="75"/>
    </w:p>
    <w:p>
      <w:pPr>
        <w:ind w:firstLine="643" w:firstLineChars="200"/>
        <w:jc w:val="left"/>
        <w:rPr>
          <w:rFonts w:ascii="仿宋_GB2312" w:hAnsi="仿宋" w:eastAsia="仿宋_GB2312"/>
          <w:b/>
          <w:sz w:val="32"/>
          <w:szCs w:val="32"/>
        </w:rPr>
      </w:pPr>
      <w:r>
        <w:rPr>
          <w:rFonts w:hint="eastAsia" w:ascii="仿宋_GB2312" w:hAnsi="仿宋_GB2312" w:eastAsia="仿宋_GB2312" w:cs="仿宋_GB2312"/>
          <w:b/>
          <w:sz w:val="32"/>
          <w:szCs w:val="32"/>
        </w:rPr>
        <w:t>1.</w:t>
      </w:r>
      <w:r>
        <w:rPr>
          <w:rFonts w:hint="eastAsia" w:ascii="仿宋_GB2312" w:hAnsi="仿宋" w:eastAsia="仿宋_GB2312"/>
          <w:b/>
          <w:bCs/>
          <w:sz w:val="32"/>
          <w:szCs w:val="32"/>
        </w:rPr>
        <w:t xml:space="preserve"> 预算编制不够准确，绩效目标设置不够合理，年度工作计划不够具体</w:t>
      </w:r>
      <w:r>
        <w:rPr>
          <w:rFonts w:hint="eastAsia" w:ascii="仿宋_GB2312" w:hAnsi="仿宋" w:eastAsia="仿宋_GB2312"/>
          <w:b/>
          <w:sz w:val="32"/>
          <w:szCs w:val="32"/>
        </w:rPr>
        <w:t xml:space="preserve"> </w:t>
      </w:r>
    </w:p>
    <w:p>
      <w:pPr>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一是部门整体支出实际执行和预算批复金额偏差较大。年度新校建设工程尾款1390万元以及学校生均公用经费支出55.02万元未编入年初预算中，且年中未进行预算调整，造成预决算差异较大。</w:t>
      </w:r>
    </w:p>
    <w:p>
      <w:pPr>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二是个别绩效指标值设置过高与完成值偏离度过大，如教师总人数计划100人，实际只有45人，发表论文计划发表5篇，实际发表2篇，与计划值相差较大。三是年度工作计划不够具体。职业中专2019年工作计划中未体现各项工作任务的具体实施时间、人员安排以及资金安排等情况，建议工作计划后附具体工作任务分工表，将各项工作细化分解，跟踪落实。</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2.会计核算不够规范，财务管理有待加强</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一是项目资金未单独核算。未按照有关规定对项目资金使用情况进行单独核算，不能准确、全面、及时反映项目资金使用情况。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职业中专《收入支出决算总表》中数据统计不够科学、准确。收入、支出年初预算数与财政局批复的预算指标不一致。</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三是固定资产科目明细仅按照“土地、房屋及构筑物”“通用设备”“专用设备”“文物和陈列品”“图书、档案”“家具、用具、装具及动植物”六个大类进行设置，未明细至具体资产，账面上体现不出具体的固定资产的数量、原值、折旧、净值等情况，为今后的固定资产管理、调拨、报废处置等环节造成极大的困难。在建工程科目也未明细至具体项目，核算不够规范。</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3.管理制度不完善，制度执行情况有待提高</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一是《山亭区职业中专部门预算绩效目标管理办法》与职业中专实际管理工作结合性不强，未体现职业中专内部预算绩效组织领导、具体职责分工以及工作流程、保障措施等内容，制度还需进一步完善。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固定资产台账设置不规范，仅按照购置固定资产的时间顺序记了流水账，并累计了固定资产的总价值，未对固定资产进行编号管理，位置信息不明，处置情况不明，固定资产未建立卡片管理，账实无法核对。固定资产出入库制度和固定资产清查制度执行情况不好，没有提供档案资料。</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4.绩效目标完成情况不好，部门履职力度有待加大</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部分年度目标未按时完成，如职业中专在校生人数、教师总人数未达到既定目标，师资力量和师资水平较薄弱，发表论文数量较少，实训课开课率不足，学生技能考证取证率过低，学生应知应会合格率未达到既定目标。</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教育教学检查工作不深入，职业中专仅提供了《教师业务检查情况统计表》包括教学计划、教案、听课记录、作业批改以及教学进度情况的检查，未提供教学检查总结报告，以及检查问题和问题的整改情况，检查工作未形成闭环。</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5.资金到位率较低，基础资料档案管理不到位</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一是职业中专2019年申请生均公用经费206.445万元，实际到位53万元，到位率25.67%，</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资金到位率过低，影响学校的正常运转。</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二是档案资料管理不到位。例如：预算调整文件缺失，教学例会次数临时统计，科研论文仅仅是图片没有形成正式的文件进行存档，基础资料管理缺乏科学性和系统性。</w:t>
      </w:r>
    </w:p>
    <w:p>
      <w:pPr>
        <w:pStyle w:val="3"/>
        <w:spacing w:line="240" w:lineRule="auto"/>
        <w:ind w:firstLine="643"/>
        <w:rPr>
          <w:rFonts w:ascii="楷体_GB2312" w:hAnsi="楷体_GB2312" w:eastAsia="楷体_GB2312" w:cs="楷体_GB2312"/>
          <w:bCs w:val="0"/>
        </w:rPr>
      </w:pPr>
      <w:bookmarkStart w:id="76" w:name="_Toc505776222"/>
      <w:bookmarkStart w:id="77" w:name="_Toc28823"/>
      <w:bookmarkStart w:id="78" w:name="_Toc22839"/>
      <w:r>
        <w:rPr>
          <w:rFonts w:hint="eastAsia" w:ascii="楷体_GB2312" w:hAnsi="楷体_GB2312" w:eastAsia="楷体_GB2312" w:cs="楷体_GB2312"/>
          <w:bCs w:val="0"/>
        </w:rPr>
        <w:t>（二）建议</w:t>
      </w:r>
      <w:bookmarkEnd w:id="76"/>
      <w:bookmarkEnd w:id="77"/>
      <w:bookmarkEnd w:id="78"/>
    </w:p>
    <w:p>
      <w:pPr>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bCs/>
          <w:sz w:val="32"/>
          <w:szCs w:val="32"/>
        </w:rPr>
        <w:t>强化预算绩效管理理念，牢固树立绩效管理意识，加强内部控制体系建设，完善各项工作机制，进一步提高整体工作水平。</w:t>
      </w:r>
    </w:p>
    <w:p>
      <w:pPr>
        <w:tabs>
          <w:tab w:val="left" w:pos="312"/>
        </w:tabs>
        <w:ind w:left="643"/>
        <w:jc w:val="left"/>
        <w:rPr>
          <w:rFonts w:ascii="仿宋_GB2312" w:hAnsi="仿宋_GB2312" w:eastAsia="仿宋_GB2312" w:cs="仿宋_GB2312"/>
          <w:b/>
          <w:sz w:val="32"/>
          <w:szCs w:val="32"/>
          <w:highlight w:val="yellow"/>
        </w:rPr>
      </w:pPr>
      <w:bookmarkStart w:id="79" w:name="_Toc426583944"/>
      <w:r>
        <w:rPr>
          <w:rFonts w:hint="eastAsia" w:ascii="仿宋_GB2312" w:hAnsi="仿宋_GB2312" w:eastAsia="仿宋_GB2312" w:cs="仿宋_GB2312"/>
          <w:b/>
          <w:sz w:val="32"/>
          <w:szCs w:val="32"/>
        </w:rPr>
        <w:t>1.严格预算管理，完善预算报批手续</w:t>
      </w:r>
    </w:p>
    <w:p>
      <w:pPr>
        <w:numPr>
          <w:ilvl w:val="255"/>
          <w:numId w:val="0"/>
        </w:numPr>
        <w:ind w:firstLine="643" w:firstLineChars="200"/>
        <w:jc w:val="left"/>
        <w:rPr>
          <w:rFonts w:ascii="仿宋_GB2312" w:hAnsi="仿宋_GB2312" w:eastAsia="仿宋_GB2312" w:cs="仿宋_GB2312"/>
          <w:b/>
          <w:sz w:val="32"/>
          <w:szCs w:val="32"/>
        </w:rPr>
      </w:pPr>
      <w:r>
        <w:rPr>
          <w:rFonts w:hint="eastAsia" w:ascii="仿宋_GB2312" w:hAnsi="仿宋" w:eastAsia="仿宋_GB2312"/>
          <w:b/>
          <w:bCs/>
          <w:sz w:val="32"/>
          <w:szCs w:val="32"/>
        </w:rPr>
        <w:t>一是</w:t>
      </w:r>
      <w:r>
        <w:rPr>
          <w:rFonts w:hint="eastAsia" w:ascii="仿宋_GB2312" w:hAnsi="仿宋" w:eastAsia="仿宋_GB2312"/>
          <w:bCs/>
          <w:sz w:val="32"/>
          <w:szCs w:val="32"/>
        </w:rPr>
        <w:t>财政</w:t>
      </w:r>
      <w:r>
        <w:rPr>
          <w:rFonts w:ascii="仿宋_GB2312" w:hAnsi="仿宋" w:eastAsia="仿宋_GB2312"/>
          <w:bCs/>
          <w:sz w:val="32"/>
          <w:szCs w:val="32"/>
        </w:rPr>
        <w:t>预算是对</w:t>
      </w:r>
      <w:r>
        <w:rPr>
          <w:rFonts w:hint="eastAsia" w:ascii="仿宋_GB2312" w:hAnsi="仿宋" w:eastAsia="仿宋_GB2312"/>
          <w:bCs/>
          <w:sz w:val="32"/>
          <w:szCs w:val="32"/>
        </w:rPr>
        <w:t>部门全年</w:t>
      </w:r>
      <w:r>
        <w:rPr>
          <w:rFonts w:ascii="仿宋_GB2312" w:hAnsi="仿宋" w:eastAsia="仿宋_GB2312"/>
          <w:bCs/>
          <w:sz w:val="32"/>
          <w:szCs w:val="32"/>
        </w:rPr>
        <w:t>收支安排的预测</w:t>
      </w:r>
      <w:r>
        <w:rPr>
          <w:rFonts w:hint="eastAsia" w:ascii="仿宋_GB2312" w:hAnsi="仿宋" w:eastAsia="仿宋_GB2312"/>
          <w:bCs/>
          <w:sz w:val="32"/>
          <w:szCs w:val="32"/>
        </w:rPr>
        <w:t>和</w:t>
      </w:r>
      <w:r>
        <w:rPr>
          <w:rFonts w:ascii="仿宋_GB2312" w:hAnsi="仿宋" w:eastAsia="仿宋_GB2312"/>
          <w:bCs/>
          <w:sz w:val="32"/>
          <w:szCs w:val="32"/>
        </w:rPr>
        <w:t>计划</w:t>
      </w:r>
      <w:r>
        <w:rPr>
          <w:rFonts w:hint="eastAsia" w:ascii="仿宋_GB2312" w:hAnsi="仿宋" w:eastAsia="仿宋_GB2312"/>
          <w:bCs/>
          <w:sz w:val="32"/>
          <w:szCs w:val="32"/>
        </w:rPr>
        <w:t>，</w:t>
      </w:r>
      <w:r>
        <w:rPr>
          <w:rFonts w:hint="eastAsia" w:ascii="仿宋_GB2312" w:hAnsi="仿宋" w:eastAsia="仿宋_GB2312"/>
          <w:bCs/>
          <w:sz w:val="32"/>
          <w:szCs w:val="32"/>
          <w:lang w:val="en"/>
        </w:rPr>
        <w:t>是部门组织和实施年度目标的重要手段，</w:t>
      </w:r>
      <w:r>
        <w:rPr>
          <w:rFonts w:hint="eastAsia" w:ascii="仿宋_GB2312" w:hAnsi="仿宋" w:eastAsia="仿宋_GB2312"/>
          <w:bCs/>
          <w:sz w:val="32"/>
          <w:szCs w:val="32"/>
        </w:rPr>
        <w:t>建议严格按照《中华人民共和国预算法</w:t>
      </w:r>
      <w:r>
        <w:rPr>
          <w:rFonts w:hint="eastAsia" w:ascii="仿宋_GB2312" w:hAnsi="仿宋_GB2312" w:eastAsia="仿宋_GB2312" w:cs="仿宋_GB2312"/>
          <w:sz w:val="32"/>
          <w:szCs w:val="32"/>
        </w:rPr>
        <w:t>》</w:t>
      </w:r>
      <w:r>
        <w:rPr>
          <w:rFonts w:hint="eastAsia" w:ascii="仿宋_GB2312" w:hAnsi="仿宋" w:eastAsia="仿宋_GB2312"/>
          <w:bCs/>
          <w:sz w:val="32"/>
          <w:szCs w:val="32"/>
        </w:rPr>
        <w:t>及国务院财政部门制定的政府收支分类科目、预算支出标准和要求，以及绩效目标管理等预算编制规定，科学的编制本单位预算草案。</w:t>
      </w:r>
      <w:r>
        <w:rPr>
          <w:rFonts w:hint="eastAsia" w:ascii="仿宋_GB2312" w:hAnsi="仿宋_GB2312" w:eastAsia="仿宋_GB2312" w:cs="仿宋_GB2312"/>
          <w:bCs/>
          <w:sz w:val="32"/>
          <w:szCs w:val="32"/>
        </w:rPr>
        <w:t>针对项目支出预算，应根据部门职能和年度任务，加强项目预算的前期调研及方案论证，并运用科学合理的方法，统筹安排各项任务和经费，细化预算内容和测算依据，提高预算编制的准确性、科学性和合理性。</w:t>
      </w:r>
    </w:p>
    <w:p>
      <w:pPr>
        <w:numPr>
          <w:ilvl w:val="255"/>
          <w:numId w:val="0"/>
        </w:numPr>
        <w:ind w:firstLine="643" w:firstLineChars="200"/>
        <w:jc w:val="left"/>
        <w:rPr>
          <w:rFonts w:ascii="仿宋_GB2312" w:hAnsi="仿宋" w:eastAsia="仿宋_GB2312"/>
          <w:bCs/>
          <w:sz w:val="32"/>
          <w:szCs w:val="32"/>
        </w:rPr>
      </w:pPr>
      <w:r>
        <w:rPr>
          <w:rFonts w:hint="eastAsia" w:ascii="仿宋_GB2312" w:hAnsi="仿宋" w:eastAsia="仿宋_GB2312"/>
          <w:b/>
          <w:bCs/>
          <w:sz w:val="32"/>
          <w:szCs w:val="32"/>
        </w:rPr>
        <w:t>二是</w:t>
      </w:r>
      <w:r>
        <w:rPr>
          <w:rFonts w:hint="eastAsia" w:ascii="仿宋_GB2312" w:hAnsi="仿宋" w:eastAsia="仿宋_GB2312"/>
          <w:bCs/>
          <w:sz w:val="32"/>
          <w:szCs w:val="32"/>
        </w:rPr>
        <w:t>严格预算执行制度，建立健全内部控制机制，完善预算手续，严格支出管理，实施绩效监控，年度内合理预算项目支出，缩小预决算差异。</w:t>
      </w:r>
    </w:p>
    <w:p>
      <w:pPr>
        <w:tabs>
          <w:tab w:val="left" w:pos="528"/>
        </w:tabs>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2.强化绩效管理理念，</w:t>
      </w:r>
      <w:bookmarkEnd w:id="79"/>
      <w:r>
        <w:rPr>
          <w:rFonts w:hint="eastAsia" w:ascii="仿宋_GB2312" w:hAnsi="仿宋_GB2312" w:eastAsia="仿宋_GB2312" w:cs="仿宋_GB2312"/>
          <w:b/>
          <w:sz w:val="32"/>
          <w:szCs w:val="32"/>
        </w:rPr>
        <w:t>提高绩效目标编报质量</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绩效目标编制作为预算绩效管理的基础，</w:t>
      </w:r>
      <w:r>
        <w:rPr>
          <w:rFonts w:hint="eastAsia" w:ascii="仿宋_GB2312" w:hAnsi="仿宋" w:eastAsia="仿宋_GB2312"/>
          <w:bCs/>
          <w:sz w:val="32"/>
          <w:szCs w:val="32"/>
        </w:rPr>
        <w:t>建议在编制年度目标时根据单位职能，结合区委、区政府和主管部门交办的年度重点工作任务和本部门的主要职责，中长期发展规划、年度工作计划和相关历史数据、行业标准、计划标准</w:t>
      </w:r>
      <w:r>
        <w:rPr>
          <w:rFonts w:hint="eastAsia" w:ascii="仿宋_GB2312" w:hAnsi="仿宋_GB2312" w:eastAsia="仿宋_GB2312" w:cs="仿宋_GB2312"/>
          <w:bCs/>
          <w:sz w:val="32"/>
          <w:szCs w:val="32"/>
        </w:rPr>
        <w:t>结合本年度工作任务设置绩效指标值，进一步提高绩效目标的可量化性、数据的可采集性、方法的可操作性、目标的可实现性、绩效的可考核性，形成科学完整系统的部门绩效目标体系。</w:t>
      </w:r>
    </w:p>
    <w:p>
      <w:pPr>
        <w:numPr>
          <w:ilvl w:val="255"/>
          <w:numId w:val="0"/>
        </w:num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3.加强项目管理，提高档案管理水平</w:t>
      </w:r>
    </w:p>
    <w:p>
      <w:pPr>
        <w:numPr>
          <w:ilvl w:val="255"/>
          <w:numId w:val="0"/>
        </w:numPr>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建议加强项目管理，履行预算、项目等调整程序，提高财政资金使用效率。建立定期专项检查和不定期抽查机制，确保项目实施质量和效果。加强档案工作的科学管理，逐步建立健全档案工作机构和工作制度。成立档案工作管理领导小组，强化档案岗位职责，自觉接受上级有关部门的管理、监督、检查和指导。</w:t>
      </w:r>
    </w:p>
    <w:p>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4.提高会计管理基础水平，规范资产使用管理</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建议进一步提高会计管理基础水平，健全完善各项财务管理制度，加强整体资金统筹管理和资产管理，加大与业务部门的衔接力度，明确资金使用及资产管理责任；加强项目资金使用的全过程管理。</w:t>
      </w:r>
    </w:p>
    <w:p>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5.采取切实有力措施，推动重点工作任务落实</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全面系统梳理单位基础工作和重任务，</w:t>
      </w:r>
      <w:r>
        <w:rPr>
          <w:rFonts w:ascii="仿宋_GB2312" w:hAnsi="仿宋_GB2312" w:eastAsia="仿宋_GB2312" w:cs="仿宋_GB2312"/>
          <w:bCs/>
          <w:sz w:val="32"/>
          <w:szCs w:val="32"/>
        </w:rPr>
        <w:t>实施科学规范化过程管理，</w:t>
      </w:r>
      <w:r>
        <w:rPr>
          <w:rFonts w:hint="eastAsia" w:ascii="仿宋_GB2312" w:hAnsi="仿宋_GB2312" w:eastAsia="仿宋_GB2312" w:cs="仿宋_GB2312"/>
          <w:bCs/>
          <w:sz w:val="32"/>
          <w:szCs w:val="32"/>
        </w:rPr>
        <w:t>通过绩效管理</w:t>
      </w:r>
      <w:r>
        <w:rPr>
          <w:rFonts w:ascii="仿宋_GB2312" w:hAnsi="仿宋_GB2312" w:eastAsia="仿宋_GB2312" w:cs="仿宋_GB2312"/>
          <w:bCs/>
          <w:sz w:val="32"/>
          <w:szCs w:val="32"/>
        </w:rPr>
        <w:t>促进工作效能</w:t>
      </w:r>
      <w:r>
        <w:rPr>
          <w:rFonts w:hint="eastAsia" w:ascii="仿宋_GB2312" w:hAnsi="仿宋_GB2312" w:eastAsia="仿宋_GB2312" w:cs="仿宋_GB2312"/>
          <w:bCs/>
          <w:sz w:val="32"/>
          <w:szCs w:val="32"/>
        </w:rPr>
        <w:t>提升</w:t>
      </w:r>
      <w:r>
        <w:rPr>
          <w:rFonts w:ascii="仿宋_GB2312" w:hAnsi="仿宋_GB2312" w:eastAsia="仿宋_GB2312" w:cs="仿宋_GB2312"/>
          <w:bCs/>
          <w:sz w:val="32"/>
          <w:szCs w:val="32"/>
        </w:rPr>
        <w:t>，扎实有序推进各项任务实施</w:t>
      </w:r>
      <w:r>
        <w:rPr>
          <w:rFonts w:hint="eastAsia" w:ascii="仿宋_GB2312" w:hAnsi="仿宋_GB2312" w:eastAsia="仿宋_GB2312" w:cs="仿宋_GB2312"/>
          <w:bCs/>
          <w:sz w:val="32"/>
          <w:szCs w:val="32"/>
        </w:rPr>
        <w:t>。</w:t>
      </w:r>
    </w:p>
    <w:p>
      <w:pPr>
        <w:ind w:firstLine="560" w:firstLineChars="200"/>
        <w:jc w:val="left"/>
        <w:rPr>
          <w:rFonts w:ascii="仿宋_GB2312" w:hAnsi="仿宋_GB2312" w:eastAsia="仿宋_GB2312" w:cs="仿宋_GB2312"/>
          <w:bCs/>
          <w:sz w:val="28"/>
          <w:szCs w:val="32"/>
        </w:rPr>
      </w:pPr>
      <w:bookmarkStart w:id="80" w:name="_Toc505776223"/>
      <w:bookmarkStart w:id="81" w:name="_Toc14371"/>
      <w:r>
        <w:rPr>
          <w:rFonts w:hint="eastAsia" w:ascii="仿宋_GB2312" w:hAnsi="仿宋_GB2312" w:eastAsia="仿宋_GB2312" w:cs="仿宋_GB2312"/>
          <w:bCs/>
          <w:sz w:val="28"/>
          <w:szCs w:val="32"/>
        </w:rPr>
        <w:t>附件</w:t>
      </w:r>
      <w:bookmarkEnd w:id="80"/>
      <w:bookmarkEnd w:id="81"/>
      <w:r>
        <w:rPr>
          <w:rFonts w:hint="eastAsia" w:ascii="仿宋_GB2312" w:hAnsi="仿宋_GB2312" w:eastAsia="仿宋_GB2312" w:cs="仿宋_GB2312"/>
          <w:bCs/>
          <w:sz w:val="28"/>
          <w:szCs w:val="32"/>
        </w:rPr>
        <w:t>：</w:t>
      </w:r>
    </w:p>
    <w:p>
      <w:pPr>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1.2019年度山亭区职业中专部门收入支出决算总表</w:t>
      </w:r>
    </w:p>
    <w:p>
      <w:pPr>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 xml:space="preserve">2.2019年度山亭区职业中专部门整体支出绩效目标完成情况对比表 </w:t>
      </w:r>
      <w:r>
        <w:rPr>
          <w:rFonts w:ascii="仿宋_GB2312" w:hAnsi="仿宋_GB2312" w:eastAsia="仿宋_GB2312" w:cs="仿宋_GB2312"/>
          <w:bCs/>
          <w:sz w:val="28"/>
          <w:szCs w:val="32"/>
        </w:rPr>
        <w:t xml:space="preserve"> </w:t>
      </w:r>
    </w:p>
    <w:p>
      <w:pPr>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3.2019年度山亭区职业中专部门整体支出绩效评价指标体系</w:t>
      </w:r>
    </w:p>
    <w:p>
      <w:pPr>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4.2019年度山亭区职业中专部门整体支出绩效评价专家组评分意见表</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898072"/>
    </w:sdtPr>
    <w:sdtContent>
      <w:p>
        <w:pPr>
          <w:pStyle w:val="10"/>
          <w:jc w:val="cente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lang w:val="zh-CN"/>
          </w:rPr>
          <w:t>4</w:t>
        </w:r>
        <w:r>
          <w:rPr>
            <w:rFonts w:hint="eastAsia" w:ascii="仿宋_GB2312" w:hAnsi="仿宋_GB2312" w:eastAsia="仿宋_GB2312" w:cs="仿宋_GB2312"/>
            <w:sz w:val="21"/>
            <w:szCs w:val="21"/>
            <w:lang w:val="zh-CN"/>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7F"/>
    <w:rsid w:val="00001195"/>
    <w:rsid w:val="00007ECF"/>
    <w:rsid w:val="000152E2"/>
    <w:rsid w:val="0002369E"/>
    <w:rsid w:val="00023F56"/>
    <w:rsid w:val="000336FA"/>
    <w:rsid w:val="00042905"/>
    <w:rsid w:val="00044D2C"/>
    <w:rsid w:val="000466EF"/>
    <w:rsid w:val="0005212E"/>
    <w:rsid w:val="000525F5"/>
    <w:rsid w:val="0006125C"/>
    <w:rsid w:val="0006188B"/>
    <w:rsid w:val="00061CBA"/>
    <w:rsid w:val="00064041"/>
    <w:rsid w:val="00087169"/>
    <w:rsid w:val="00090362"/>
    <w:rsid w:val="000945B8"/>
    <w:rsid w:val="00095A95"/>
    <w:rsid w:val="000A0970"/>
    <w:rsid w:val="000A1085"/>
    <w:rsid w:val="000A1692"/>
    <w:rsid w:val="000A2A41"/>
    <w:rsid w:val="000B7AD1"/>
    <w:rsid w:val="000B7B9C"/>
    <w:rsid w:val="000C101B"/>
    <w:rsid w:val="000C5452"/>
    <w:rsid w:val="000D2141"/>
    <w:rsid w:val="000E174D"/>
    <w:rsid w:val="000F012E"/>
    <w:rsid w:val="000F4343"/>
    <w:rsid w:val="000F76E6"/>
    <w:rsid w:val="00101578"/>
    <w:rsid w:val="00101616"/>
    <w:rsid w:val="00101AB5"/>
    <w:rsid w:val="00102E16"/>
    <w:rsid w:val="00102FDE"/>
    <w:rsid w:val="00117955"/>
    <w:rsid w:val="00120766"/>
    <w:rsid w:val="00123440"/>
    <w:rsid w:val="00125A24"/>
    <w:rsid w:val="00126E27"/>
    <w:rsid w:val="00127681"/>
    <w:rsid w:val="0013270D"/>
    <w:rsid w:val="001336EC"/>
    <w:rsid w:val="00135B7A"/>
    <w:rsid w:val="00142F5C"/>
    <w:rsid w:val="00144599"/>
    <w:rsid w:val="00156C7F"/>
    <w:rsid w:val="00167B1B"/>
    <w:rsid w:val="0017752F"/>
    <w:rsid w:val="001812D9"/>
    <w:rsid w:val="001901D2"/>
    <w:rsid w:val="001960BF"/>
    <w:rsid w:val="001A2532"/>
    <w:rsid w:val="001A3367"/>
    <w:rsid w:val="001A7FD0"/>
    <w:rsid w:val="001B4551"/>
    <w:rsid w:val="001B4F85"/>
    <w:rsid w:val="001B5002"/>
    <w:rsid w:val="001C2124"/>
    <w:rsid w:val="001C378A"/>
    <w:rsid w:val="001D34DB"/>
    <w:rsid w:val="001D71F4"/>
    <w:rsid w:val="001E32A2"/>
    <w:rsid w:val="001F14BC"/>
    <w:rsid w:val="001F2A0A"/>
    <w:rsid w:val="001F50CC"/>
    <w:rsid w:val="001F608F"/>
    <w:rsid w:val="00206A5F"/>
    <w:rsid w:val="00207561"/>
    <w:rsid w:val="00216003"/>
    <w:rsid w:val="00220E27"/>
    <w:rsid w:val="00224FA8"/>
    <w:rsid w:val="00226DDE"/>
    <w:rsid w:val="00230B2E"/>
    <w:rsid w:val="00231BCC"/>
    <w:rsid w:val="002343B2"/>
    <w:rsid w:val="0024023B"/>
    <w:rsid w:val="0024523C"/>
    <w:rsid w:val="002457A2"/>
    <w:rsid w:val="002616EF"/>
    <w:rsid w:val="002653CF"/>
    <w:rsid w:val="00275A29"/>
    <w:rsid w:val="002A0161"/>
    <w:rsid w:val="002A7314"/>
    <w:rsid w:val="002B1BD4"/>
    <w:rsid w:val="002B23CF"/>
    <w:rsid w:val="002B374D"/>
    <w:rsid w:val="002B5471"/>
    <w:rsid w:val="002B650E"/>
    <w:rsid w:val="002B66B1"/>
    <w:rsid w:val="002C1716"/>
    <w:rsid w:val="002C584E"/>
    <w:rsid w:val="002E14B0"/>
    <w:rsid w:val="002F5B66"/>
    <w:rsid w:val="00304BFD"/>
    <w:rsid w:val="003109CF"/>
    <w:rsid w:val="00311A2A"/>
    <w:rsid w:val="00313FEB"/>
    <w:rsid w:val="003173BF"/>
    <w:rsid w:val="00324C18"/>
    <w:rsid w:val="003255B9"/>
    <w:rsid w:val="00327D5D"/>
    <w:rsid w:val="00342C15"/>
    <w:rsid w:val="00346007"/>
    <w:rsid w:val="00350BC7"/>
    <w:rsid w:val="003513B8"/>
    <w:rsid w:val="003521C1"/>
    <w:rsid w:val="00353FF3"/>
    <w:rsid w:val="00360FFA"/>
    <w:rsid w:val="00364BFA"/>
    <w:rsid w:val="003747B2"/>
    <w:rsid w:val="00375E88"/>
    <w:rsid w:val="00381F20"/>
    <w:rsid w:val="003832BE"/>
    <w:rsid w:val="00392DA3"/>
    <w:rsid w:val="003A2F88"/>
    <w:rsid w:val="003A7224"/>
    <w:rsid w:val="003B572B"/>
    <w:rsid w:val="003D23DD"/>
    <w:rsid w:val="003D2F66"/>
    <w:rsid w:val="003D56EA"/>
    <w:rsid w:val="003E2968"/>
    <w:rsid w:val="003E476A"/>
    <w:rsid w:val="003F18B5"/>
    <w:rsid w:val="003F7EFE"/>
    <w:rsid w:val="004236A4"/>
    <w:rsid w:val="004268E5"/>
    <w:rsid w:val="004309C6"/>
    <w:rsid w:val="00431085"/>
    <w:rsid w:val="00431E4E"/>
    <w:rsid w:val="004378D7"/>
    <w:rsid w:val="0044284D"/>
    <w:rsid w:val="00445456"/>
    <w:rsid w:val="00445B86"/>
    <w:rsid w:val="004542C1"/>
    <w:rsid w:val="00460B93"/>
    <w:rsid w:val="00461685"/>
    <w:rsid w:val="00464BEC"/>
    <w:rsid w:val="00473375"/>
    <w:rsid w:val="00475A32"/>
    <w:rsid w:val="004766E9"/>
    <w:rsid w:val="0048469E"/>
    <w:rsid w:val="00484BA7"/>
    <w:rsid w:val="004907C2"/>
    <w:rsid w:val="004A079F"/>
    <w:rsid w:val="004A24A4"/>
    <w:rsid w:val="004A3AC2"/>
    <w:rsid w:val="004A6D46"/>
    <w:rsid w:val="004A78B9"/>
    <w:rsid w:val="004B4E78"/>
    <w:rsid w:val="004C14CB"/>
    <w:rsid w:val="004C479E"/>
    <w:rsid w:val="004C6E43"/>
    <w:rsid w:val="004C7E97"/>
    <w:rsid w:val="004D0C46"/>
    <w:rsid w:val="004D509D"/>
    <w:rsid w:val="004D7855"/>
    <w:rsid w:val="004E1A98"/>
    <w:rsid w:val="004E50DB"/>
    <w:rsid w:val="004E6E7F"/>
    <w:rsid w:val="005031EA"/>
    <w:rsid w:val="00504953"/>
    <w:rsid w:val="00506966"/>
    <w:rsid w:val="00511A23"/>
    <w:rsid w:val="00515D69"/>
    <w:rsid w:val="00535820"/>
    <w:rsid w:val="00535D48"/>
    <w:rsid w:val="005428EC"/>
    <w:rsid w:val="00543EE9"/>
    <w:rsid w:val="00551429"/>
    <w:rsid w:val="00551B71"/>
    <w:rsid w:val="00551C35"/>
    <w:rsid w:val="00552703"/>
    <w:rsid w:val="00555117"/>
    <w:rsid w:val="00563F8B"/>
    <w:rsid w:val="00580208"/>
    <w:rsid w:val="005875CF"/>
    <w:rsid w:val="00587E29"/>
    <w:rsid w:val="005959B8"/>
    <w:rsid w:val="00596653"/>
    <w:rsid w:val="00596EA4"/>
    <w:rsid w:val="005973E1"/>
    <w:rsid w:val="005A2EAF"/>
    <w:rsid w:val="005A4394"/>
    <w:rsid w:val="005A579A"/>
    <w:rsid w:val="005B0BFA"/>
    <w:rsid w:val="005B23D5"/>
    <w:rsid w:val="005C42D4"/>
    <w:rsid w:val="005C6BEB"/>
    <w:rsid w:val="005C7C4B"/>
    <w:rsid w:val="005D14DF"/>
    <w:rsid w:val="005D2BD1"/>
    <w:rsid w:val="005D5ADA"/>
    <w:rsid w:val="005D645D"/>
    <w:rsid w:val="005E04EB"/>
    <w:rsid w:val="005E1292"/>
    <w:rsid w:val="005E4558"/>
    <w:rsid w:val="005F16D8"/>
    <w:rsid w:val="006026BE"/>
    <w:rsid w:val="00603DAE"/>
    <w:rsid w:val="00605590"/>
    <w:rsid w:val="006116D5"/>
    <w:rsid w:val="00617145"/>
    <w:rsid w:val="00617EBF"/>
    <w:rsid w:val="006200A7"/>
    <w:rsid w:val="00622D7E"/>
    <w:rsid w:val="006247EE"/>
    <w:rsid w:val="00626C22"/>
    <w:rsid w:val="006468F4"/>
    <w:rsid w:val="00654BEF"/>
    <w:rsid w:val="00654E76"/>
    <w:rsid w:val="00655A81"/>
    <w:rsid w:val="0066205F"/>
    <w:rsid w:val="00663456"/>
    <w:rsid w:val="0066414F"/>
    <w:rsid w:val="006702A0"/>
    <w:rsid w:val="0067048B"/>
    <w:rsid w:val="00674F61"/>
    <w:rsid w:val="00680D54"/>
    <w:rsid w:val="0068552C"/>
    <w:rsid w:val="006920BC"/>
    <w:rsid w:val="006963BA"/>
    <w:rsid w:val="006A40E6"/>
    <w:rsid w:val="006B0B61"/>
    <w:rsid w:val="006B2799"/>
    <w:rsid w:val="006C0761"/>
    <w:rsid w:val="006C4633"/>
    <w:rsid w:val="006C4FE5"/>
    <w:rsid w:val="006C6693"/>
    <w:rsid w:val="006D373F"/>
    <w:rsid w:val="006F39D1"/>
    <w:rsid w:val="006F70F8"/>
    <w:rsid w:val="007077FE"/>
    <w:rsid w:val="00713B53"/>
    <w:rsid w:val="007150F6"/>
    <w:rsid w:val="007310B7"/>
    <w:rsid w:val="00737B04"/>
    <w:rsid w:val="00742AA5"/>
    <w:rsid w:val="00743D46"/>
    <w:rsid w:val="00743E0F"/>
    <w:rsid w:val="00756C37"/>
    <w:rsid w:val="00756F36"/>
    <w:rsid w:val="007668F7"/>
    <w:rsid w:val="00773D66"/>
    <w:rsid w:val="00777D8A"/>
    <w:rsid w:val="0078110A"/>
    <w:rsid w:val="00782D37"/>
    <w:rsid w:val="00786064"/>
    <w:rsid w:val="00796E8B"/>
    <w:rsid w:val="007A04AA"/>
    <w:rsid w:val="007A2380"/>
    <w:rsid w:val="007B6482"/>
    <w:rsid w:val="007B68A7"/>
    <w:rsid w:val="007C1D44"/>
    <w:rsid w:val="007C1F27"/>
    <w:rsid w:val="007C3747"/>
    <w:rsid w:val="007C656C"/>
    <w:rsid w:val="007D012C"/>
    <w:rsid w:val="007D0B31"/>
    <w:rsid w:val="007D357E"/>
    <w:rsid w:val="007D3780"/>
    <w:rsid w:val="007D628C"/>
    <w:rsid w:val="007E76F2"/>
    <w:rsid w:val="007F35AC"/>
    <w:rsid w:val="007F47EF"/>
    <w:rsid w:val="0080095E"/>
    <w:rsid w:val="00816BB8"/>
    <w:rsid w:val="00816D94"/>
    <w:rsid w:val="00824121"/>
    <w:rsid w:val="008332F7"/>
    <w:rsid w:val="00833691"/>
    <w:rsid w:val="00837BA8"/>
    <w:rsid w:val="00840431"/>
    <w:rsid w:val="00841543"/>
    <w:rsid w:val="00852DF6"/>
    <w:rsid w:val="0087083F"/>
    <w:rsid w:val="0088761B"/>
    <w:rsid w:val="008A0A5E"/>
    <w:rsid w:val="008A0BC1"/>
    <w:rsid w:val="008A7CC5"/>
    <w:rsid w:val="008B2158"/>
    <w:rsid w:val="008B5EC6"/>
    <w:rsid w:val="008B6B32"/>
    <w:rsid w:val="008B6BFF"/>
    <w:rsid w:val="008C6393"/>
    <w:rsid w:val="008D191A"/>
    <w:rsid w:val="008D594D"/>
    <w:rsid w:val="008D6AD6"/>
    <w:rsid w:val="008E13D5"/>
    <w:rsid w:val="008E3B4C"/>
    <w:rsid w:val="008E5F1F"/>
    <w:rsid w:val="008E7341"/>
    <w:rsid w:val="008F0339"/>
    <w:rsid w:val="008F4793"/>
    <w:rsid w:val="008F4D4A"/>
    <w:rsid w:val="0090524B"/>
    <w:rsid w:val="0090563B"/>
    <w:rsid w:val="009216B1"/>
    <w:rsid w:val="00923BAA"/>
    <w:rsid w:val="009277CB"/>
    <w:rsid w:val="009309B9"/>
    <w:rsid w:val="00933104"/>
    <w:rsid w:val="00941A33"/>
    <w:rsid w:val="009420B9"/>
    <w:rsid w:val="00946FE9"/>
    <w:rsid w:val="00952616"/>
    <w:rsid w:val="0095532D"/>
    <w:rsid w:val="00956F4A"/>
    <w:rsid w:val="00973451"/>
    <w:rsid w:val="00983470"/>
    <w:rsid w:val="0098458A"/>
    <w:rsid w:val="00985B04"/>
    <w:rsid w:val="00986536"/>
    <w:rsid w:val="00986F17"/>
    <w:rsid w:val="0098753D"/>
    <w:rsid w:val="0099021B"/>
    <w:rsid w:val="009953C7"/>
    <w:rsid w:val="009A215D"/>
    <w:rsid w:val="009A4DAC"/>
    <w:rsid w:val="009B3486"/>
    <w:rsid w:val="009B429A"/>
    <w:rsid w:val="009C5ADC"/>
    <w:rsid w:val="009D053B"/>
    <w:rsid w:val="009D1EDC"/>
    <w:rsid w:val="009D528D"/>
    <w:rsid w:val="009E4855"/>
    <w:rsid w:val="009E5F5B"/>
    <w:rsid w:val="009E6282"/>
    <w:rsid w:val="009F2F1E"/>
    <w:rsid w:val="009F5E65"/>
    <w:rsid w:val="00A00DA9"/>
    <w:rsid w:val="00A06813"/>
    <w:rsid w:val="00A11E6A"/>
    <w:rsid w:val="00A177D3"/>
    <w:rsid w:val="00A210C3"/>
    <w:rsid w:val="00A212C8"/>
    <w:rsid w:val="00A317C8"/>
    <w:rsid w:val="00A34543"/>
    <w:rsid w:val="00A35491"/>
    <w:rsid w:val="00A36EC0"/>
    <w:rsid w:val="00A37B78"/>
    <w:rsid w:val="00A4070E"/>
    <w:rsid w:val="00A40BBE"/>
    <w:rsid w:val="00A43E4E"/>
    <w:rsid w:val="00A4659B"/>
    <w:rsid w:val="00A60127"/>
    <w:rsid w:val="00A6178D"/>
    <w:rsid w:val="00A82395"/>
    <w:rsid w:val="00A917DD"/>
    <w:rsid w:val="00AA33B6"/>
    <w:rsid w:val="00AB0196"/>
    <w:rsid w:val="00AB1073"/>
    <w:rsid w:val="00AB1506"/>
    <w:rsid w:val="00AB1DDC"/>
    <w:rsid w:val="00AB5F15"/>
    <w:rsid w:val="00AD6918"/>
    <w:rsid w:val="00AE0A9B"/>
    <w:rsid w:val="00AE5E6D"/>
    <w:rsid w:val="00AF6980"/>
    <w:rsid w:val="00B00DFC"/>
    <w:rsid w:val="00B03C90"/>
    <w:rsid w:val="00B07B0D"/>
    <w:rsid w:val="00B124C8"/>
    <w:rsid w:val="00B32BB0"/>
    <w:rsid w:val="00B34444"/>
    <w:rsid w:val="00B41F20"/>
    <w:rsid w:val="00B47005"/>
    <w:rsid w:val="00B60390"/>
    <w:rsid w:val="00B6483D"/>
    <w:rsid w:val="00B64F39"/>
    <w:rsid w:val="00B656BF"/>
    <w:rsid w:val="00B665B3"/>
    <w:rsid w:val="00B66FB6"/>
    <w:rsid w:val="00B73FC7"/>
    <w:rsid w:val="00B77773"/>
    <w:rsid w:val="00B85B38"/>
    <w:rsid w:val="00B97BAA"/>
    <w:rsid w:val="00BA2B46"/>
    <w:rsid w:val="00BC74FB"/>
    <w:rsid w:val="00BD1EA5"/>
    <w:rsid w:val="00BD56CA"/>
    <w:rsid w:val="00BE130D"/>
    <w:rsid w:val="00BE4A53"/>
    <w:rsid w:val="00BF5447"/>
    <w:rsid w:val="00BF70CC"/>
    <w:rsid w:val="00C00327"/>
    <w:rsid w:val="00C005E9"/>
    <w:rsid w:val="00C04588"/>
    <w:rsid w:val="00C0708D"/>
    <w:rsid w:val="00C10530"/>
    <w:rsid w:val="00C10DFF"/>
    <w:rsid w:val="00C1197E"/>
    <w:rsid w:val="00C15C10"/>
    <w:rsid w:val="00C16914"/>
    <w:rsid w:val="00C20FA4"/>
    <w:rsid w:val="00C25068"/>
    <w:rsid w:val="00C30049"/>
    <w:rsid w:val="00C3136A"/>
    <w:rsid w:val="00C34789"/>
    <w:rsid w:val="00C37C6E"/>
    <w:rsid w:val="00C43545"/>
    <w:rsid w:val="00C4582B"/>
    <w:rsid w:val="00C472E2"/>
    <w:rsid w:val="00C479B6"/>
    <w:rsid w:val="00C500BD"/>
    <w:rsid w:val="00C63D67"/>
    <w:rsid w:val="00C75BC2"/>
    <w:rsid w:val="00C76403"/>
    <w:rsid w:val="00C85EE8"/>
    <w:rsid w:val="00C86CFF"/>
    <w:rsid w:val="00C92782"/>
    <w:rsid w:val="00C97D41"/>
    <w:rsid w:val="00CA138E"/>
    <w:rsid w:val="00CB0CB4"/>
    <w:rsid w:val="00CB7F6D"/>
    <w:rsid w:val="00CC1E31"/>
    <w:rsid w:val="00CC54AB"/>
    <w:rsid w:val="00CC6103"/>
    <w:rsid w:val="00CD4E6F"/>
    <w:rsid w:val="00CF1102"/>
    <w:rsid w:val="00CF3A9E"/>
    <w:rsid w:val="00CF3C59"/>
    <w:rsid w:val="00CF3CF0"/>
    <w:rsid w:val="00CF6638"/>
    <w:rsid w:val="00D10B84"/>
    <w:rsid w:val="00D11E30"/>
    <w:rsid w:val="00D171A1"/>
    <w:rsid w:val="00D21803"/>
    <w:rsid w:val="00D23ECF"/>
    <w:rsid w:val="00D32AA4"/>
    <w:rsid w:val="00D33822"/>
    <w:rsid w:val="00D3567C"/>
    <w:rsid w:val="00D36D68"/>
    <w:rsid w:val="00D36E3D"/>
    <w:rsid w:val="00D40389"/>
    <w:rsid w:val="00D404B2"/>
    <w:rsid w:val="00D46E01"/>
    <w:rsid w:val="00D50EE5"/>
    <w:rsid w:val="00D542D2"/>
    <w:rsid w:val="00D54DBF"/>
    <w:rsid w:val="00D54E63"/>
    <w:rsid w:val="00D666BD"/>
    <w:rsid w:val="00D71B43"/>
    <w:rsid w:val="00D75B3A"/>
    <w:rsid w:val="00D83B14"/>
    <w:rsid w:val="00D970CA"/>
    <w:rsid w:val="00D973EB"/>
    <w:rsid w:val="00DA3A94"/>
    <w:rsid w:val="00DA53C3"/>
    <w:rsid w:val="00DB2FCE"/>
    <w:rsid w:val="00DB42E7"/>
    <w:rsid w:val="00DB4CD1"/>
    <w:rsid w:val="00DB7E01"/>
    <w:rsid w:val="00DD0A40"/>
    <w:rsid w:val="00DD2844"/>
    <w:rsid w:val="00DD5570"/>
    <w:rsid w:val="00DE21E7"/>
    <w:rsid w:val="00DE6E9C"/>
    <w:rsid w:val="00DE7732"/>
    <w:rsid w:val="00DF045C"/>
    <w:rsid w:val="00DF0FCE"/>
    <w:rsid w:val="00DF3C2C"/>
    <w:rsid w:val="00E01D83"/>
    <w:rsid w:val="00E03B93"/>
    <w:rsid w:val="00E113AA"/>
    <w:rsid w:val="00E22138"/>
    <w:rsid w:val="00E24835"/>
    <w:rsid w:val="00E24F8F"/>
    <w:rsid w:val="00E36EF8"/>
    <w:rsid w:val="00E463CC"/>
    <w:rsid w:val="00E5005A"/>
    <w:rsid w:val="00E5797B"/>
    <w:rsid w:val="00E61CEC"/>
    <w:rsid w:val="00E6498F"/>
    <w:rsid w:val="00E66595"/>
    <w:rsid w:val="00E71414"/>
    <w:rsid w:val="00E72467"/>
    <w:rsid w:val="00E724BA"/>
    <w:rsid w:val="00E73558"/>
    <w:rsid w:val="00E762CE"/>
    <w:rsid w:val="00E775AE"/>
    <w:rsid w:val="00E82901"/>
    <w:rsid w:val="00E94D98"/>
    <w:rsid w:val="00E9549E"/>
    <w:rsid w:val="00E956C1"/>
    <w:rsid w:val="00EA232D"/>
    <w:rsid w:val="00EB194D"/>
    <w:rsid w:val="00EB52D3"/>
    <w:rsid w:val="00ED2E17"/>
    <w:rsid w:val="00ED4025"/>
    <w:rsid w:val="00ED7BC8"/>
    <w:rsid w:val="00EE36E0"/>
    <w:rsid w:val="00EE4ADF"/>
    <w:rsid w:val="00EE567D"/>
    <w:rsid w:val="00EF0792"/>
    <w:rsid w:val="00EF10E8"/>
    <w:rsid w:val="00EF297B"/>
    <w:rsid w:val="00EF3DC0"/>
    <w:rsid w:val="00F000CB"/>
    <w:rsid w:val="00F0543D"/>
    <w:rsid w:val="00F14A56"/>
    <w:rsid w:val="00F14A71"/>
    <w:rsid w:val="00F14B76"/>
    <w:rsid w:val="00F22300"/>
    <w:rsid w:val="00F237F0"/>
    <w:rsid w:val="00F36077"/>
    <w:rsid w:val="00F52D0B"/>
    <w:rsid w:val="00F60B5D"/>
    <w:rsid w:val="00F614BA"/>
    <w:rsid w:val="00F6306B"/>
    <w:rsid w:val="00F633C7"/>
    <w:rsid w:val="00F66C21"/>
    <w:rsid w:val="00F71A17"/>
    <w:rsid w:val="00F72046"/>
    <w:rsid w:val="00F7284A"/>
    <w:rsid w:val="00F72955"/>
    <w:rsid w:val="00F753DA"/>
    <w:rsid w:val="00F77621"/>
    <w:rsid w:val="00F91463"/>
    <w:rsid w:val="00FA1AAB"/>
    <w:rsid w:val="00FC32F1"/>
    <w:rsid w:val="00FC6937"/>
    <w:rsid w:val="00FC7955"/>
    <w:rsid w:val="00FD0380"/>
    <w:rsid w:val="00FD0423"/>
    <w:rsid w:val="00FD0CF9"/>
    <w:rsid w:val="00FD20B4"/>
    <w:rsid w:val="00FF2D0D"/>
    <w:rsid w:val="00FF2D14"/>
    <w:rsid w:val="00FF3574"/>
    <w:rsid w:val="00FF6002"/>
    <w:rsid w:val="012E0DA6"/>
    <w:rsid w:val="018E11F8"/>
    <w:rsid w:val="027F3F38"/>
    <w:rsid w:val="02D15D17"/>
    <w:rsid w:val="03681CB6"/>
    <w:rsid w:val="037612FF"/>
    <w:rsid w:val="03766755"/>
    <w:rsid w:val="04C50B3A"/>
    <w:rsid w:val="0543119A"/>
    <w:rsid w:val="05BC39D9"/>
    <w:rsid w:val="05DA1514"/>
    <w:rsid w:val="05F23087"/>
    <w:rsid w:val="06031332"/>
    <w:rsid w:val="064D5C0C"/>
    <w:rsid w:val="06887C8D"/>
    <w:rsid w:val="07424A63"/>
    <w:rsid w:val="088A4B07"/>
    <w:rsid w:val="08B035F0"/>
    <w:rsid w:val="08D31F20"/>
    <w:rsid w:val="08D81542"/>
    <w:rsid w:val="09362F76"/>
    <w:rsid w:val="09843DC8"/>
    <w:rsid w:val="09DD2810"/>
    <w:rsid w:val="0A012A5D"/>
    <w:rsid w:val="0A6145C5"/>
    <w:rsid w:val="0AFE0C7D"/>
    <w:rsid w:val="0BC37A14"/>
    <w:rsid w:val="0C17014B"/>
    <w:rsid w:val="0CB5378F"/>
    <w:rsid w:val="0E043010"/>
    <w:rsid w:val="0E7015A9"/>
    <w:rsid w:val="0E7119EA"/>
    <w:rsid w:val="0EA25200"/>
    <w:rsid w:val="0EBA2DEC"/>
    <w:rsid w:val="0F061A77"/>
    <w:rsid w:val="0F4D7CA0"/>
    <w:rsid w:val="0F5A446A"/>
    <w:rsid w:val="10161ECA"/>
    <w:rsid w:val="108D0A7B"/>
    <w:rsid w:val="10A45EEB"/>
    <w:rsid w:val="123D1A85"/>
    <w:rsid w:val="126A2892"/>
    <w:rsid w:val="12F316B2"/>
    <w:rsid w:val="12F732E2"/>
    <w:rsid w:val="133F21B8"/>
    <w:rsid w:val="13470805"/>
    <w:rsid w:val="13980411"/>
    <w:rsid w:val="13AE0ED6"/>
    <w:rsid w:val="13B51E69"/>
    <w:rsid w:val="13B737FB"/>
    <w:rsid w:val="13CD5403"/>
    <w:rsid w:val="15B839EB"/>
    <w:rsid w:val="16544086"/>
    <w:rsid w:val="16693882"/>
    <w:rsid w:val="168C44B5"/>
    <w:rsid w:val="16BF3BF6"/>
    <w:rsid w:val="16C427A8"/>
    <w:rsid w:val="16D07C89"/>
    <w:rsid w:val="16D83001"/>
    <w:rsid w:val="16FE14E8"/>
    <w:rsid w:val="180F513A"/>
    <w:rsid w:val="183D1F81"/>
    <w:rsid w:val="18FD5FC0"/>
    <w:rsid w:val="196703CF"/>
    <w:rsid w:val="19D51C44"/>
    <w:rsid w:val="1A75435E"/>
    <w:rsid w:val="1AD84DCB"/>
    <w:rsid w:val="1AE61243"/>
    <w:rsid w:val="1C2A08BE"/>
    <w:rsid w:val="1C9B3A24"/>
    <w:rsid w:val="1CFA651C"/>
    <w:rsid w:val="1E3D569B"/>
    <w:rsid w:val="1E627EBD"/>
    <w:rsid w:val="1EC548ED"/>
    <w:rsid w:val="1F500725"/>
    <w:rsid w:val="1F814B0D"/>
    <w:rsid w:val="20671AEC"/>
    <w:rsid w:val="21A94657"/>
    <w:rsid w:val="21BD0BE3"/>
    <w:rsid w:val="21FC264C"/>
    <w:rsid w:val="22F05122"/>
    <w:rsid w:val="23FA083C"/>
    <w:rsid w:val="240F3190"/>
    <w:rsid w:val="244E5921"/>
    <w:rsid w:val="251241EC"/>
    <w:rsid w:val="25261AF0"/>
    <w:rsid w:val="253927F0"/>
    <w:rsid w:val="25A3163E"/>
    <w:rsid w:val="261D6F20"/>
    <w:rsid w:val="264D4965"/>
    <w:rsid w:val="26ED35B3"/>
    <w:rsid w:val="279255CA"/>
    <w:rsid w:val="287B480D"/>
    <w:rsid w:val="288B5AAE"/>
    <w:rsid w:val="28EA2A19"/>
    <w:rsid w:val="29566C9C"/>
    <w:rsid w:val="2977121D"/>
    <w:rsid w:val="298A4C66"/>
    <w:rsid w:val="2AB811A5"/>
    <w:rsid w:val="2AD45759"/>
    <w:rsid w:val="2AD46032"/>
    <w:rsid w:val="2BB81650"/>
    <w:rsid w:val="2CD83DB9"/>
    <w:rsid w:val="2CF9713C"/>
    <w:rsid w:val="2D655E53"/>
    <w:rsid w:val="2D8C6D45"/>
    <w:rsid w:val="2E5C76B5"/>
    <w:rsid w:val="2EB301A9"/>
    <w:rsid w:val="2F9E2518"/>
    <w:rsid w:val="2FB44549"/>
    <w:rsid w:val="2FE3558F"/>
    <w:rsid w:val="3102144B"/>
    <w:rsid w:val="32382504"/>
    <w:rsid w:val="33164634"/>
    <w:rsid w:val="335C78EB"/>
    <w:rsid w:val="3394422B"/>
    <w:rsid w:val="35380C3C"/>
    <w:rsid w:val="35C6028C"/>
    <w:rsid w:val="361650E5"/>
    <w:rsid w:val="364F3B9F"/>
    <w:rsid w:val="39C63F9F"/>
    <w:rsid w:val="3A3F3E4F"/>
    <w:rsid w:val="3D055F40"/>
    <w:rsid w:val="3D1116BC"/>
    <w:rsid w:val="3D70081E"/>
    <w:rsid w:val="3D821CB0"/>
    <w:rsid w:val="3DFE49CF"/>
    <w:rsid w:val="3FAC1132"/>
    <w:rsid w:val="41106371"/>
    <w:rsid w:val="41555106"/>
    <w:rsid w:val="417F6B21"/>
    <w:rsid w:val="426D6570"/>
    <w:rsid w:val="42B24735"/>
    <w:rsid w:val="434907E1"/>
    <w:rsid w:val="43BE7D01"/>
    <w:rsid w:val="44B24031"/>
    <w:rsid w:val="453C6DFF"/>
    <w:rsid w:val="45821B06"/>
    <w:rsid w:val="46B361F9"/>
    <w:rsid w:val="46ED5AA4"/>
    <w:rsid w:val="473D2A93"/>
    <w:rsid w:val="481D26AC"/>
    <w:rsid w:val="48205B67"/>
    <w:rsid w:val="48413E89"/>
    <w:rsid w:val="48CA141A"/>
    <w:rsid w:val="495B390D"/>
    <w:rsid w:val="49C14B8F"/>
    <w:rsid w:val="4A462005"/>
    <w:rsid w:val="4AC775DB"/>
    <w:rsid w:val="4B20680A"/>
    <w:rsid w:val="4B9619A5"/>
    <w:rsid w:val="4C6B4164"/>
    <w:rsid w:val="4C995B53"/>
    <w:rsid w:val="4CF46CC7"/>
    <w:rsid w:val="4D2D520A"/>
    <w:rsid w:val="4D3866FA"/>
    <w:rsid w:val="4D5D3FBA"/>
    <w:rsid w:val="4DBF7BFD"/>
    <w:rsid w:val="4DF029B0"/>
    <w:rsid w:val="4E7B6DED"/>
    <w:rsid w:val="4EB63026"/>
    <w:rsid w:val="4FB75F93"/>
    <w:rsid w:val="520D76EA"/>
    <w:rsid w:val="52674BEB"/>
    <w:rsid w:val="52CB1B43"/>
    <w:rsid w:val="5309703C"/>
    <w:rsid w:val="531D37E8"/>
    <w:rsid w:val="532834AE"/>
    <w:rsid w:val="539B0B38"/>
    <w:rsid w:val="54EC31EC"/>
    <w:rsid w:val="559C2377"/>
    <w:rsid w:val="565C771A"/>
    <w:rsid w:val="576E7916"/>
    <w:rsid w:val="57970A26"/>
    <w:rsid w:val="57D87EEA"/>
    <w:rsid w:val="59163975"/>
    <w:rsid w:val="59B54D47"/>
    <w:rsid w:val="5AC226E5"/>
    <w:rsid w:val="5B905E83"/>
    <w:rsid w:val="5B956FF1"/>
    <w:rsid w:val="5C014C95"/>
    <w:rsid w:val="5C2F46FC"/>
    <w:rsid w:val="5E441BC4"/>
    <w:rsid w:val="5EB81926"/>
    <w:rsid w:val="5EC025C7"/>
    <w:rsid w:val="5ED747F5"/>
    <w:rsid w:val="5F1F31A8"/>
    <w:rsid w:val="5F226CCE"/>
    <w:rsid w:val="5F4B39DE"/>
    <w:rsid w:val="5F552057"/>
    <w:rsid w:val="5FAB0BFF"/>
    <w:rsid w:val="600D2708"/>
    <w:rsid w:val="606F1DB2"/>
    <w:rsid w:val="60945AF8"/>
    <w:rsid w:val="613036D3"/>
    <w:rsid w:val="61AE1634"/>
    <w:rsid w:val="631449DB"/>
    <w:rsid w:val="6317783C"/>
    <w:rsid w:val="63396CA4"/>
    <w:rsid w:val="637E1A48"/>
    <w:rsid w:val="66CF1D67"/>
    <w:rsid w:val="66EE3683"/>
    <w:rsid w:val="673102F6"/>
    <w:rsid w:val="67665908"/>
    <w:rsid w:val="67C23D16"/>
    <w:rsid w:val="67ED709D"/>
    <w:rsid w:val="6858075C"/>
    <w:rsid w:val="68AE00F4"/>
    <w:rsid w:val="69456B17"/>
    <w:rsid w:val="6A1042C8"/>
    <w:rsid w:val="6AA80E58"/>
    <w:rsid w:val="6BC8719F"/>
    <w:rsid w:val="6C1B7FD3"/>
    <w:rsid w:val="6CE22B94"/>
    <w:rsid w:val="6D473387"/>
    <w:rsid w:val="6DB254F0"/>
    <w:rsid w:val="6DBB54D8"/>
    <w:rsid w:val="6DEE7AC7"/>
    <w:rsid w:val="6DFD5EE7"/>
    <w:rsid w:val="6E6C6ACE"/>
    <w:rsid w:val="6EE93D7A"/>
    <w:rsid w:val="70AA002C"/>
    <w:rsid w:val="70D8097D"/>
    <w:rsid w:val="71091DC6"/>
    <w:rsid w:val="71B543A3"/>
    <w:rsid w:val="73A3746D"/>
    <w:rsid w:val="7490704E"/>
    <w:rsid w:val="749B2B16"/>
    <w:rsid w:val="74FB1373"/>
    <w:rsid w:val="750E7832"/>
    <w:rsid w:val="75207060"/>
    <w:rsid w:val="75813FEF"/>
    <w:rsid w:val="75EA43AD"/>
    <w:rsid w:val="76344C7C"/>
    <w:rsid w:val="77063678"/>
    <w:rsid w:val="77123D4A"/>
    <w:rsid w:val="77886715"/>
    <w:rsid w:val="780346D2"/>
    <w:rsid w:val="784C367B"/>
    <w:rsid w:val="78760243"/>
    <w:rsid w:val="78ED0BCD"/>
    <w:rsid w:val="798E5316"/>
    <w:rsid w:val="79A92ED7"/>
    <w:rsid w:val="7A3002B3"/>
    <w:rsid w:val="7A401C25"/>
    <w:rsid w:val="7A616430"/>
    <w:rsid w:val="7AA94700"/>
    <w:rsid w:val="7ABA46B4"/>
    <w:rsid w:val="7AC73159"/>
    <w:rsid w:val="7AE40407"/>
    <w:rsid w:val="7B4A431E"/>
    <w:rsid w:val="7B760F3F"/>
    <w:rsid w:val="7B8906BA"/>
    <w:rsid w:val="7B905F2E"/>
    <w:rsid w:val="7CDE1D29"/>
    <w:rsid w:val="7DFE777F"/>
    <w:rsid w:val="7E3E0E09"/>
    <w:rsid w:val="7F82426B"/>
    <w:rsid w:val="7F84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line="360" w:lineRule="auto"/>
      <w:ind w:firstLine="200" w:firstLineChars="200"/>
      <w:outlineLvl w:val="0"/>
    </w:pPr>
    <w:rPr>
      <w:rFonts w:eastAsia="黑体"/>
      <w:bCs/>
      <w:kern w:val="44"/>
      <w:sz w:val="36"/>
      <w:szCs w:val="44"/>
    </w:rPr>
  </w:style>
  <w:style w:type="paragraph" w:styleId="3">
    <w:name w:val="heading 2"/>
    <w:basedOn w:val="1"/>
    <w:next w:val="1"/>
    <w:link w:val="24"/>
    <w:unhideWhenUsed/>
    <w:qFormat/>
    <w:uiPriority w:val="9"/>
    <w:pPr>
      <w:keepNext/>
      <w:keepLines/>
      <w:spacing w:line="360" w:lineRule="auto"/>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33"/>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line="360" w:lineRule="auto"/>
      <w:jc w:val="center"/>
    </w:pPr>
    <w:rPr>
      <w:rFonts w:ascii="黑体" w:hAnsi="黑体" w:eastAsia="黑体"/>
      <w:sz w:val="36"/>
      <w:lang w:val="zh-CN"/>
    </w:rPr>
  </w:style>
  <w:style w:type="paragraph" w:styleId="13">
    <w:name w:val="footnote text"/>
    <w:basedOn w:val="1"/>
    <w:semiHidden/>
    <w:unhideWhenUsed/>
    <w:qFormat/>
    <w:uiPriority w:val="99"/>
    <w:pPr>
      <w:snapToGrid w:val="0"/>
      <w:jc w:val="left"/>
    </w:pPr>
    <w:rPr>
      <w:sz w:val="18"/>
    </w:rPr>
  </w:style>
  <w:style w:type="paragraph" w:styleId="14">
    <w:name w:val="toc 2"/>
    <w:basedOn w:val="1"/>
    <w:next w:val="1"/>
    <w:unhideWhenUsed/>
    <w:qFormat/>
    <w:uiPriority w:val="39"/>
    <w:pPr>
      <w:ind w:left="420" w:leftChars="200"/>
    </w:pPr>
  </w:style>
  <w:style w:type="paragraph" w:styleId="15">
    <w:name w:val="annotation subject"/>
    <w:basedOn w:val="8"/>
    <w:next w:val="8"/>
    <w:link w:val="32"/>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styleId="21">
    <w:name w:val="footnote reference"/>
    <w:basedOn w:val="18"/>
    <w:semiHidden/>
    <w:unhideWhenUsed/>
    <w:qFormat/>
    <w:uiPriority w:val="99"/>
    <w:rPr>
      <w:vertAlign w:val="superscript"/>
    </w:rPr>
  </w:style>
  <w:style w:type="character" w:customStyle="1" w:styleId="22">
    <w:name w:val="readmail_locationtip"/>
    <w:basedOn w:val="18"/>
    <w:qFormat/>
    <w:uiPriority w:val="0"/>
  </w:style>
  <w:style w:type="character" w:customStyle="1" w:styleId="23">
    <w:name w:val="标题 1 Char"/>
    <w:basedOn w:val="18"/>
    <w:link w:val="2"/>
    <w:qFormat/>
    <w:uiPriority w:val="9"/>
    <w:rPr>
      <w:rFonts w:eastAsia="黑体"/>
      <w:bCs/>
      <w:kern w:val="44"/>
      <w:sz w:val="36"/>
      <w:szCs w:val="44"/>
    </w:rPr>
  </w:style>
  <w:style w:type="character" w:customStyle="1" w:styleId="24">
    <w:name w:val="标题 2 Char"/>
    <w:basedOn w:val="18"/>
    <w:link w:val="3"/>
    <w:qFormat/>
    <w:uiPriority w:val="9"/>
    <w:rPr>
      <w:rFonts w:eastAsia="仿宋" w:asciiTheme="majorHAnsi" w:hAnsiTheme="majorHAnsi" w:cstheme="majorBidi"/>
      <w:b/>
      <w:bCs/>
      <w:sz w:val="32"/>
      <w:szCs w:val="32"/>
    </w:rPr>
  </w:style>
  <w:style w:type="character" w:customStyle="1" w:styleId="25">
    <w:name w:val="标题 3 Char"/>
    <w:basedOn w:val="18"/>
    <w:link w:val="4"/>
    <w:qFormat/>
    <w:uiPriority w:val="9"/>
    <w:rPr>
      <w:b/>
      <w:bCs/>
      <w:sz w:val="32"/>
      <w:szCs w:val="32"/>
    </w:rPr>
  </w:style>
  <w:style w:type="character" w:customStyle="1" w:styleId="26">
    <w:name w:val="标题 4 Char"/>
    <w:basedOn w:val="18"/>
    <w:link w:val="5"/>
    <w:qFormat/>
    <w:uiPriority w:val="9"/>
    <w:rPr>
      <w:rFonts w:asciiTheme="majorHAnsi" w:hAnsiTheme="majorHAnsi" w:eastAsiaTheme="majorEastAsia" w:cstheme="majorBidi"/>
      <w:b/>
      <w:bCs/>
      <w:sz w:val="28"/>
      <w:szCs w:val="28"/>
    </w:rPr>
  </w:style>
  <w:style w:type="character" w:customStyle="1" w:styleId="27">
    <w:name w:val="页眉 Char"/>
    <w:basedOn w:val="18"/>
    <w:link w:val="11"/>
    <w:qFormat/>
    <w:uiPriority w:val="99"/>
    <w:rPr>
      <w:sz w:val="18"/>
      <w:szCs w:val="18"/>
    </w:rPr>
  </w:style>
  <w:style w:type="character" w:customStyle="1" w:styleId="28">
    <w:name w:val="页脚 Char"/>
    <w:basedOn w:val="18"/>
    <w:link w:val="10"/>
    <w:qFormat/>
    <w:uiPriority w:val="99"/>
    <w:rPr>
      <w:sz w:val="18"/>
      <w:szCs w:val="18"/>
    </w:rPr>
  </w:style>
  <w:style w:type="paragraph" w:customStyle="1" w:styleId="29">
    <w:name w:val="TOC 标题1"/>
    <w:basedOn w:val="2"/>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30">
    <w:name w:val="批注框文本 Char"/>
    <w:basedOn w:val="18"/>
    <w:link w:val="9"/>
    <w:semiHidden/>
    <w:qFormat/>
    <w:uiPriority w:val="99"/>
    <w:rPr>
      <w:sz w:val="18"/>
      <w:szCs w:val="18"/>
    </w:rPr>
  </w:style>
  <w:style w:type="character" w:customStyle="1" w:styleId="31">
    <w:name w:val="批注文字 Char"/>
    <w:basedOn w:val="18"/>
    <w:link w:val="8"/>
    <w:semiHidden/>
    <w:qFormat/>
    <w:uiPriority w:val="99"/>
  </w:style>
  <w:style w:type="character" w:customStyle="1" w:styleId="32">
    <w:name w:val="批注主题 Char"/>
    <w:basedOn w:val="31"/>
    <w:link w:val="15"/>
    <w:semiHidden/>
    <w:qFormat/>
    <w:uiPriority w:val="99"/>
    <w:rPr>
      <w:b/>
      <w:bCs/>
    </w:rPr>
  </w:style>
  <w:style w:type="character" w:customStyle="1" w:styleId="33">
    <w:name w:val="文档结构图 Char"/>
    <w:basedOn w:val="18"/>
    <w:link w:val="7"/>
    <w:semiHidden/>
    <w:qFormat/>
    <w:uiPriority w:val="99"/>
    <w:rPr>
      <w:rFonts w:ascii="宋体" w:eastAsia="宋体"/>
      <w:sz w:val="18"/>
      <w:szCs w:val="18"/>
    </w:rPr>
  </w:style>
  <w:style w:type="paragraph" w:styleId="34">
    <w:name w:val="List Paragraph"/>
    <w:basedOn w:val="1"/>
    <w:qFormat/>
    <w:uiPriority w:val="34"/>
    <w:pPr>
      <w:ind w:firstLine="420" w:firstLineChars="200"/>
    </w:pPr>
  </w:style>
  <w:style w:type="paragraph" w:customStyle="1" w:styleId="35">
    <w:name w:val="TOC 标题2"/>
    <w:basedOn w:val="2"/>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6">
    <w:name w:val="普通(网站)1"/>
    <w:basedOn w:val="1"/>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F9A97-E988-46DD-9547-E12E62901FE0}">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26</Pages>
  <Words>2032</Words>
  <Characters>11584</Characters>
  <Lines>96</Lines>
  <Paragraphs>27</Paragraphs>
  <TotalTime>0</TotalTime>
  <ScaleCrop>false</ScaleCrop>
  <LinksUpToDate>false</LinksUpToDate>
  <CharactersWithSpaces>13589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2020-07-01T04:57:00Z</dcterms:created>
  <dc:creator>chenmeiling</dc:creator>
  <cp:lastModifiedBy>吴玉岩</cp:lastModifiedBy>
  <cp:lastPrinted>2018-04-13T01:32:00Z</cp:lastPrinted>
  <dcterms:modified xsi:type="dcterms:W3CDTF">2020-09-23T02:49:17Z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