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rPr>
          <w:rFonts w:hint="eastAsia" w:ascii="方正小标宋简体" w:hAnsi="方正小标宋简体" w:eastAsia="方正小标宋简体" w:cs="方正小标宋简体"/>
          <w:b/>
          <w:color w:val="000000"/>
          <w:kern w:val="0"/>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rPr>
          <w:rFonts w:hint="eastAsia" w:ascii="方正小标宋简体" w:hAnsi="方正小标宋简体" w:eastAsia="方正小标宋简体" w:cs="方正小标宋简体"/>
          <w:b/>
          <w:color w:val="000000"/>
          <w:kern w:val="0"/>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rPr>
          <w:rFonts w:hint="eastAsia" w:ascii="方正小标宋简体" w:hAnsi="方正小标宋简体" w:eastAsia="方正小标宋简体" w:cs="方正小标宋简体"/>
          <w:b/>
          <w:color w:val="000000"/>
          <w:kern w:val="0"/>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rPr>
          <w:rFonts w:hint="eastAsia" w:ascii="方正小标宋简体" w:hAnsi="方正小标宋简体" w:eastAsia="方正小标宋简体" w:cs="方正小标宋简体"/>
          <w:b/>
          <w:color w:val="000000"/>
          <w:kern w:val="0"/>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rPr>
          <w:rFonts w:hint="eastAsia" w:ascii="方正小标宋简体" w:hAnsi="方正小标宋简体" w:eastAsia="方正小标宋简体" w:cs="方正小标宋简体"/>
          <w:b/>
          <w:color w:val="000000"/>
          <w:kern w:val="0"/>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方正小标宋简体" w:hAnsi="方正小标宋简体" w:eastAsia="方正小标宋简体" w:cs="方正小标宋简体"/>
          <w:b/>
          <w:color w:val="000000"/>
          <w:kern w:val="0"/>
          <w:sz w:val="48"/>
          <w:szCs w:val="48"/>
          <w:lang w:bidi="ar"/>
        </w:rPr>
      </w:pPr>
      <w:r>
        <w:rPr>
          <w:rFonts w:hint="eastAsia" w:ascii="方正小标宋简体" w:hAnsi="方正小标宋简体" w:eastAsia="方正小标宋简体" w:cs="方正小标宋简体"/>
          <w:b/>
          <w:color w:val="000000"/>
          <w:kern w:val="0"/>
          <w:sz w:val="48"/>
          <w:szCs w:val="48"/>
          <w:lang w:val="en-US" w:eastAsia="zh-CN" w:bidi="ar"/>
        </w:rPr>
        <w:t>枣庄市山亭区住建局</w:t>
      </w:r>
      <w:r>
        <w:rPr>
          <w:rFonts w:hint="eastAsia" w:ascii="方正小标宋简体" w:hAnsi="方正小标宋简体" w:eastAsia="方正小标宋简体" w:cs="方正小标宋简体"/>
          <w:b/>
          <w:color w:val="000000"/>
          <w:kern w:val="0"/>
          <w:sz w:val="48"/>
          <w:szCs w:val="48"/>
          <w:lang w:bidi="ar"/>
        </w:rPr>
        <w:t>部门整体支出</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方正小标宋简体" w:hAnsi="方正小标宋简体" w:eastAsia="方正小标宋简体" w:cs="方正小标宋简体"/>
          <w:b/>
          <w:color w:val="000000"/>
          <w:kern w:val="0"/>
          <w:sz w:val="48"/>
          <w:szCs w:val="48"/>
          <w:lang w:bidi="ar"/>
        </w:rPr>
      </w:pPr>
      <w:r>
        <w:rPr>
          <w:rFonts w:hint="eastAsia" w:ascii="方正小标宋简体" w:hAnsi="方正小标宋简体" w:eastAsia="方正小标宋简体" w:cs="方正小标宋简体"/>
          <w:b/>
          <w:color w:val="000000"/>
          <w:kern w:val="0"/>
          <w:sz w:val="48"/>
          <w:szCs w:val="48"/>
          <w:lang w:bidi="ar"/>
        </w:rPr>
        <w:t>绩效评价报告</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方正小标宋简体" w:hAnsi="方正小标宋简体" w:eastAsia="方正小标宋简体" w:cs="方正小标宋简体"/>
          <w:b/>
          <w:color w:val="000000"/>
          <w:kern w:val="0"/>
          <w:sz w:val="44"/>
          <w:szCs w:val="44"/>
          <w:lang w:bidi="ar"/>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方正小标宋简体" w:hAnsi="方正小标宋简体" w:eastAsia="方正小标宋简体" w:cs="方正小标宋简体"/>
          <w:b/>
          <w:color w:val="000000"/>
          <w:kern w:val="0"/>
          <w:sz w:val="44"/>
          <w:szCs w:val="44"/>
          <w:lang w:bidi="ar"/>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方正小标宋简体" w:hAnsi="方正小标宋简体" w:eastAsia="方正小标宋简体" w:cs="方正小标宋简体"/>
          <w:b/>
          <w:color w:val="000000"/>
          <w:kern w:val="0"/>
          <w:sz w:val="44"/>
          <w:szCs w:val="44"/>
          <w:lang w:bidi="ar"/>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方正小标宋简体" w:hAnsi="方正小标宋简体" w:eastAsia="方正小标宋简体" w:cs="方正小标宋简体"/>
          <w:b/>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方正小标宋简体" w:hAnsi="方正小标宋简体" w:eastAsia="方正小标宋简体" w:cs="方正小标宋简体"/>
          <w:b/>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方正小标宋简体" w:hAnsi="方正小标宋简体" w:eastAsia="方正小标宋简体" w:cs="方正小标宋简体"/>
          <w:b/>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方正小标宋简体" w:hAnsi="方正小标宋简体" w:eastAsia="方正小标宋简体" w:cs="方正小标宋简体"/>
          <w:b/>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1928" w:firstLineChars="600"/>
        <w:jc w:val="both"/>
        <w:textAlignment w:val="auto"/>
        <w:rPr>
          <w:rFonts w:hint="eastAsia" w:ascii="方正小标宋简体" w:hAnsi="方正小标宋简体" w:eastAsia="方正小标宋简体" w:cs="方正小标宋简体"/>
          <w:b/>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1928" w:firstLineChars="600"/>
        <w:jc w:val="both"/>
        <w:textAlignment w:val="auto"/>
        <w:rPr>
          <w:rFonts w:hint="eastAsia" w:ascii="方正小标宋简体" w:hAnsi="方正小标宋简体" w:eastAsia="方正小标宋简体" w:cs="方正小标宋简体"/>
          <w:b/>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1928" w:firstLineChars="600"/>
        <w:jc w:val="both"/>
        <w:textAlignment w:val="auto"/>
        <w:rPr>
          <w:rFonts w:hint="eastAsia" w:ascii="方正小标宋简体" w:hAnsi="方正小标宋简体" w:eastAsia="方正小标宋简体" w:cs="方正小标宋简体"/>
          <w:b/>
          <w:color w:val="000000"/>
          <w:kern w:val="0"/>
          <w:sz w:val="32"/>
          <w:szCs w:val="32"/>
          <w:lang w:val="en-US" w:eastAsia="zh-CN" w:bidi="ar"/>
        </w:rPr>
      </w:pPr>
      <w:r>
        <w:rPr>
          <w:rFonts w:hint="eastAsia" w:ascii="方正小标宋简体" w:hAnsi="方正小标宋简体" w:eastAsia="方正小标宋简体" w:cs="方正小标宋简体"/>
          <w:b/>
          <w:color w:val="000000"/>
          <w:kern w:val="0"/>
          <w:sz w:val="32"/>
          <w:szCs w:val="32"/>
          <w:lang w:val="en-US" w:eastAsia="zh-CN" w:bidi="ar"/>
        </w:rPr>
        <w:t>委托单位：枣庄市山亭区住建局</w:t>
      </w:r>
    </w:p>
    <w:p>
      <w:pPr>
        <w:keepNext w:val="0"/>
        <w:keepLines w:val="0"/>
        <w:pageBreakBefore w:val="0"/>
        <w:widowControl w:val="0"/>
        <w:kinsoku/>
        <w:wordWrap/>
        <w:overflowPunct/>
        <w:topLinePunct w:val="0"/>
        <w:autoSpaceDE/>
        <w:autoSpaceDN/>
        <w:bidi w:val="0"/>
        <w:adjustRightInd/>
        <w:snapToGrid/>
        <w:spacing w:line="360" w:lineRule="auto"/>
        <w:ind w:left="0" w:leftChars="0" w:firstLine="1928" w:firstLineChars="600"/>
        <w:jc w:val="both"/>
        <w:textAlignment w:val="auto"/>
        <w:rPr>
          <w:rFonts w:hint="default" w:ascii="方正小标宋简体" w:hAnsi="方正小标宋简体" w:eastAsia="方正小标宋简体" w:cs="方正小标宋简体"/>
          <w:b/>
          <w:color w:val="000000"/>
          <w:kern w:val="0"/>
          <w:sz w:val="32"/>
          <w:szCs w:val="32"/>
          <w:lang w:val="en-US" w:eastAsia="zh-CN" w:bidi="ar"/>
        </w:rPr>
      </w:pPr>
      <w:r>
        <w:rPr>
          <w:rFonts w:hint="eastAsia" w:ascii="方正小标宋简体" w:hAnsi="方正小标宋简体" w:eastAsia="方正小标宋简体" w:cs="方正小标宋简体"/>
          <w:b/>
          <w:color w:val="000000"/>
          <w:kern w:val="0"/>
          <w:sz w:val="32"/>
          <w:szCs w:val="32"/>
          <w:lang w:val="en-US" w:eastAsia="zh-CN" w:bidi="ar"/>
        </w:rPr>
        <w:t>评价单位：山东合创润晟项目管理咨询有限公司</w:t>
      </w:r>
    </w:p>
    <w:p>
      <w:pPr>
        <w:bidi w:val="0"/>
        <w:ind w:firstLine="1928" w:firstLineChars="600"/>
        <w:rPr>
          <w:rFonts w:hint="eastAsia" w:ascii="方正小标宋简体" w:hAnsi="方正小标宋简体" w:eastAsia="方正小标宋简体" w:cs="方正小标宋简体"/>
          <w:b/>
          <w:color w:val="000000"/>
          <w:kern w:val="0"/>
          <w:sz w:val="32"/>
          <w:szCs w:val="32"/>
          <w:lang w:val="en-US" w:eastAsia="zh-CN" w:bidi="ar"/>
        </w:rPr>
        <w:sectPr>
          <w:pgSz w:w="11906" w:h="16838"/>
          <w:pgMar w:top="1587" w:right="1587" w:bottom="1587" w:left="1587" w:header="851" w:footer="992" w:gutter="0"/>
          <w:cols w:space="425" w:num="1"/>
          <w:docGrid w:type="lines" w:linePitch="312" w:charSpace="0"/>
        </w:sectPr>
      </w:pPr>
      <w:r>
        <w:rPr>
          <w:rFonts w:hint="eastAsia" w:ascii="方正小标宋简体" w:hAnsi="方正小标宋简体" w:eastAsia="方正小标宋简体" w:cs="方正小标宋简体"/>
          <w:b/>
          <w:color w:val="000000"/>
          <w:kern w:val="0"/>
          <w:sz w:val="32"/>
          <w:szCs w:val="32"/>
          <w:lang w:val="en-US" w:eastAsia="zh-CN" w:bidi="ar"/>
        </w:rPr>
        <w:t>报告出具日期：2020年4月15日</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sz w:val="44"/>
          <w:szCs w:val="36"/>
          <w:lang w:val="en-US" w:eastAsia="zh-CN"/>
        </w:rPr>
      </w:pPr>
      <w:r>
        <w:rPr>
          <w:rFonts w:hint="eastAsia" w:ascii="方正小标宋简体" w:hAnsi="方正小标宋简体" w:eastAsia="方正小标宋简体" w:cs="方正小标宋简体"/>
          <w:sz w:val="44"/>
          <w:szCs w:val="36"/>
          <w:lang w:val="en-US" w:eastAsia="zh-CN"/>
        </w:rPr>
        <w:t>目录</w:t>
      </w:r>
    </w:p>
    <w:p>
      <w:pPr>
        <w:pStyle w:val="8"/>
        <w:keepNext w:val="0"/>
        <w:keepLines w:val="0"/>
        <w:pageBreakBefore w:val="0"/>
        <w:widowControl w:val="0"/>
        <w:tabs>
          <w:tab w:val="right" w:leader="dot" w:pos="8732"/>
        </w:tabs>
        <w:kinsoku/>
        <w:wordWrap/>
        <w:overflowPunct/>
        <w:topLinePunct w:val="0"/>
        <w:autoSpaceDE/>
        <w:autoSpaceDN/>
        <w:bidi w:val="0"/>
        <w:adjustRightInd/>
        <w:snapToGrid/>
        <w:ind w:left="0" w:leftChars="0" w:firstLine="0" w:firstLineChars="0"/>
        <w:textAlignment w:val="auto"/>
      </w:pPr>
      <w:r>
        <w:rPr>
          <w:rFonts w:hint="eastAsia" w:ascii="方正小标宋简体" w:hAnsi="方正小标宋简体" w:eastAsia="方正小标宋简体" w:cs="方正小标宋简体"/>
          <w:sz w:val="44"/>
          <w:szCs w:val="36"/>
          <w:lang w:val="en-US" w:eastAsia="zh-CN"/>
        </w:rPr>
        <w:fldChar w:fldCharType="begin"/>
      </w:r>
      <w:r>
        <w:rPr>
          <w:rFonts w:hint="eastAsia" w:ascii="方正小标宋简体" w:hAnsi="方正小标宋简体" w:eastAsia="方正小标宋简体" w:cs="方正小标宋简体"/>
          <w:sz w:val="44"/>
          <w:szCs w:val="36"/>
          <w:lang w:val="en-US" w:eastAsia="zh-CN"/>
        </w:rPr>
        <w:instrText xml:space="preserve">TOC \o "1-2" \h \u </w:instrText>
      </w:r>
      <w:r>
        <w:rPr>
          <w:rFonts w:hint="eastAsia" w:ascii="方正小标宋简体" w:hAnsi="方正小标宋简体" w:eastAsia="方正小标宋简体" w:cs="方正小标宋简体"/>
          <w:sz w:val="44"/>
          <w:szCs w:val="36"/>
          <w:lang w:val="en-US" w:eastAsia="zh-CN"/>
        </w:rPr>
        <w:fldChar w:fldCharType="separate"/>
      </w:r>
      <w:r>
        <w:rPr>
          <w:rFonts w:hint="eastAsia" w:ascii="方正小标宋简体" w:hAnsi="方正小标宋简体" w:eastAsia="方正小标宋简体" w:cs="方正小标宋简体"/>
          <w:b/>
          <w:bCs/>
          <w:szCs w:val="36"/>
          <w:lang w:val="en-US" w:eastAsia="zh-CN"/>
        </w:rPr>
        <w:fldChar w:fldCharType="begin"/>
      </w:r>
      <w:r>
        <w:rPr>
          <w:rFonts w:hint="eastAsia" w:ascii="方正小标宋简体" w:hAnsi="方正小标宋简体" w:eastAsia="方正小标宋简体" w:cs="方正小标宋简体"/>
          <w:b/>
          <w:bCs/>
          <w:szCs w:val="36"/>
          <w:lang w:val="en-US" w:eastAsia="zh-CN"/>
        </w:rPr>
        <w:instrText xml:space="preserve"> HYPERLINK \l _Toc12424 </w:instrText>
      </w:r>
      <w:r>
        <w:rPr>
          <w:rFonts w:hint="eastAsia" w:ascii="方正小标宋简体" w:hAnsi="方正小标宋简体" w:eastAsia="方正小标宋简体" w:cs="方正小标宋简体"/>
          <w:b/>
          <w:bCs/>
          <w:szCs w:val="36"/>
          <w:lang w:val="en-US" w:eastAsia="zh-CN"/>
        </w:rPr>
        <w:fldChar w:fldCharType="separate"/>
      </w:r>
      <w:r>
        <w:rPr>
          <w:rFonts w:hint="eastAsia"/>
          <w:b/>
          <w:bCs/>
        </w:rPr>
        <w:t>一、部门概述和基本情况</w:t>
      </w:r>
      <w:r>
        <w:rPr>
          <w:b/>
          <w:bCs/>
        </w:rPr>
        <w:tab/>
      </w:r>
      <w:r>
        <w:rPr>
          <w:b/>
          <w:bCs/>
        </w:rPr>
        <w:fldChar w:fldCharType="begin"/>
      </w:r>
      <w:r>
        <w:rPr>
          <w:b/>
          <w:bCs/>
        </w:rPr>
        <w:instrText xml:space="preserve"> PAGEREF _Toc12424 </w:instrText>
      </w:r>
      <w:r>
        <w:rPr>
          <w:b/>
          <w:bCs/>
        </w:rPr>
        <w:fldChar w:fldCharType="separate"/>
      </w:r>
      <w:r>
        <w:rPr>
          <w:b/>
          <w:bCs/>
        </w:rPr>
        <w:t>1</w:t>
      </w:r>
      <w:r>
        <w:rPr>
          <w:b/>
          <w:bCs/>
        </w:rPr>
        <w:fldChar w:fldCharType="end"/>
      </w:r>
      <w:r>
        <w:rPr>
          <w:rFonts w:hint="eastAsia" w:ascii="方正小标宋简体" w:hAnsi="方正小标宋简体" w:eastAsia="方正小标宋简体" w:cs="方正小标宋简体"/>
          <w:b/>
          <w:bCs/>
          <w:szCs w:val="36"/>
          <w:lang w:val="en-US" w:eastAsia="zh-CN"/>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ind w:left="0" w:leftChars="0" w:firstLine="0" w:firstLineChars="0"/>
        <w:textAlignment w:val="auto"/>
      </w:pPr>
      <w:r>
        <w:rPr>
          <w:rFonts w:hint="eastAsia" w:ascii="方正小标宋简体" w:hAnsi="方正小标宋简体" w:eastAsia="方正小标宋简体" w:cs="方正小标宋简体"/>
          <w:szCs w:val="36"/>
          <w:lang w:val="en-US" w:eastAsia="zh-CN"/>
        </w:rPr>
        <w:fldChar w:fldCharType="begin"/>
      </w:r>
      <w:r>
        <w:rPr>
          <w:rFonts w:hint="eastAsia" w:ascii="方正小标宋简体" w:hAnsi="方正小标宋简体" w:eastAsia="方正小标宋简体" w:cs="方正小标宋简体"/>
          <w:szCs w:val="36"/>
          <w:lang w:val="en-US" w:eastAsia="zh-CN"/>
        </w:rPr>
        <w:instrText xml:space="preserve"> HYPERLINK \l _Toc26621 </w:instrText>
      </w:r>
      <w:r>
        <w:rPr>
          <w:rFonts w:hint="eastAsia" w:ascii="方正小标宋简体" w:hAnsi="方正小标宋简体" w:eastAsia="方正小标宋简体" w:cs="方正小标宋简体"/>
          <w:szCs w:val="36"/>
          <w:lang w:val="en-US" w:eastAsia="zh-CN"/>
        </w:rPr>
        <w:fldChar w:fldCharType="separate"/>
      </w:r>
      <w:r>
        <w:rPr>
          <w:rFonts w:hint="eastAsia"/>
        </w:rPr>
        <w:t>（一）</w:t>
      </w:r>
      <w:r>
        <w:rPr>
          <w:rFonts w:hint="eastAsia"/>
          <w:lang w:val="en-US" w:eastAsia="zh-CN"/>
        </w:rPr>
        <w:t>部门基本情况</w:t>
      </w:r>
      <w:r>
        <w:tab/>
      </w:r>
      <w:r>
        <w:fldChar w:fldCharType="begin"/>
      </w:r>
      <w:r>
        <w:instrText xml:space="preserve"> PAGEREF _Toc26621 </w:instrText>
      </w:r>
      <w:r>
        <w:fldChar w:fldCharType="separate"/>
      </w:r>
      <w:r>
        <w:t>1</w:t>
      </w:r>
      <w:r>
        <w:fldChar w:fldCharType="end"/>
      </w:r>
      <w:r>
        <w:rPr>
          <w:rFonts w:hint="eastAsia" w:ascii="方正小标宋简体" w:hAnsi="方正小标宋简体" w:eastAsia="方正小标宋简体" w:cs="方正小标宋简体"/>
          <w:szCs w:val="36"/>
          <w:lang w:val="en-US" w:eastAsia="zh-CN"/>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ind w:left="0" w:leftChars="0" w:firstLine="0" w:firstLineChars="0"/>
        <w:textAlignment w:val="auto"/>
      </w:pPr>
      <w:r>
        <w:rPr>
          <w:rFonts w:hint="eastAsia" w:ascii="方正小标宋简体" w:hAnsi="方正小标宋简体" w:eastAsia="方正小标宋简体" w:cs="方正小标宋简体"/>
          <w:szCs w:val="36"/>
          <w:lang w:val="en-US" w:eastAsia="zh-CN"/>
        </w:rPr>
        <w:fldChar w:fldCharType="begin"/>
      </w:r>
      <w:r>
        <w:rPr>
          <w:rFonts w:hint="eastAsia" w:ascii="方正小标宋简体" w:hAnsi="方正小标宋简体" w:eastAsia="方正小标宋简体" w:cs="方正小标宋简体"/>
          <w:szCs w:val="36"/>
          <w:lang w:val="en-US" w:eastAsia="zh-CN"/>
        </w:rPr>
        <w:instrText xml:space="preserve"> HYPERLINK \l _Toc28292 </w:instrText>
      </w:r>
      <w:r>
        <w:rPr>
          <w:rFonts w:hint="eastAsia" w:ascii="方正小标宋简体" w:hAnsi="方正小标宋简体" w:eastAsia="方正小标宋简体" w:cs="方正小标宋简体"/>
          <w:szCs w:val="36"/>
          <w:lang w:val="en-US" w:eastAsia="zh-CN"/>
        </w:rPr>
        <w:fldChar w:fldCharType="separate"/>
      </w:r>
      <w:r>
        <w:rPr>
          <w:rFonts w:hint="eastAsia"/>
        </w:rPr>
        <w:t>（二）部门</w:t>
      </w:r>
      <w:r>
        <w:rPr>
          <w:rFonts w:hint="eastAsia"/>
          <w:lang w:val="en-US" w:eastAsia="zh-CN"/>
        </w:rPr>
        <w:t>职能及内设机构职能</w:t>
      </w:r>
      <w:r>
        <w:tab/>
      </w:r>
      <w:r>
        <w:fldChar w:fldCharType="begin"/>
      </w:r>
      <w:r>
        <w:instrText xml:space="preserve"> PAGEREF _Toc28292 </w:instrText>
      </w:r>
      <w:r>
        <w:fldChar w:fldCharType="separate"/>
      </w:r>
      <w:r>
        <w:t>2</w:t>
      </w:r>
      <w:r>
        <w:fldChar w:fldCharType="end"/>
      </w:r>
      <w:r>
        <w:rPr>
          <w:rFonts w:hint="eastAsia" w:ascii="方正小标宋简体" w:hAnsi="方正小标宋简体" w:eastAsia="方正小标宋简体" w:cs="方正小标宋简体"/>
          <w:szCs w:val="36"/>
          <w:lang w:val="en-US" w:eastAsia="zh-CN"/>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ind w:left="0" w:leftChars="0" w:firstLine="0" w:firstLineChars="0"/>
        <w:textAlignment w:val="auto"/>
      </w:pPr>
      <w:r>
        <w:rPr>
          <w:rFonts w:hint="eastAsia" w:ascii="方正小标宋简体" w:hAnsi="方正小标宋简体" w:eastAsia="方正小标宋简体" w:cs="方正小标宋简体"/>
          <w:szCs w:val="36"/>
          <w:lang w:val="en-US" w:eastAsia="zh-CN"/>
        </w:rPr>
        <w:fldChar w:fldCharType="begin"/>
      </w:r>
      <w:r>
        <w:rPr>
          <w:rFonts w:hint="eastAsia" w:ascii="方正小标宋简体" w:hAnsi="方正小标宋简体" w:eastAsia="方正小标宋简体" w:cs="方正小标宋简体"/>
          <w:szCs w:val="36"/>
          <w:lang w:val="en-US" w:eastAsia="zh-CN"/>
        </w:rPr>
        <w:instrText xml:space="preserve"> HYPERLINK \l _Toc11688 </w:instrText>
      </w:r>
      <w:r>
        <w:rPr>
          <w:rFonts w:hint="eastAsia" w:ascii="方正小标宋简体" w:hAnsi="方正小标宋简体" w:eastAsia="方正小标宋简体" w:cs="方正小标宋简体"/>
          <w:szCs w:val="36"/>
          <w:lang w:val="en-US" w:eastAsia="zh-CN"/>
        </w:rPr>
        <w:fldChar w:fldCharType="separate"/>
      </w:r>
      <w:r>
        <w:rPr>
          <w:rFonts w:hint="eastAsia"/>
        </w:rPr>
        <w:t>（</w:t>
      </w:r>
      <w:r>
        <w:rPr>
          <w:rFonts w:hint="eastAsia"/>
          <w:lang w:val="en-US" w:eastAsia="zh-CN"/>
        </w:rPr>
        <w:t>三</w:t>
      </w:r>
      <w:r>
        <w:rPr>
          <w:rFonts w:hint="eastAsia"/>
        </w:rPr>
        <w:t>）预算资金及支出情况</w:t>
      </w:r>
      <w:r>
        <w:tab/>
      </w:r>
      <w:r>
        <w:fldChar w:fldCharType="begin"/>
      </w:r>
      <w:r>
        <w:instrText xml:space="preserve"> PAGEREF _Toc11688 </w:instrText>
      </w:r>
      <w:r>
        <w:fldChar w:fldCharType="separate"/>
      </w:r>
      <w:r>
        <w:t>8</w:t>
      </w:r>
      <w:r>
        <w:fldChar w:fldCharType="end"/>
      </w:r>
      <w:r>
        <w:rPr>
          <w:rFonts w:hint="eastAsia" w:ascii="方正小标宋简体" w:hAnsi="方正小标宋简体" w:eastAsia="方正小标宋简体" w:cs="方正小标宋简体"/>
          <w:szCs w:val="36"/>
          <w:lang w:val="en-US" w:eastAsia="zh-CN"/>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ind w:left="0" w:leftChars="0" w:firstLine="0" w:firstLineChars="0"/>
        <w:textAlignment w:val="auto"/>
      </w:pPr>
      <w:r>
        <w:rPr>
          <w:rFonts w:hint="eastAsia" w:ascii="方正小标宋简体" w:hAnsi="方正小标宋简体" w:eastAsia="方正小标宋简体" w:cs="方正小标宋简体"/>
          <w:szCs w:val="36"/>
          <w:lang w:val="en-US" w:eastAsia="zh-CN"/>
        </w:rPr>
        <w:fldChar w:fldCharType="begin"/>
      </w:r>
      <w:r>
        <w:rPr>
          <w:rFonts w:hint="eastAsia" w:ascii="方正小标宋简体" w:hAnsi="方正小标宋简体" w:eastAsia="方正小标宋简体" w:cs="方正小标宋简体"/>
          <w:szCs w:val="36"/>
          <w:lang w:val="en-US" w:eastAsia="zh-CN"/>
        </w:rPr>
        <w:instrText xml:space="preserve"> HYPERLINK \l _Toc11201 </w:instrText>
      </w:r>
      <w:r>
        <w:rPr>
          <w:rFonts w:hint="eastAsia" w:ascii="方正小标宋简体" w:hAnsi="方正小标宋简体" w:eastAsia="方正小标宋简体" w:cs="方正小标宋简体"/>
          <w:szCs w:val="36"/>
          <w:lang w:val="en-US" w:eastAsia="zh-CN"/>
        </w:rPr>
        <w:fldChar w:fldCharType="separate"/>
      </w:r>
      <w:r>
        <w:rPr>
          <w:rFonts w:hint="eastAsia"/>
        </w:rPr>
        <w:t>（</w:t>
      </w:r>
      <w:r>
        <w:rPr>
          <w:rFonts w:hint="eastAsia"/>
          <w:lang w:val="en-US" w:eastAsia="zh-CN"/>
        </w:rPr>
        <w:t>四</w:t>
      </w:r>
      <w:r>
        <w:rPr>
          <w:rFonts w:hint="eastAsia"/>
        </w:rPr>
        <w:t>）部门资产情况</w:t>
      </w:r>
      <w:r>
        <w:tab/>
      </w:r>
      <w:r>
        <w:fldChar w:fldCharType="begin"/>
      </w:r>
      <w:r>
        <w:instrText xml:space="preserve"> PAGEREF _Toc11201 </w:instrText>
      </w:r>
      <w:r>
        <w:fldChar w:fldCharType="separate"/>
      </w:r>
      <w:r>
        <w:t>9</w:t>
      </w:r>
      <w:r>
        <w:fldChar w:fldCharType="end"/>
      </w:r>
      <w:r>
        <w:rPr>
          <w:rFonts w:hint="eastAsia" w:ascii="方正小标宋简体" w:hAnsi="方正小标宋简体" w:eastAsia="方正小标宋简体" w:cs="方正小标宋简体"/>
          <w:szCs w:val="36"/>
          <w:lang w:val="en-US" w:eastAsia="zh-CN"/>
        </w:rPr>
        <w:fldChar w:fldCharType="end"/>
      </w:r>
    </w:p>
    <w:p>
      <w:pPr>
        <w:pStyle w:val="8"/>
        <w:keepNext w:val="0"/>
        <w:keepLines w:val="0"/>
        <w:pageBreakBefore w:val="0"/>
        <w:widowControl w:val="0"/>
        <w:tabs>
          <w:tab w:val="right" w:leader="dot" w:pos="8732"/>
        </w:tabs>
        <w:kinsoku/>
        <w:wordWrap/>
        <w:overflowPunct/>
        <w:topLinePunct w:val="0"/>
        <w:autoSpaceDE/>
        <w:autoSpaceDN/>
        <w:bidi w:val="0"/>
        <w:adjustRightInd/>
        <w:snapToGrid/>
        <w:ind w:left="0" w:leftChars="0" w:firstLine="0" w:firstLineChars="0"/>
        <w:textAlignment w:val="auto"/>
        <w:rPr>
          <w:b/>
          <w:bCs/>
        </w:rPr>
      </w:pPr>
      <w:r>
        <w:rPr>
          <w:rFonts w:hint="eastAsia" w:ascii="方正小标宋简体" w:hAnsi="方正小标宋简体" w:eastAsia="方正小标宋简体" w:cs="方正小标宋简体"/>
          <w:b/>
          <w:bCs/>
          <w:szCs w:val="36"/>
          <w:lang w:val="en-US" w:eastAsia="zh-CN"/>
        </w:rPr>
        <w:fldChar w:fldCharType="begin"/>
      </w:r>
      <w:r>
        <w:rPr>
          <w:rFonts w:hint="eastAsia" w:ascii="方正小标宋简体" w:hAnsi="方正小标宋简体" w:eastAsia="方正小标宋简体" w:cs="方正小标宋简体"/>
          <w:b/>
          <w:bCs/>
          <w:szCs w:val="36"/>
          <w:lang w:val="en-US" w:eastAsia="zh-CN"/>
        </w:rPr>
        <w:instrText xml:space="preserve"> HYPERLINK \l _Toc9176 </w:instrText>
      </w:r>
      <w:r>
        <w:rPr>
          <w:rFonts w:hint="eastAsia" w:ascii="方正小标宋简体" w:hAnsi="方正小标宋简体" w:eastAsia="方正小标宋简体" w:cs="方正小标宋简体"/>
          <w:b/>
          <w:bCs/>
          <w:szCs w:val="36"/>
          <w:lang w:val="en-US" w:eastAsia="zh-CN"/>
        </w:rPr>
        <w:fldChar w:fldCharType="separate"/>
      </w:r>
      <w:r>
        <w:rPr>
          <w:rFonts w:hint="eastAsia"/>
          <w:b/>
          <w:bCs/>
        </w:rPr>
        <w:t>二、绩效目标</w:t>
      </w:r>
      <w:r>
        <w:rPr>
          <w:b/>
          <w:bCs/>
        </w:rPr>
        <w:tab/>
      </w:r>
      <w:r>
        <w:rPr>
          <w:b/>
          <w:bCs/>
        </w:rPr>
        <w:fldChar w:fldCharType="begin"/>
      </w:r>
      <w:r>
        <w:rPr>
          <w:b/>
          <w:bCs/>
        </w:rPr>
        <w:instrText xml:space="preserve"> PAGEREF _Toc9176 </w:instrText>
      </w:r>
      <w:r>
        <w:rPr>
          <w:b/>
          <w:bCs/>
        </w:rPr>
        <w:fldChar w:fldCharType="separate"/>
      </w:r>
      <w:r>
        <w:rPr>
          <w:b/>
          <w:bCs/>
        </w:rPr>
        <w:t>17</w:t>
      </w:r>
      <w:r>
        <w:rPr>
          <w:b/>
          <w:bCs/>
        </w:rPr>
        <w:fldChar w:fldCharType="end"/>
      </w:r>
      <w:r>
        <w:rPr>
          <w:rFonts w:hint="eastAsia" w:ascii="方正小标宋简体" w:hAnsi="方正小标宋简体" w:eastAsia="方正小标宋简体" w:cs="方正小标宋简体"/>
          <w:b/>
          <w:bCs/>
          <w:szCs w:val="36"/>
          <w:lang w:val="en-US" w:eastAsia="zh-CN"/>
        </w:rPr>
        <w:fldChar w:fldCharType="end"/>
      </w:r>
    </w:p>
    <w:p>
      <w:pPr>
        <w:pStyle w:val="8"/>
        <w:keepNext w:val="0"/>
        <w:keepLines w:val="0"/>
        <w:pageBreakBefore w:val="0"/>
        <w:widowControl w:val="0"/>
        <w:tabs>
          <w:tab w:val="right" w:leader="dot" w:pos="8732"/>
        </w:tabs>
        <w:kinsoku/>
        <w:wordWrap/>
        <w:overflowPunct/>
        <w:topLinePunct w:val="0"/>
        <w:autoSpaceDE/>
        <w:autoSpaceDN/>
        <w:bidi w:val="0"/>
        <w:adjustRightInd/>
        <w:snapToGrid/>
        <w:ind w:left="0" w:leftChars="0" w:firstLine="0" w:firstLineChars="0"/>
        <w:textAlignment w:val="auto"/>
      </w:pPr>
      <w:r>
        <w:rPr>
          <w:rFonts w:hint="eastAsia" w:ascii="方正小标宋简体" w:hAnsi="方正小标宋简体" w:eastAsia="方正小标宋简体" w:cs="方正小标宋简体"/>
          <w:b/>
          <w:bCs/>
          <w:szCs w:val="36"/>
          <w:lang w:val="en-US" w:eastAsia="zh-CN"/>
        </w:rPr>
        <w:fldChar w:fldCharType="begin"/>
      </w:r>
      <w:r>
        <w:rPr>
          <w:rFonts w:hint="eastAsia" w:ascii="方正小标宋简体" w:hAnsi="方正小标宋简体" w:eastAsia="方正小标宋简体" w:cs="方正小标宋简体"/>
          <w:b/>
          <w:bCs/>
          <w:szCs w:val="36"/>
          <w:lang w:val="en-US" w:eastAsia="zh-CN"/>
        </w:rPr>
        <w:instrText xml:space="preserve"> HYPERLINK \l _Toc13724 </w:instrText>
      </w:r>
      <w:r>
        <w:rPr>
          <w:rFonts w:hint="eastAsia" w:ascii="方正小标宋简体" w:hAnsi="方正小标宋简体" w:eastAsia="方正小标宋简体" w:cs="方正小标宋简体"/>
          <w:b/>
          <w:bCs/>
          <w:szCs w:val="36"/>
          <w:lang w:val="en-US" w:eastAsia="zh-CN"/>
        </w:rPr>
        <w:fldChar w:fldCharType="separate"/>
      </w:r>
      <w:r>
        <w:rPr>
          <w:rFonts w:hint="eastAsia"/>
          <w:b/>
          <w:bCs/>
          <w:lang w:val="en-US" w:eastAsia="zh-CN"/>
        </w:rPr>
        <w:t>三</w:t>
      </w:r>
      <w:r>
        <w:rPr>
          <w:rFonts w:hint="eastAsia"/>
          <w:b/>
          <w:bCs/>
        </w:rPr>
        <w:t>、评价工作开展</w:t>
      </w:r>
      <w:r>
        <w:rPr>
          <w:b/>
          <w:bCs/>
        </w:rPr>
        <w:tab/>
      </w:r>
      <w:r>
        <w:rPr>
          <w:b/>
          <w:bCs/>
        </w:rPr>
        <w:fldChar w:fldCharType="begin"/>
      </w:r>
      <w:r>
        <w:rPr>
          <w:b/>
          <w:bCs/>
        </w:rPr>
        <w:instrText xml:space="preserve"> PAGEREF _Toc13724 </w:instrText>
      </w:r>
      <w:r>
        <w:rPr>
          <w:b/>
          <w:bCs/>
        </w:rPr>
        <w:fldChar w:fldCharType="separate"/>
      </w:r>
      <w:r>
        <w:rPr>
          <w:b/>
          <w:bCs/>
        </w:rPr>
        <w:t>25</w:t>
      </w:r>
      <w:r>
        <w:rPr>
          <w:b/>
          <w:bCs/>
        </w:rPr>
        <w:fldChar w:fldCharType="end"/>
      </w:r>
      <w:r>
        <w:rPr>
          <w:rFonts w:hint="eastAsia" w:ascii="方正小标宋简体" w:hAnsi="方正小标宋简体" w:eastAsia="方正小标宋简体" w:cs="方正小标宋简体"/>
          <w:b/>
          <w:bCs/>
          <w:szCs w:val="36"/>
          <w:lang w:val="en-US" w:eastAsia="zh-CN"/>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ind w:left="0" w:leftChars="0" w:firstLine="0" w:firstLineChars="0"/>
        <w:textAlignment w:val="auto"/>
      </w:pPr>
      <w:r>
        <w:rPr>
          <w:rFonts w:hint="eastAsia" w:ascii="方正小标宋简体" w:hAnsi="方正小标宋简体" w:eastAsia="方正小标宋简体" w:cs="方正小标宋简体"/>
          <w:szCs w:val="36"/>
          <w:lang w:val="en-US" w:eastAsia="zh-CN"/>
        </w:rPr>
        <w:fldChar w:fldCharType="begin"/>
      </w:r>
      <w:r>
        <w:rPr>
          <w:rFonts w:hint="eastAsia" w:ascii="方正小标宋简体" w:hAnsi="方正小标宋简体" w:eastAsia="方正小标宋简体" w:cs="方正小标宋简体"/>
          <w:szCs w:val="36"/>
          <w:lang w:val="en-US" w:eastAsia="zh-CN"/>
        </w:rPr>
        <w:instrText xml:space="preserve"> HYPERLINK \l _Toc24231 </w:instrText>
      </w:r>
      <w:r>
        <w:rPr>
          <w:rFonts w:hint="eastAsia" w:ascii="方正小标宋简体" w:hAnsi="方正小标宋简体" w:eastAsia="方正小标宋简体" w:cs="方正小标宋简体"/>
          <w:szCs w:val="36"/>
          <w:lang w:val="en-US" w:eastAsia="zh-CN"/>
        </w:rPr>
        <w:fldChar w:fldCharType="separate"/>
      </w:r>
      <w:r>
        <w:rPr>
          <w:rFonts w:hint="eastAsia"/>
        </w:rPr>
        <w:t>（一）绩效评价目的</w:t>
      </w:r>
      <w:r>
        <w:tab/>
      </w:r>
      <w:r>
        <w:fldChar w:fldCharType="begin"/>
      </w:r>
      <w:r>
        <w:instrText xml:space="preserve"> PAGEREF _Toc24231 </w:instrText>
      </w:r>
      <w:r>
        <w:fldChar w:fldCharType="separate"/>
      </w:r>
      <w:r>
        <w:t>25</w:t>
      </w:r>
      <w:r>
        <w:fldChar w:fldCharType="end"/>
      </w:r>
      <w:r>
        <w:rPr>
          <w:rFonts w:hint="eastAsia" w:ascii="方正小标宋简体" w:hAnsi="方正小标宋简体" w:eastAsia="方正小标宋简体" w:cs="方正小标宋简体"/>
          <w:szCs w:val="36"/>
          <w:lang w:val="en-US" w:eastAsia="zh-CN"/>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ind w:left="0" w:leftChars="0" w:firstLine="0" w:firstLineChars="0"/>
        <w:textAlignment w:val="auto"/>
      </w:pPr>
      <w:r>
        <w:rPr>
          <w:rFonts w:hint="eastAsia" w:ascii="方正小标宋简体" w:hAnsi="方正小标宋简体" w:eastAsia="方正小标宋简体" w:cs="方正小标宋简体"/>
          <w:szCs w:val="36"/>
          <w:lang w:val="en-US" w:eastAsia="zh-CN"/>
        </w:rPr>
        <w:fldChar w:fldCharType="begin"/>
      </w:r>
      <w:r>
        <w:rPr>
          <w:rFonts w:hint="eastAsia" w:ascii="方正小标宋简体" w:hAnsi="方正小标宋简体" w:eastAsia="方正小标宋简体" w:cs="方正小标宋简体"/>
          <w:szCs w:val="36"/>
          <w:lang w:val="en-US" w:eastAsia="zh-CN"/>
        </w:rPr>
        <w:instrText xml:space="preserve"> HYPERLINK \l _Toc9009 </w:instrText>
      </w:r>
      <w:r>
        <w:rPr>
          <w:rFonts w:hint="eastAsia" w:ascii="方正小标宋简体" w:hAnsi="方正小标宋简体" w:eastAsia="方正小标宋简体" w:cs="方正小标宋简体"/>
          <w:szCs w:val="36"/>
          <w:lang w:val="en-US" w:eastAsia="zh-CN"/>
        </w:rPr>
        <w:fldChar w:fldCharType="separate"/>
      </w:r>
      <w:r>
        <w:rPr>
          <w:rFonts w:hint="eastAsia"/>
          <w:lang w:eastAsia="zh-CN"/>
        </w:rPr>
        <w:t>（</w:t>
      </w:r>
      <w:r>
        <w:rPr>
          <w:rFonts w:hint="eastAsia"/>
          <w:lang w:val="en-US" w:eastAsia="zh-CN"/>
        </w:rPr>
        <w:t>二</w:t>
      </w:r>
      <w:r>
        <w:rPr>
          <w:rFonts w:hint="eastAsia"/>
          <w:lang w:eastAsia="zh-CN"/>
        </w:rPr>
        <w:t>）</w:t>
      </w:r>
      <w:r>
        <w:rPr>
          <w:rFonts w:hint="eastAsia"/>
          <w:lang w:val="en-US" w:eastAsia="zh-CN"/>
        </w:rPr>
        <w:t>评价原则</w:t>
      </w:r>
      <w:r>
        <w:tab/>
      </w:r>
      <w:r>
        <w:fldChar w:fldCharType="begin"/>
      </w:r>
      <w:r>
        <w:instrText xml:space="preserve"> PAGEREF _Toc9009 </w:instrText>
      </w:r>
      <w:r>
        <w:fldChar w:fldCharType="separate"/>
      </w:r>
      <w:r>
        <w:t>25</w:t>
      </w:r>
      <w:r>
        <w:fldChar w:fldCharType="end"/>
      </w:r>
      <w:r>
        <w:rPr>
          <w:rFonts w:hint="eastAsia" w:ascii="方正小标宋简体" w:hAnsi="方正小标宋简体" w:eastAsia="方正小标宋简体" w:cs="方正小标宋简体"/>
          <w:szCs w:val="36"/>
          <w:lang w:val="en-US" w:eastAsia="zh-CN"/>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ind w:left="0" w:leftChars="0" w:firstLine="0" w:firstLineChars="0"/>
        <w:textAlignment w:val="auto"/>
      </w:pPr>
      <w:r>
        <w:rPr>
          <w:rFonts w:hint="eastAsia" w:ascii="方正小标宋简体" w:hAnsi="方正小标宋简体" w:eastAsia="方正小标宋简体" w:cs="方正小标宋简体"/>
          <w:szCs w:val="36"/>
          <w:lang w:val="en-US" w:eastAsia="zh-CN"/>
        </w:rPr>
        <w:fldChar w:fldCharType="begin"/>
      </w:r>
      <w:r>
        <w:rPr>
          <w:rFonts w:hint="eastAsia" w:ascii="方正小标宋简体" w:hAnsi="方正小标宋简体" w:eastAsia="方正小标宋简体" w:cs="方正小标宋简体"/>
          <w:szCs w:val="36"/>
          <w:lang w:val="en-US" w:eastAsia="zh-CN"/>
        </w:rPr>
        <w:instrText xml:space="preserve"> HYPERLINK \l _Toc18050 </w:instrText>
      </w:r>
      <w:r>
        <w:rPr>
          <w:rFonts w:hint="eastAsia" w:ascii="方正小标宋简体" w:hAnsi="方正小标宋简体" w:eastAsia="方正小标宋简体" w:cs="方正小标宋简体"/>
          <w:szCs w:val="36"/>
          <w:lang w:val="en-US" w:eastAsia="zh-CN"/>
        </w:rPr>
        <w:fldChar w:fldCharType="separate"/>
      </w:r>
      <w:r>
        <w:rPr>
          <w:rFonts w:hint="eastAsia"/>
          <w:lang w:eastAsia="zh-CN"/>
        </w:rPr>
        <w:t>（</w:t>
      </w:r>
      <w:r>
        <w:rPr>
          <w:rFonts w:hint="eastAsia"/>
          <w:lang w:val="en-US" w:eastAsia="zh-CN"/>
        </w:rPr>
        <w:t>三</w:t>
      </w:r>
      <w:r>
        <w:rPr>
          <w:rFonts w:hint="eastAsia"/>
          <w:lang w:eastAsia="zh-CN"/>
        </w:rPr>
        <w:t>）</w:t>
      </w:r>
      <w:r>
        <w:rPr>
          <w:rFonts w:hint="eastAsia"/>
          <w:lang w:val="en-US" w:eastAsia="zh-CN"/>
        </w:rPr>
        <w:t>评价方法</w:t>
      </w:r>
      <w:r>
        <w:tab/>
      </w:r>
      <w:r>
        <w:fldChar w:fldCharType="begin"/>
      </w:r>
      <w:r>
        <w:instrText xml:space="preserve"> PAGEREF _Toc18050 </w:instrText>
      </w:r>
      <w:r>
        <w:fldChar w:fldCharType="separate"/>
      </w:r>
      <w:r>
        <w:t>25</w:t>
      </w:r>
      <w:r>
        <w:fldChar w:fldCharType="end"/>
      </w:r>
      <w:r>
        <w:rPr>
          <w:rFonts w:hint="eastAsia" w:ascii="方正小标宋简体" w:hAnsi="方正小标宋简体" w:eastAsia="方正小标宋简体" w:cs="方正小标宋简体"/>
          <w:szCs w:val="36"/>
          <w:lang w:val="en-US" w:eastAsia="zh-CN"/>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ind w:left="0" w:leftChars="0" w:firstLine="0" w:firstLineChars="0"/>
        <w:textAlignment w:val="auto"/>
      </w:pPr>
      <w:r>
        <w:rPr>
          <w:rFonts w:hint="eastAsia" w:ascii="方正小标宋简体" w:hAnsi="方正小标宋简体" w:eastAsia="方正小标宋简体" w:cs="方正小标宋简体"/>
          <w:szCs w:val="36"/>
          <w:lang w:val="en-US" w:eastAsia="zh-CN"/>
        </w:rPr>
        <w:fldChar w:fldCharType="begin"/>
      </w:r>
      <w:r>
        <w:rPr>
          <w:rFonts w:hint="eastAsia" w:ascii="方正小标宋简体" w:hAnsi="方正小标宋简体" w:eastAsia="方正小标宋简体" w:cs="方正小标宋简体"/>
          <w:szCs w:val="36"/>
          <w:lang w:val="en-US" w:eastAsia="zh-CN"/>
        </w:rPr>
        <w:instrText xml:space="preserve"> HYPERLINK \l _Toc14837 </w:instrText>
      </w:r>
      <w:r>
        <w:rPr>
          <w:rFonts w:hint="eastAsia" w:ascii="方正小标宋简体" w:hAnsi="方正小标宋简体" w:eastAsia="方正小标宋简体" w:cs="方正小标宋简体"/>
          <w:szCs w:val="36"/>
          <w:lang w:val="en-US" w:eastAsia="zh-CN"/>
        </w:rPr>
        <w:fldChar w:fldCharType="separate"/>
      </w:r>
      <w:r>
        <w:rPr>
          <w:rFonts w:hint="eastAsia"/>
          <w:lang w:val="en-US" w:eastAsia="zh-CN"/>
        </w:rPr>
        <w:t>（四）工作程序</w:t>
      </w:r>
      <w:r>
        <w:tab/>
      </w:r>
      <w:r>
        <w:fldChar w:fldCharType="begin"/>
      </w:r>
      <w:r>
        <w:instrText xml:space="preserve"> PAGEREF _Toc14837 </w:instrText>
      </w:r>
      <w:r>
        <w:fldChar w:fldCharType="separate"/>
      </w:r>
      <w:r>
        <w:t>26</w:t>
      </w:r>
      <w:r>
        <w:fldChar w:fldCharType="end"/>
      </w:r>
      <w:r>
        <w:rPr>
          <w:rFonts w:hint="eastAsia" w:ascii="方正小标宋简体" w:hAnsi="方正小标宋简体" w:eastAsia="方正小标宋简体" w:cs="方正小标宋简体"/>
          <w:szCs w:val="36"/>
          <w:lang w:val="en-US" w:eastAsia="zh-CN"/>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ind w:left="0" w:leftChars="0" w:firstLine="0" w:firstLineChars="0"/>
        <w:textAlignment w:val="auto"/>
      </w:pPr>
      <w:r>
        <w:rPr>
          <w:rFonts w:hint="eastAsia" w:ascii="方正小标宋简体" w:hAnsi="方正小标宋简体" w:eastAsia="方正小标宋简体" w:cs="方正小标宋简体"/>
          <w:szCs w:val="36"/>
          <w:lang w:val="en-US" w:eastAsia="zh-CN"/>
        </w:rPr>
        <w:fldChar w:fldCharType="begin"/>
      </w:r>
      <w:r>
        <w:rPr>
          <w:rFonts w:hint="eastAsia" w:ascii="方正小标宋简体" w:hAnsi="方正小标宋简体" w:eastAsia="方正小标宋简体" w:cs="方正小标宋简体"/>
          <w:szCs w:val="36"/>
          <w:lang w:val="en-US" w:eastAsia="zh-CN"/>
        </w:rPr>
        <w:instrText xml:space="preserve"> HYPERLINK \l _Toc30427 </w:instrText>
      </w:r>
      <w:r>
        <w:rPr>
          <w:rFonts w:hint="eastAsia" w:ascii="方正小标宋简体" w:hAnsi="方正小标宋简体" w:eastAsia="方正小标宋简体" w:cs="方正小标宋简体"/>
          <w:szCs w:val="36"/>
          <w:lang w:val="en-US" w:eastAsia="zh-CN"/>
        </w:rPr>
        <w:fldChar w:fldCharType="separate"/>
      </w:r>
      <w:r>
        <w:rPr>
          <w:rFonts w:hint="eastAsia"/>
          <w:lang w:val="en-US" w:eastAsia="zh-CN"/>
        </w:rPr>
        <w:t>（五）人员及分工</w:t>
      </w:r>
      <w:r>
        <w:tab/>
      </w:r>
      <w:r>
        <w:fldChar w:fldCharType="begin"/>
      </w:r>
      <w:r>
        <w:instrText xml:space="preserve"> PAGEREF _Toc30427 </w:instrText>
      </w:r>
      <w:r>
        <w:fldChar w:fldCharType="separate"/>
      </w:r>
      <w:r>
        <w:t>28</w:t>
      </w:r>
      <w:r>
        <w:fldChar w:fldCharType="end"/>
      </w:r>
      <w:r>
        <w:rPr>
          <w:rFonts w:hint="eastAsia" w:ascii="方正小标宋简体" w:hAnsi="方正小标宋简体" w:eastAsia="方正小标宋简体" w:cs="方正小标宋简体"/>
          <w:szCs w:val="36"/>
          <w:lang w:val="en-US" w:eastAsia="zh-CN"/>
        </w:rPr>
        <w:fldChar w:fldCharType="end"/>
      </w:r>
    </w:p>
    <w:p>
      <w:pPr>
        <w:pStyle w:val="8"/>
        <w:keepNext w:val="0"/>
        <w:keepLines w:val="0"/>
        <w:pageBreakBefore w:val="0"/>
        <w:widowControl w:val="0"/>
        <w:tabs>
          <w:tab w:val="right" w:leader="dot" w:pos="8732"/>
        </w:tabs>
        <w:kinsoku/>
        <w:wordWrap/>
        <w:overflowPunct/>
        <w:topLinePunct w:val="0"/>
        <w:autoSpaceDE/>
        <w:autoSpaceDN/>
        <w:bidi w:val="0"/>
        <w:adjustRightInd/>
        <w:snapToGrid/>
        <w:ind w:left="0" w:leftChars="0" w:firstLine="0" w:firstLineChars="0"/>
        <w:textAlignment w:val="auto"/>
        <w:rPr>
          <w:b/>
          <w:bCs/>
        </w:rPr>
      </w:pPr>
      <w:r>
        <w:rPr>
          <w:rFonts w:hint="eastAsia" w:ascii="方正小标宋简体" w:hAnsi="方正小标宋简体" w:eastAsia="方正小标宋简体" w:cs="方正小标宋简体"/>
          <w:b/>
          <w:bCs/>
          <w:szCs w:val="36"/>
          <w:lang w:val="en-US" w:eastAsia="zh-CN"/>
        </w:rPr>
        <w:fldChar w:fldCharType="begin"/>
      </w:r>
      <w:r>
        <w:rPr>
          <w:rFonts w:hint="eastAsia" w:ascii="方正小标宋简体" w:hAnsi="方正小标宋简体" w:eastAsia="方正小标宋简体" w:cs="方正小标宋简体"/>
          <w:b/>
          <w:bCs/>
          <w:szCs w:val="36"/>
          <w:lang w:val="en-US" w:eastAsia="zh-CN"/>
        </w:rPr>
        <w:instrText xml:space="preserve"> HYPERLINK \l _Toc11288 </w:instrText>
      </w:r>
      <w:r>
        <w:rPr>
          <w:rFonts w:hint="eastAsia" w:ascii="方正小标宋简体" w:hAnsi="方正小标宋简体" w:eastAsia="方正小标宋简体" w:cs="方正小标宋简体"/>
          <w:b/>
          <w:bCs/>
          <w:szCs w:val="36"/>
          <w:lang w:val="en-US" w:eastAsia="zh-CN"/>
        </w:rPr>
        <w:fldChar w:fldCharType="separate"/>
      </w:r>
      <w:r>
        <w:rPr>
          <w:rFonts w:hint="eastAsia"/>
          <w:b/>
          <w:bCs/>
          <w:lang w:val="en-US" w:eastAsia="zh-CN"/>
        </w:rPr>
        <w:t>四、指标体系</w:t>
      </w:r>
      <w:r>
        <w:rPr>
          <w:b/>
          <w:bCs/>
        </w:rPr>
        <w:tab/>
      </w:r>
      <w:r>
        <w:rPr>
          <w:b/>
          <w:bCs/>
        </w:rPr>
        <w:fldChar w:fldCharType="begin"/>
      </w:r>
      <w:r>
        <w:rPr>
          <w:b/>
          <w:bCs/>
        </w:rPr>
        <w:instrText xml:space="preserve"> PAGEREF _Toc11288 </w:instrText>
      </w:r>
      <w:r>
        <w:rPr>
          <w:b/>
          <w:bCs/>
        </w:rPr>
        <w:fldChar w:fldCharType="separate"/>
      </w:r>
      <w:r>
        <w:rPr>
          <w:b/>
          <w:bCs/>
        </w:rPr>
        <w:t>28</w:t>
      </w:r>
      <w:r>
        <w:rPr>
          <w:b/>
          <w:bCs/>
        </w:rPr>
        <w:fldChar w:fldCharType="end"/>
      </w:r>
      <w:r>
        <w:rPr>
          <w:rFonts w:hint="eastAsia" w:ascii="方正小标宋简体" w:hAnsi="方正小标宋简体" w:eastAsia="方正小标宋简体" w:cs="方正小标宋简体"/>
          <w:b/>
          <w:bCs/>
          <w:szCs w:val="36"/>
          <w:lang w:val="en-US" w:eastAsia="zh-CN"/>
        </w:rPr>
        <w:fldChar w:fldCharType="end"/>
      </w:r>
    </w:p>
    <w:p>
      <w:pPr>
        <w:pStyle w:val="8"/>
        <w:keepNext w:val="0"/>
        <w:keepLines w:val="0"/>
        <w:pageBreakBefore w:val="0"/>
        <w:widowControl w:val="0"/>
        <w:tabs>
          <w:tab w:val="right" w:leader="dot" w:pos="8732"/>
        </w:tabs>
        <w:kinsoku/>
        <w:wordWrap/>
        <w:overflowPunct/>
        <w:topLinePunct w:val="0"/>
        <w:autoSpaceDE/>
        <w:autoSpaceDN/>
        <w:bidi w:val="0"/>
        <w:adjustRightInd/>
        <w:snapToGrid/>
        <w:ind w:left="0" w:leftChars="0" w:firstLine="0" w:firstLineChars="0"/>
        <w:textAlignment w:val="auto"/>
      </w:pPr>
      <w:r>
        <w:rPr>
          <w:rFonts w:hint="eastAsia" w:ascii="方正小标宋简体" w:hAnsi="方正小标宋简体" w:eastAsia="方正小标宋简体" w:cs="方正小标宋简体"/>
          <w:b/>
          <w:bCs/>
          <w:szCs w:val="36"/>
          <w:lang w:val="en-US" w:eastAsia="zh-CN"/>
        </w:rPr>
        <w:fldChar w:fldCharType="begin"/>
      </w:r>
      <w:r>
        <w:rPr>
          <w:rFonts w:hint="eastAsia" w:ascii="方正小标宋简体" w:hAnsi="方正小标宋简体" w:eastAsia="方正小标宋简体" w:cs="方正小标宋简体"/>
          <w:b/>
          <w:bCs/>
          <w:szCs w:val="36"/>
          <w:lang w:val="en-US" w:eastAsia="zh-CN"/>
        </w:rPr>
        <w:instrText xml:space="preserve"> HYPERLINK \l _Toc29576 </w:instrText>
      </w:r>
      <w:r>
        <w:rPr>
          <w:rFonts w:hint="eastAsia" w:ascii="方正小标宋简体" w:hAnsi="方正小标宋简体" w:eastAsia="方正小标宋简体" w:cs="方正小标宋简体"/>
          <w:b/>
          <w:bCs/>
          <w:szCs w:val="36"/>
          <w:lang w:val="en-US" w:eastAsia="zh-CN"/>
        </w:rPr>
        <w:fldChar w:fldCharType="separate"/>
      </w:r>
      <w:r>
        <w:rPr>
          <w:rFonts w:hint="eastAsia"/>
          <w:b/>
          <w:bCs/>
          <w:lang w:val="en-US" w:eastAsia="zh-CN"/>
        </w:rPr>
        <w:t>五</w:t>
      </w:r>
      <w:r>
        <w:rPr>
          <w:rFonts w:hint="eastAsia"/>
          <w:b/>
          <w:bCs/>
        </w:rPr>
        <w:t>、评价结论</w:t>
      </w:r>
      <w:r>
        <w:rPr>
          <w:rFonts w:hint="eastAsia"/>
          <w:b/>
          <w:bCs/>
          <w:lang w:val="en-US" w:eastAsia="zh-CN"/>
        </w:rPr>
        <w:t>及分析</w:t>
      </w:r>
      <w:r>
        <w:rPr>
          <w:b/>
          <w:bCs/>
        </w:rPr>
        <w:tab/>
      </w:r>
      <w:r>
        <w:rPr>
          <w:b/>
          <w:bCs/>
        </w:rPr>
        <w:fldChar w:fldCharType="begin"/>
      </w:r>
      <w:r>
        <w:rPr>
          <w:b/>
          <w:bCs/>
        </w:rPr>
        <w:instrText xml:space="preserve"> PAGEREF _Toc29576 </w:instrText>
      </w:r>
      <w:r>
        <w:rPr>
          <w:b/>
          <w:bCs/>
        </w:rPr>
        <w:fldChar w:fldCharType="separate"/>
      </w:r>
      <w:r>
        <w:rPr>
          <w:b/>
          <w:bCs/>
        </w:rPr>
        <w:t>29</w:t>
      </w:r>
      <w:r>
        <w:rPr>
          <w:b/>
          <w:bCs/>
        </w:rPr>
        <w:fldChar w:fldCharType="end"/>
      </w:r>
      <w:r>
        <w:rPr>
          <w:rFonts w:hint="eastAsia" w:ascii="方正小标宋简体" w:hAnsi="方正小标宋简体" w:eastAsia="方正小标宋简体" w:cs="方正小标宋简体"/>
          <w:b/>
          <w:bCs/>
          <w:szCs w:val="36"/>
          <w:lang w:val="en-US" w:eastAsia="zh-CN"/>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ind w:left="0" w:leftChars="0" w:firstLine="0" w:firstLineChars="0"/>
        <w:textAlignment w:val="auto"/>
      </w:pPr>
      <w:r>
        <w:rPr>
          <w:rFonts w:hint="eastAsia" w:ascii="方正小标宋简体" w:hAnsi="方正小标宋简体" w:eastAsia="方正小标宋简体" w:cs="方正小标宋简体"/>
          <w:szCs w:val="36"/>
          <w:lang w:val="en-US" w:eastAsia="zh-CN"/>
        </w:rPr>
        <w:fldChar w:fldCharType="begin"/>
      </w:r>
      <w:r>
        <w:rPr>
          <w:rFonts w:hint="eastAsia" w:ascii="方正小标宋简体" w:hAnsi="方正小标宋简体" w:eastAsia="方正小标宋简体" w:cs="方正小标宋简体"/>
          <w:szCs w:val="36"/>
          <w:lang w:val="en-US" w:eastAsia="zh-CN"/>
        </w:rPr>
        <w:instrText xml:space="preserve"> HYPERLINK \l _Toc9973 </w:instrText>
      </w:r>
      <w:r>
        <w:rPr>
          <w:rFonts w:hint="eastAsia" w:ascii="方正小标宋简体" w:hAnsi="方正小标宋简体" w:eastAsia="方正小标宋简体" w:cs="方正小标宋简体"/>
          <w:szCs w:val="36"/>
          <w:lang w:val="en-US" w:eastAsia="zh-CN"/>
        </w:rPr>
        <w:fldChar w:fldCharType="separate"/>
      </w:r>
      <w:r>
        <w:rPr>
          <w:rFonts w:hint="eastAsia"/>
          <w:lang w:val="en-US" w:eastAsia="zh-CN"/>
        </w:rPr>
        <w:t>（一）整体评价结论</w:t>
      </w:r>
      <w:r>
        <w:tab/>
      </w:r>
      <w:r>
        <w:fldChar w:fldCharType="begin"/>
      </w:r>
      <w:r>
        <w:instrText xml:space="preserve"> PAGEREF _Toc9973 </w:instrText>
      </w:r>
      <w:r>
        <w:fldChar w:fldCharType="separate"/>
      </w:r>
      <w:r>
        <w:t>29</w:t>
      </w:r>
      <w:r>
        <w:fldChar w:fldCharType="end"/>
      </w:r>
      <w:r>
        <w:rPr>
          <w:rFonts w:hint="eastAsia" w:ascii="方正小标宋简体" w:hAnsi="方正小标宋简体" w:eastAsia="方正小标宋简体" w:cs="方正小标宋简体"/>
          <w:szCs w:val="36"/>
          <w:lang w:val="en-US" w:eastAsia="zh-CN"/>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ind w:left="0" w:leftChars="0" w:firstLine="0" w:firstLineChars="0"/>
        <w:textAlignment w:val="auto"/>
      </w:pPr>
      <w:r>
        <w:rPr>
          <w:rFonts w:hint="eastAsia" w:ascii="方正小标宋简体" w:hAnsi="方正小标宋简体" w:eastAsia="方正小标宋简体" w:cs="方正小标宋简体"/>
          <w:szCs w:val="36"/>
          <w:lang w:val="en-US" w:eastAsia="zh-CN"/>
        </w:rPr>
        <w:fldChar w:fldCharType="begin"/>
      </w:r>
      <w:r>
        <w:rPr>
          <w:rFonts w:hint="eastAsia" w:ascii="方正小标宋简体" w:hAnsi="方正小标宋简体" w:eastAsia="方正小标宋简体" w:cs="方正小标宋简体"/>
          <w:szCs w:val="36"/>
          <w:lang w:val="en-US" w:eastAsia="zh-CN"/>
        </w:rPr>
        <w:instrText xml:space="preserve"> HYPERLINK \l _Toc29156 </w:instrText>
      </w:r>
      <w:r>
        <w:rPr>
          <w:rFonts w:hint="eastAsia" w:ascii="方正小标宋简体" w:hAnsi="方正小标宋简体" w:eastAsia="方正小标宋简体" w:cs="方正小标宋简体"/>
          <w:szCs w:val="36"/>
          <w:lang w:val="en-US" w:eastAsia="zh-CN"/>
        </w:rPr>
        <w:fldChar w:fldCharType="separate"/>
      </w:r>
      <w:r>
        <w:rPr>
          <w:rFonts w:hint="eastAsia"/>
          <w:lang w:val="en-US" w:eastAsia="zh-CN"/>
        </w:rPr>
        <w:t>（二）指标得分分析</w:t>
      </w:r>
      <w:r>
        <w:tab/>
      </w:r>
      <w:r>
        <w:fldChar w:fldCharType="begin"/>
      </w:r>
      <w:r>
        <w:instrText xml:space="preserve"> PAGEREF _Toc29156 </w:instrText>
      </w:r>
      <w:r>
        <w:fldChar w:fldCharType="separate"/>
      </w:r>
      <w:r>
        <w:t>30</w:t>
      </w:r>
      <w:r>
        <w:fldChar w:fldCharType="end"/>
      </w:r>
      <w:r>
        <w:rPr>
          <w:rFonts w:hint="eastAsia" w:ascii="方正小标宋简体" w:hAnsi="方正小标宋简体" w:eastAsia="方正小标宋简体" w:cs="方正小标宋简体"/>
          <w:szCs w:val="36"/>
          <w:lang w:val="en-US" w:eastAsia="zh-CN"/>
        </w:rPr>
        <w:fldChar w:fldCharType="end"/>
      </w:r>
    </w:p>
    <w:p>
      <w:pPr>
        <w:pStyle w:val="8"/>
        <w:keepNext w:val="0"/>
        <w:keepLines w:val="0"/>
        <w:pageBreakBefore w:val="0"/>
        <w:widowControl w:val="0"/>
        <w:tabs>
          <w:tab w:val="right" w:leader="dot" w:pos="8732"/>
        </w:tabs>
        <w:kinsoku/>
        <w:wordWrap/>
        <w:overflowPunct/>
        <w:topLinePunct w:val="0"/>
        <w:autoSpaceDE/>
        <w:autoSpaceDN/>
        <w:bidi w:val="0"/>
        <w:adjustRightInd/>
        <w:snapToGrid/>
        <w:ind w:left="0" w:leftChars="0" w:firstLine="0" w:firstLineChars="0"/>
        <w:textAlignment w:val="auto"/>
      </w:pPr>
      <w:r>
        <w:rPr>
          <w:rFonts w:hint="eastAsia" w:ascii="方正小标宋简体" w:hAnsi="方正小标宋简体" w:eastAsia="方正小标宋简体" w:cs="方正小标宋简体"/>
          <w:b/>
          <w:bCs/>
          <w:szCs w:val="36"/>
          <w:lang w:val="en-US" w:eastAsia="zh-CN"/>
        </w:rPr>
        <w:fldChar w:fldCharType="begin"/>
      </w:r>
      <w:r>
        <w:rPr>
          <w:rFonts w:hint="eastAsia" w:ascii="方正小标宋简体" w:hAnsi="方正小标宋简体" w:eastAsia="方正小标宋简体" w:cs="方正小标宋简体"/>
          <w:b/>
          <w:bCs/>
          <w:szCs w:val="36"/>
          <w:lang w:val="en-US" w:eastAsia="zh-CN"/>
        </w:rPr>
        <w:instrText xml:space="preserve"> HYPERLINK \l _Toc6692 </w:instrText>
      </w:r>
      <w:r>
        <w:rPr>
          <w:rFonts w:hint="eastAsia" w:ascii="方正小标宋简体" w:hAnsi="方正小标宋简体" w:eastAsia="方正小标宋简体" w:cs="方正小标宋简体"/>
          <w:b/>
          <w:bCs/>
          <w:szCs w:val="36"/>
          <w:lang w:val="en-US" w:eastAsia="zh-CN"/>
        </w:rPr>
        <w:fldChar w:fldCharType="separate"/>
      </w:r>
      <w:r>
        <w:rPr>
          <w:rFonts w:hint="eastAsia"/>
          <w:b/>
          <w:bCs/>
          <w:lang w:val="en-US" w:eastAsia="zh-CN"/>
        </w:rPr>
        <w:t>六、部门主要绩效</w:t>
      </w:r>
      <w:r>
        <w:rPr>
          <w:b/>
          <w:bCs/>
        </w:rPr>
        <w:tab/>
      </w:r>
      <w:r>
        <w:rPr>
          <w:b/>
          <w:bCs/>
        </w:rPr>
        <w:fldChar w:fldCharType="begin"/>
      </w:r>
      <w:r>
        <w:rPr>
          <w:b/>
          <w:bCs/>
        </w:rPr>
        <w:instrText xml:space="preserve"> PAGEREF _Toc6692 </w:instrText>
      </w:r>
      <w:r>
        <w:rPr>
          <w:b/>
          <w:bCs/>
        </w:rPr>
        <w:fldChar w:fldCharType="separate"/>
      </w:r>
      <w:r>
        <w:rPr>
          <w:b/>
          <w:bCs/>
        </w:rPr>
        <w:t>43</w:t>
      </w:r>
      <w:r>
        <w:rPr>
          <w:b/>
          <w:bCs/>
        </w:rPr>
        <w:fldChar w:fldCharType="end"/>
      </w:r>
      <w:r>
        <w:rPr>
          <w:rFonts w:hint="eastAsia" w:ascii="方正小标宋简体" w:hAnsi="方正小标宋简体" w:eastAsia="方正小标宋简体" w:cs="方正小标宋简体"/>
          <w:b/>
          <w:bCs/>
          <w:szCs w:val="36"/>
          <w:lang w:val="en-US" w:eastAsia="zh-CN"/>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ind w:left="0" w:leftChars="0" w:firstLine="0" w:firstLineChars="0"/>
        <w:textAlignment w:val="auto"/>
      </w:pPr>
      <w:r>
        <w:rPr>
          <w:rFonts w:hint="eastAsia" w:ascii="方正小标宋简体" w:hAnsi="方正小标宋简体" w:eastAsia="方正小标宋简体" w:cs="方正小标宋简体"/>
          <w:szCs w:val="36"/>
          <w:lang w:val="en-US" w:eastAsia="zh-CN"/>
        </w:rPr>
        <w:fldChar w:fldCharType="begin"/>
      </w:r>
      <w:r>
        <w:rPr>
          <w:rFonts w:hint="eastAsia" w:ascii="方正小标宋简体" w:hAnsi="方正小标宋简体" w:eastAsia="方正小标宋简体" w:cs="方正小标宋简体"/>
          <w:szCs w:val="36"/>
          <w:lang w:val="en-US" w:eastAsia="zh-CN"/>
        </w:rPr>
        <w:instrText xml:space="preserve"> HYPERLINK \l _Toc7214 </w:instrText>
      </w:r>
      <w:r>
        <w:rPr>
          <w:rFonts w:hint="eastAsia" w:ascii="方正小标宋简体" w:hAnsi="方正小标宋简体" w:eastAsia="方正小标宋简体" w:cs="方正小标宋简体"/>
          <w:szCs w:val="36"/>
          <w:lang w:val="en-US" w:eastAsia="zh-CN"/>
        </w:rPr>
        <w:fldChar w:fldCharType="separate"/>
      </w:r>
      <w:r>
        <w:rPr>
          <w:rFonts w:hint="eastAsia"/>
          <w:lang w:val="en-US" w:eastAsia="zh-CN"/>
        </w:rPr>
        <w:t>（一）工作成绩</w:t>
      </w:r>
      <w:r>
        <w:tab/>
      </w:r>
      <w:r>
        <w:fldChar w:fldCharType="begin"/>
      </w:r>
      <w:r>
        <w:instrText xml:space="preserve"> PAGEREF _Toc7214 </w:instrText>
      </w:r>
      <w:r>
        <w:fldChar w:fldCharType="separate"/>
      </w:r>
      <w:r>
        <w:t>43</w:t>
      </w:r>
      <w:r>
        <w:fldChar w:fldCharType="end"/>
      </w:r>
      <w:r>
        <w:rPr>
          <w:rFonts w:hint="eastAsia" w:ascii="方正小标宋简体" w:hAnsi="方正小标宋简体" w:eastAsia="方正小标宋简体" w:cs="方正小标宋简体"/>
          <w:szCs w:val="36"/>
          <w:lang w:val="en-US" w:eastAsia="zh-CN"/>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ind w:left="0" w:leftChars="0" w:firstLine="0" w:firstLineChars="0"/>
        <w:textAlignment w:val="auto"/>
      </w:pPr>
      <w:r>
        <w:rPr>
          <w:rFonts w:hint="eastAsia" w:ascii="方正小标宋简体" w:hAnsi="方正小标宋简体" w:eastAsia="方正小标宋简体" w:cs="方正小标宋简体"/>
          <w:szCs w:val="36"/>
          <w:lang w:val="en-US" w:eastAsia="zh-CN"/>
        </w:rPr>
        <w:fldChar w:fldCharType="begin"/>
      </w:r>
      <w:r>
        <w:rPr>
          <w:rFonts w:hint="eastAsia" w:ascii="方正小标宋简体" w:hAnsi="方正小标宋简体" w:eastAsia="方正小标宋简体" w:cs="方正小标宋简体"/>
          <w:szCs w:val="36"/>
          <w:lang w:val="en-US" w:eastAsia="zh-CN"/>
        </w:rPr>
        <w:instrText xml:space="preserve"> HYPERLINK \l _Toc9185 </w:instrText>
      </w:r>
      <w:r>
        <w:rPr>
          <w:rFonts w:hint="eastAsia" w:ascii="方正小标宋简体" w:hAnsi="方正小标宋简体" w:eastAsia="方正小标宋简体" w:cs="方正小标宋简体"/>
          <w:szCs w:val="36"/>
          <w:lang w:val="en-US" w:eastAsia="zh-CN"/>
        </w:rPr>
        <w:fldChar w:fldCharType="separate"/>
      </w:r>
      <w:r>
        <w:rPr>
          <w:rFonts w:hint="eastAsia"/>
          <w:lang w:val="en-US" w:eastAsia="zh-CN"/>
        </w:rPr>
        <w:t>（二）工作亮点</w:t>
      </w:r>
      <w:r>
        <w:tab/>
      </w:r>
      <w:r>
        <w:fldChar w:fldCharType="begin"/>
      </w:r>
      <w:r>
        <w:instrText xml:space="preserve"> PAGEREF _Toc9185 </w:instrText>
      </w:r>
      <w:r>
        <w:fldChar w:fldCharType="separate"/>
      </w:r>
      <w:r>
        <w:t>46</w:t>
      </w:r>
      <w:r>
        <w:fldChar w:fldCharType="end"/>
      </w:r>
      <w:r>
        <w:rPr>
          <w:rFonts w:hint="eastAsia" w:ascii="方正小标宋简体" w:hAnsi="方正小标宋简体" w:eastAsia="方正小标宋简体" w:cs="方正小标宋简体"/>
          <w:szCs w:val="36"/>
          <w:lang w:val="en-US" w:eastAsia="zh-CN"/>
        </w:rPr>
        <w:fldChar w:fldCharType="end"/>
      </w:r>
    </w:p>
    <w:p>
      <w:pPr>
        <w:pStyle w:val="8"/>
        <w:keepNext w:val="0"/>
        <w:keepLines w:val="0"/>
        <w:pageBreakBefore w:val="0"/>
        <w:widowControl w:val="0"/>
        <w:tabs>
          <w:tab w:val="right" w:leader="dot" w:pos="8732"/>
        </w:tabs>
        <w:kinsoku/>
        <w:wordWrap/>
        <w:overflowPunct/>
        <w:topLinePunct w:val="0"/>
        <w:autoSpaceDE/>
        <w:autoSpaceDN/>
        <w:bidi w:val="0"/>
        <w:adjustRightInd/>
        <w:snapToGrid/>
        <w:ind w:left="0" w:leftChars="0" w:firstLine="0" w:firstLineChars="0"/>
        <w:textAlignment w:val="auto"/>
        <w:rPr>
          <w:b/>
          <w:bCs/>
        </w:rPr>
      </w:pPr>
      <w:r>
        <w:rPr>
          <w:rFonts w:hint="eastAsia" w:ascii="方正小标宋简体" w:hAnsi="方正小标宋简体" w:eastAsia="方正小标宋简体" w:cs="方正小标宋简体"/>
          <w:b/>
          <w:bCs/>
          <w:szCs w:val="36"/>
          <w:lang w:val="en-US" w:eastAsia="zh-CN"/>
        </w:rPr>
        <w:fldChar w:fldCharType="begin"/>
      </w:r>
      <w:r>
        <w:rPr>
          <w:rFonts w:hint="eastAsia" w:ascii="方正小标宋简体" w:hAnsi="方正小标宋简体" w:eastAsia="方正小标宋简体" w:cs="方正小标宋简体"/>
          <w:b/>
          <w:bCs/>
          <w:szCs w:val="36"/>
          <w:lang w:val="en-US" w:eastAsia="zh-CN"/>
        </w:rPr>
        <w:instrText xml:space="preserve"> HYPERLINK \l _Toc10434 </w:instrText>
      </w:r>
      <w:r>
        <w:rPr>
          <w:rFonts w:hint="eastAsia" w:ascii="方正小标宋简体" w:hAnsi="方正小标宋简体" w:eastAsia="方正小标宋简体" w:cs="方正小标宋简体"/>
          <w:b/>
          <w:bCs/>
          <w:szCs w:val="36"/>
          <w:lang w:val="en-US" w:eastAsia="zh-CN"/>
        </w:rPr>
        <w:fldChar w:fldCharType="separate"/>
      </w:r>
      <w:r>
        <w:rPr>
          <w:rFonts w:hint="eastAsia"/>
          <w:b/>
          <w:bCs/>
          <w:lang w:val="en-US" w:eastAsia="zh-CN"/>
        </w:rPr>
        <w:t>七</w:t>
      </w:r>
      <w:r>
        <w:rPr>
          <w:rFonts w:hint="eastAsia"/>
          <w:b/>
          <w:bCs/>
        </w:rPr>
        <w:t>、存在的问题</w:t>
      </w:r>
      <w:r>
        <w:rPr>
          <w:b/>
          <w:bCs/>
        </w:rPr>
        <w:tab/>
      </w:r>
      <w:r>
        <w:rPr>
          <w:b/>
          <w:bCs/>
        </w:rPr>
        <w:fldChar w:fldCharType="begin"/>
      </w:r>
      <w:r>
        <w:rPr>
          <w:b/>
          <w:bCs/>
        </w:rPr>
        <w:instrText xml:space="preserve"> PAGEREF _Toc10434 </w:instrText>
      </w:r>
      <w:r>
        <w:rPr>
          <w:b/>
          <w:bCs/>
        </w:rPr>
        <w:fldChar w:fldCharType="separate"/>
      </w:r>
      <w:r>
        <w:rPr>
          <w:b/>
          <w:bCs/>
        </w:rPr>
        <w:t>47</w:t>
      </w:r>
      <w:r>
        <w:rPr>
          <w:b/>
          <w:bCs/>
        </w:rPr>
        <w:fldChar w:fldCharType="end"/>
      </w:r>
      <w:r>
        <w:rPr>
          <w:rFonts w:hint="eastAsia" w:ascii="方正小标宋简体" w:hAnsi="方正小标宋简体" w:eastAsia="方正小标宋简体" w:cs="方正小标宋简体"/>
          <w:b/>
          <w:bCs/>
          <w:szCs w:val="36"/>
          <w:lang w:val="en-US" w:eastAsia="zh-CN"/>
        </w:rPr>
        <w:fldChar w:fldCharType="end"/>
      </w:r>
    </w:p>
    <w:p>
      <w:pPr>
        <w:pStyle w:val="8"/>
        <w:keepNext w:val="0"/>
        <w:keepLines w:val="0"/>
        <w:pageBreakBefore w:val="0"/>
        <w:widowControl w:val="0"/>
        <w:tabs>
          <w:tab w:val="right" w:leader="dot" w:pos="8732"/>
        </w:tabs>
        <w:kinsoku/>
        <w:wordWrap/>
        <w:overflowPunct/>
        <w:topLinePunct w:val="0"/>
        <w:autoSpaceDE/>
        <w:autoSpaceDN/>
        <w:bidi w:val="0"/>
        <w:adjustRightInd/>
        <w:snapToGrid/>
        <w:ind w:left="0" w:leftChars="0" w:firstLine="0" w:firstLineChars="0"/>
        <w:textAlignment w:val="auto"/>
        <w:rPr>
          <w:b/>
          <w:bCs/>
        </w:rPr>
      </w:pPr>
      <w:r>
        <w:rPr>
          <w:rFonts w:hint="eastAsia" w:ascii="方正小标宋简体" w:hAnsi="方正小标宋简体" w:eastAsia="方正小标宋简体" w:cs="方正小标宋简体"/>
          <w:b/>
          <w:bCs/>
          <w:szCs w:val="36"/>
          <w:lang w:val="en-US" w:eastAsia="zh-CN"/>
        </w:rPr>
        <w:fldChar w:fldCharType="begin"/>
      </w:r>
      <w:r>
        <w:rPr>
          <w:rFonts w:hint="eastAsia" w:ascii="方正小标宋简体" w:hAnsi="方正小标宋简体" w:eastAsia="方正小标宋简体" w:cs="方正小标宋简体"/>
          <w:b/>
          <w:bCs/>
          <w:szCs w:val="36"/>
          <w:lang w:val="en-US" w:eastAsia="zh-CN"/>
        </w:rPr>
        <w:instrText xml:space="preserve"> HYPERLINK \l _Toc13798 </w:instrText>
      </w:r>
      <w:r>
        <w:rPr>
          <w:rFonts w:hint="eastAsia" w:ascii="方正小标宋简体" w:hAnsi="方正小标宋简体" w:eastAsia="方正小标宋简体" w:cs="方正小标宋简体"/>
          <w:b/>
          <w:bCs/>
          <w:szCs w:val="36"/>
          <w:lang w:val="en-US" w:eastAsia="zh-CN"/>
        </w:rPr>
        <w:fldChar w:fldCharType="separate"/>
      </w:r>
      <w:r>
        <w:rPr>
          <w:rFonts w:hint="eastAsia"/>
          <w:b/>
          <w:bCs/>
          <w:lang w:val="en-US" w:eastAsia="zh-CN"/>
        </w:rPr>
        <w:t>八</w:t>
      </w:r>
      <w:r>
        <w:rPr>
          <w:rFonts w:hint="eastAsia"/>
          <w:b/>
          <w:bCs/>
        </w:rPr>
        <w:t>、整改措施或建议</w:t>
      </w:r>
      <w:r>
        <w:rPr>
          <w:b/>
          <w:bCs/>
        </w:rPr>
        <w:tab/>
      </w:r>
      <w:r>
        <w:rPr>
          <w:b/>
          <w:bCs/>
        </w:rPr>
        <w:fldChar w:fldCharType="begin"/>
      </w:r>
      <w:r>
        <w:rPr>
          <w:b/>
          <w:bCs/>
        </w:rPr>
        <w:instrText xml:space="preserve"> PAGEREF _Toc13798 </w:instrText>
      </w:r>
      <w:r>
        <w:rPr>
          <w:b/>
          <w:bCs/>
        </w:rPr>
        <w:fldChar w:fldCharType="separate"/>
      </w:r>
      <w:r>
        <w:rPr>
          <w:b/>
          <w:bCs/>
        </w:rPr>
        <w:t>49</w:t>
      </w:r>
      <w:r>
        <w:rPr>
          <w:b/>
          <w:bCs/>
        </w:rPr>
        <w:fldChar w:fldCharType="end"/>
      </w:r>
      <w:r>
        <w:rPr>
          <w:rFonts w:hint="eastAsia" w:ascii="方正小标宋简体" w:hAnsi="方正小标宋简体" w:eastAsia="方正小标宋简体" w:cs="方正小标宋简体"/>
          <w:b/>
          <w:bCs/>
          <w:szCs w:val="36"/>
          <w:lang w:val="en-US" w:eastAsia="zh-CN"/>
        </w:rPr>
        <w:fldChar w:fldCharType="end"/>
      </w:r>
    </w:p>
    <w:p>
      <w:pPr>
        <w:pStyle w:val="8"/>
        <w:keepNext w:val="0"/>
        <w:keepLines w:val="0"/>
        <w:pageBreakBefore w:val="0"/>
        <w:widowControl w:val="0"/>
        <w:tabs>
          <w:tab w:val="right" w:leader="dot" w:pos="8732"/>
        </w:tabs>
        <w:kinsoku/>
        <w:wordWrap/>
        <w:overflowPunct/>
        <w:topLinePunct w:val="0"/>
        <w:autoSpaceDE/>
        <w:autoSpaceDN/>
        <w:bidi w:val="0"/>
        <w:adjustRightInd/>
        <w:snapToGrid/>
        <w:ind w:left="0" w:leftChars="0" w:firstLine="0" w:firstLineChars="0"/>
        <w:textAlignment w:val="auto"/>
      </w:pPr>
      <w:r>
        <w:rPr>
          <w:rFonts w:hint="eastAsia" w:ascii="方正小标宋简体" w:hAnsi="方正小标宋简体" w:eastAsia="方正小标宋简体" w:cs="方正小标宋简体"/>
          <w:b/>
          <w:bCs/>
          <w:szCs w:val="36"/>
          <w:lang w:val="en-US" w:eastAsia="zh-CN"/>
        </w:rPr>
        <w:fldChar w:fldCharType="begin"/>
      </w:r>
      <w:r>
        <w:rPr>
          <w:rFonts w:hint="eastAsia" w:ascii="方正小标宋简体" w:hAnsi="方正小标宋简体" w:eastAsia="方正小标宋简体" w:cs="方正小标宋简体"/>
          <w:b/>
          <w:bCs/>
          <w:szCs w:val="36"/>
          <w:lang w:val="en-US" w:eastAsia="zh-CN"/>
        </w:rPr>
        <w:instrText xml:space="preserve"> HYPERLINK \l _Toc11282 </w:instrText>
      </w:r>
      <w:r>
        <w:rPr>
          <w:rFonts w:hint="eastAsia" w:ascii="方正小标宋简体" w:hAnsi="方正小标宋简体" w:eastAsia="方正小标宋简体" w:cs="方正小标宋简体"/>
          <w:b/>
          <w:bCs/>
          <w:szCs w:val="36"/>
          <w:lang w:val="en-US" w:eastAsia="zh-CN"/>
        </w:rPr>
        <w:fldChar w:fldCharType="separate"/>
      </w:r>
      <w:r>
        <w:rPr>
          <w:rFonts w:hint="eastAsia"/>
          <w:b/>
          <w:bCs/>
          <w:lang w:val="en-US" w:eastAsia="zh-CN"/>
        </w:rPr>
        <w:t>九、附件</w:t>
      </w:r>
      <w:r>
        <w:rPr>
          <w:b/>
          <w:bCs/>
        </w:rPr>
        <w:tab/>
      </w:r>
      <w:r>
        <w:rPr>
          <w:b/>
          <w:bCs/>
        </w:rPr>
        <w:fldChar w:fldCharType="begin"/>
      </w:r>
      <w:r>
        <w:rPr>
          <w:b/>
          <w:bCs/>
        </w:rPr>
        <w:instrText xml:space="preserve"> PAGEREF _Toc11282 </w:instrText>
      </w:r>
      <w:r>
        <w:rPr>
          <w:b/>
          <w:bCs/>
        </w:rPr>
        <w:fldChar w:fldCharType="separate"/>
      </w:r>
      <w:r>
        <w:rPr>
          <w:b/>
          <w:bCs/>
        </w:rPr>
        <w:t>50</w:t>
      </w:r>
      <w:r>
        <w:rPr>
          <w:b/>
          <w:bCs/>
        </w:rPr>
        <w:fldChar w:fldCharType="end"/>
      </w:r>
      <w:r>
        <w:rPr>
          <w:rFonts w:hint="eastAsia" w:ascii="方正小标宋简体" w:hAnsi="方正小标宋简体" w:eastAsia="方正小标宋简体" w:cs="方正小标宋简体"/>
          <w:b/>
          <w:bCs/>
          <w:szCs w:val="36"/>
          <w:lang w:val="en-US" w:eastAsia="zh-CN"/>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ind w:left="0" w:leftChars="0" w:firstLine="0" w:firstLineChars="0"/>
        <w:textAlignment w:val="auto"/>
      </w:pPr>
      <w:r>
        <w:rPr>
          <w:rFonts w:hint="eastAsia" w:ascii="方正小标宋简体" w:hAnsi="方正小标宋简体" w:eastAsia="方正小标宋简体" w:cs="方正小标宋简体"/>
          <w:szCs w:val="36"/>
          <w:lang w:val="en-US" w:eastAsia="zh-CN"/>
        </w:rPr>
        <w:fldChar w:fldCharType="begin"/>
      </w:r>
      <w:r>
        <w:rPr>
          <w:rFonts w:hint="eastAsia" w:ascii="方正小标宋简体" w:hAnsi="方正小标宋简体" w:eastAsia="方正小标宋简体" w:cs="方正小标宋简体"/>
          <w:szCs w:val="36"/>
          <w:lang w:val="en-US" w:eastAsia="zh-CN"/>
        </w:rPr>
        <w:instrText xml:space="preserve"> HYPERLINK \l _Toc24050 </w:instrText>
      </w:r>
      <w:r>
        <w:rPr>
          <w:rFonts w:hint="eastAsia" w:ascii="方正小标宋简体" w:hAnsi="方正小标宋简体" w:eastAsia="方正小标宋简体" w:cs="方正小标宋简体"/>
          <w:szCs w:val="36"/>
          <w:lang w:val="en-US" w:eastAsia="zh-CN"/>
        </w:rPr>
        <w:fldChar w:fldCharType="separate"/>
      </w:r>
      <w:r>
        <w:rPr>
          <w:rFonts w:hint="eastAsia"/>
          <w:lang w:val="en-US" w:eastAsia="zh-CN"/>
        </w:rPr>
        <w:t>附件1：2019年山亭区住建局部门整体支出绩效评价指标体系</w:t>
      </w:r>
      <w:r>
        <w:tab/>
      </w:r>
      <w:r>
        <w:fldChar w:fldCharType="begin"/>
      </w:r>
      <w:r>
        <w:instrText xml:space="preserve"> PAGEREF _Toc24050 </w:instrText>
      </w:r>
      <w:r>
        <w:fldChar w:fldCharType="separate"/>
      </w:r>
      <w:r>
        <w:t>50</w:t>
      </w:r>
      <w:r>
        <w:fldChar w:fldCharType="end"/>
      </w:r>
      <w:r>
        <w:rPr>
          <w:rFonts w:hint="eastAsia" w:ascii="方正小标宋简体" w:hAnsi="方正小标宋简体" w:eastAsia="方正小标宋简体" w:cs="方正小标宋简体"/>
          <w:szCs w:val="36"/>
          <w:lang w:val="en-US" w:eastAsia="zh-CN"/>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ind w:left="0" w:leftChars="0" w:firstLine="0" w:firstLineChars="0"/>
        <w:textAlignment w:val="auto"/>
      </w:pPr>
      <w:r>
        <w:rPr>
          <w:rFonts w:hint="eastAsia" w:ascii="方正小标宋简体" w:hAnsi="方正小标宋简体" w:eastAsia="方正小标宋简体" w:cs="方正小标宋简体"/>
          <w:szCs w:val="36"/>
          <w:lang w:val="en-US" w:eastAsia="zh-CN"/>
        </w:rPr>
        <w:fldChar w:fldCharType="begin"/>
      </w:r>
      <w:r>
        <w:rPr>
          <w:rFonts w:hint="eastAsia" w:ascii="方正小标宋简体" w:hAnsi="方正小标宋简体" w:eastAsia="方正小标宋简体" w:cs="方正小标宋简体"/>
          <w:szCs w:val="36"/>
          <w:lang w:val="en-US" w:eastAsia="zh-CN"/>
        </w:rPr>
        <w:instrText xml:space="preserve"> HYPERLINK \l _Toc919 </w:instrText>
      </w:r>
      <w:r>
        <w:rPr>
          <w:rFonts w:hint="eastAsia" w:ascii="方正小标宋简体" w:hAnsi="方正小标宋简体" w:eastAsia="方正小标宋简体" w:cs="方正小标宋简体"/>
          <w:szCs w:val="36"/>
          <w:lang w:val="en-US" w:eastAsia="zh-CN"/>
        </w:rPr>
        <w:fldChar w:fldCharType="separate"/>
      </w:r>
      <w:r>
        <w:rPr>
          <w:rFonts w:hint="eastAsia"/>
          <w:lang w:val="en-US" w:eastAsia="zh-CN"/>
        </w:rPr>
        <w:t>附件2：2019年山亭区住建局部门整体支出绩效评价得分表</w:t>
      </w:r>
      <w:r>
        <w:tab/>
      </w:r>
      <w:r>
        <w:fldChar w:fldCharType="begin"/>
      </w:r>
      <w:r>
        <w:instrText xml:space="preserve"> PAGEREF _Toc919 </w:instrText>
      </w:r>
      <w:r>
        <w:fldChar w:fldCharType="separate"/>
      </w:r>
      <w:r>
        <w:t>50</w:t>
      </w:r>
      <w:r>
        <w:fldChar w:fldCharType="end"/>
      </w:r>
      <w:r>
        <w:rPr>
          <w:rFonts w:hint="eastAsia" w:ascii="方正小标宋简体" w:hAnsi="方正小标宋简体" w:eastAsia="方正小标宋简体" w:cs="方正小标宋简体"/>
          <w:szCs w:val="36"/>
          <w:lang w:val="en-US" w:eastAsia="zh-CN"/>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ind w:left="0" w:leftChars="0" w:firstLine="0" w:firstLineChars="0"/>
        <w:textAlignment w:val="auto"/>
      </w:pPr>
      <w:r>
        <w:rPr>
          <w:rFonts w:hint="eastAsia" w:ascii="方正小标宋简体" w:hAnsi="方正小标宋简体" w:eastAsia="方正小标宋简体" w:cs="方正小标宋简体"/>
          <w:szCs w:val="36"/>
          <w:lang w:val="en-US" w:eastAsia="zh-CN"/>
        </w:rPr>
        <w:fldChar w:fldCharType="begin"/>
      </w:r>
      <w:r>
        <w:rPr>
          <w:rFonts w:hint="eastAsia" w:ascii="方正小标宋简体" w:hAnsi="方正小标宋简体" w:eastAsia="方正小标宋简体" w:cs="方正小标宋简体"/>
          <w:szCs w:val="36"/>
          <w:lang w:val="en-US" w:eastAsia="zh-CN"/>
        </w:rPr>
        <w:instrText xml:space="preserve"> HYPERLINK \l _Toc14215 </w:instrText>
      </w:r>
      <w:r>
        <w:rPr>
          <w:rFonts w:hint="eastAsia" w:ascii="方正小标宋简体" w:hAnsi="方正小标宋简体" w:eastAsia="方正小标宋简体" w:cs="方正小标宋简体"/>
          <w:szCs w:val="36"/>
          <w:lang w:val="en-US" w:eastAsia="zh-CN"/>
        </w:rPr>
        <w:fldChar w:fldCharType="separate"/>
      </w:r>
      <w:r>
        <w:rPr>
          <w:rFonts w:hint="eastAsia"/>
          <w:lang w:val="en-US" w:eastAsia="zh-CN"/>
        </w:rPr>
        <w:t>附件3：2019年山亭区住建局内部机构职能、工作目标及完成工作内容统计情况表</w:t>
      </w:r>
      <w:r>
        <w:tab/>
      </w:r>
      <w:r>
        <w:fldChar w:fldCharType="begin"/>
      </w:r>
      <w:r>
        <w:instrText xml:space="preserve"> PAGEREF _Toc14215 </w:instrText>
      </w:r>
      <w:r>
        <w:fldChar w:fldCharType="separate"/>
      </w:r>
      <w:r>
        <w:t>50</w:t>
      </w:r>
      <w:r>
        <w:fldChar w:fldCharType="end"/>
      </w:r>
      <w:r>
        <w:rPr>
          <w:rFonts w:hint="eastAsia" w:ascii="方正小标宋简体" w:hAnsi="方正小标宋简体" w:eastAsia="方正小标宋简体" w:cs="方正小标宋简体"/>
          <w:szCs w:val="36"/>
          <w:lang w:val="en-US" w:eastAsia="zh-CN"/>
        </w:rPr>
        <w:fldChar w:fldCharType="end"/>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sz w:val="44"/>
          <w:szCs w:val="36"/>
          <w:lang w:val="en-US" w:eastAsia="zh-CN"/>
        </w:rPr>
        <w:sectPr>
          <w:footerReference r:id="rId3" w:type="default"/>
          <w:pgSz w:w="11906" w:h="16838"/>
          <w:pgMar w:top="1587" w:right="1587" w:bottom="1587" w:left="1587" w:header="851" w:footer="992" w:gutter="0"/>
          <w:pgNumType w:start="1"/>
          <w:cols w:space="425" w:num="1"/>
          <w:docGrid w:type="lines" w:linePitch="312" w:charSpace="0"/>
        </w:sectPr>
      </w:pPr>
      <w:r>
        <w:rPr>
          <w:rFonts w:hint="eastAsia" w:ascii="方正小标宋简体" w:hAnsi="方正小标宋简体" w:eastAsia="方正小标宋简体" w:cs="方正小标宋简体"/>
          <w:szCs w:val="36"/>
          <w:lang w:val="en-US" w:eastAsia="zh-CN"/>
        </w:rPr>
        <w:fldChar w:fldCharType="end"/>
      </w:r>
    </w:p>
    <w:p>
      <w:pPr>
        <w:bidi w:val="0"/>
        <w:rPr>
          <w:rFonts w:hint="default"/>
          <w:lang w:val="en-US" w:eastAsia="zh-CN"/>
        </w:rPr>
      </w:pPr>
      <w:r>
        <w:rPr>
          <w:rFonts w:hint="eastAsia"/>
        </w:rPr>
        <w:t>受</w:t>
      </w:r>
      <w:r>
        <w:rPr>
          <w:rFonts w:hint="eastAsia"/>
          <w:lang w:val="en-US" w:eastAsia="zh-CN"/>
        </w:rPr>
        <w:t>枣庄市山亭区住房和城乡建设局（以下简称“山亭区住建局”）</w:t>
      </w:r>
      <w:r>
        <w:rPr>
          <w:rFonts w:hint="eastAsia"/>
        </w:rPr>
        <w:t>的委托，</w:t>
      </w:r>
      <w:r>
        <w:rPr>
          <w:rFonts w:hint="eastAsia"/>
          <w:lang w:val="en-US" w:eastAsia="zh-CN"/>
        </w:rPr>
        <w:t>山东合创润晟项目管理咨询有限公司</w:t>
      </w:r>
      <w:r>
        <w:rPr>
          <w:rFonts w:hint="eastAsia"/>
        </w:rPr>
        <w:t>承担201</w:t>
      </w:r>
      <w:r>
        <w:rPr>
          <w:rFonts w:hint="eastAsia"/>
          <w:lang w:val="en-US" w:eastAsia="zh-CN"/>
        </w:rPr>
        <w:t>9</w:t>
      </w:r>
      <w:r>
        <w:rPr>
          <w:rFonts w:hint="eastAsia"/>
        </w:rPr>
        <w:t>年度</w:t>
      </w:r>
      <w:r>
        <w:rPr>
          <w:rFonts w:hint="eastAsia"/>
          <w:lang w:val="en-US" w:eastAsia="zh-CN"/>
        </w:rPr>
        <w:t>枣庄市山亭区住建局</w:t>
      </w:r>
      <w:r>
        <w:rPr>
          <w:rFonts w:hint="eastAsia"/>
        </w:rPr>
        <w:t>部门整体支出绩效评价工作。评价</w:t>
      </w:r>
      <w:r>
        <w:rPr>
          <w:rFonts w:hint="eastAsia"/>
          <w:lang w:val="en-US" w:eastAsia="zh-CN"/>
        </w:rPr>
        <w:t>工作</w:t>
      </w:r>
      <w:r>
        <w:rPr>
          <w:rFonts w:hint="eastAsia"/>
        </w:rPr>
        <w:t>组经过数据采集、资料收集、现场评价及访谈、数据分析和报告撰写等环节，顺利完成了本次绩效评价工作</w:t>
      </w:r>
      <w:r>
        <w:rPr>
          <w:rFonts w:hint="eastAsia"/>
          <w:lang w:eastAsia="zh-CN"/>
        </w:rPr>
        <w:t>，</w:t>
      </w:r>
      <w:r>
        <w:rPr>
          <w:rFonts w:hint="eastAsia"/>
          <w:lang w:val="en-US" w:eastAsia="zh-CN"/>
        </w:rPr>
        <w:t>现将主要内容汇报如下。</w:t>
      </w:r>
    </w:p>
    <w:p>
      <w:pPr>
        <w:pStyle w:val="2"/>
        <w:bidi w:val="0"/>
      </w:pPr>
      <w:bookmarkStart w:id="0" w:name="_Toc12424"/>
      <w:r>
        <w:rPr>
          <w:rFonts w:hint="eastAsia"/>
        </w:rPr>
        <w:t>一、部门概述和基本情况</w:t>
      </w:r>
      <w:bookmarkEnd w:id="0"/>
    </w:p>
    <w:p>
      <w:pPr>
        <w:pStyle w:val="3"/>
        <w:bidi w:val="0"/>
        <w:rPr>
          <w:rFonts w:hint="eastAsia"/>
          <w:lang w:val="en-US" w:eastAsia="zh-CN"/>
        </w:rPr>
      </w:pPr>
      <w:bookmarkStart w:id="1" w:name="_Toc26621"/>
      <w:r>
        <w:rPr>
          <w:rFonts w:hint="eastAsia"/>
        </w:rPr>
        <w:t>（一）</w:t>
      </w:r>
      <w:r>
        <w:rPr>
          <w:rFonts w:hint="eastAsia"/>
          <w:lang w:val="en-US" w:eastAsia="zh-CN"/>
        </w:rPr>
        <w:t>部门基本情况</w:t>
      </w:r>
      <w:bookmarkEnd w:id="1"/>
    </w:p>
    <w:p>
      <w:pPr>
        <w:bidi w:val="0"/>
        <w:rPr>
          <w:rFonts w:hint="default"/>
          <w:lang w:val="en-US" w:eastAsia="zh-CN"/>
        </w:rPr>
      </w:pPr>
      <w:r>
        <w:rPr>
          <w:rFonts w:hint="eastAsia"/>
          <w:lang w:val="en-US" w:eastAsia="zh-CN"/>
        </w:rPr>
        <w:t>山亭区住建局</w:t>
      </w:r>
      <w:r>
        <w:rPr>
          <w:rFonts w:hint="default"/>
          <w:lang w:val="en-US" w:eastAsia="zh-CN"/>
        </w:rPr>
        <w:t>是</w:t>
      </w:r>
      <w:r>
        <w:rPr>
          <w:rFonts w:hint="eastAsia"/>
          <w:lang w:val="en-US" w:eastAsia="zh-CN"/>
        </w:rPr>
        <w:t>山亭</w:t>
      </w:r>
      <w:r>
        <w:rPr>
          <w:rFonts w:hint="default"/>
          <w:lang w:val="en-US" w:eastAsia="zh-CN"/>
        </w:rPr>
        <w:t>区</w:t>
      </w:r>
      <w:r>
        <w:rPr>
          <w:rFonts w:hint="eastAsia"/>
          <w:lang w:val="en-US" w:eastAsia="zh-CN"/>
        </w:rPr>
        <w:t>人民</w:t>
      </w:r>
      <w:r>
        <w:rPr>
          <w:rFonts w:hint="default"/>
          <w:lang w:val="en-US" w:eastAsia="zh-CN"/>
        </w:rPr>
        <w:t>政府工作部门，为正科级</w:t>
      </w:r>
      <w:r>
        <w:rPr>
          <w:rFonts w:hint="eastAsia"/>
          <w:lang w:val="en-US" w:eastAsia="zh-CN"/>
        </w:rPr>
        <w:t>单位</w:t>
      </w:r>
      <w:r>
        <w:rPr>
          <w:rFonts w:hint="default"/>
          <w:lang w:val="en-US" w:eastAsia="zh-CN"/>
        </w:rPr>
        <w:t>。</w:t>
      </w:r>
      <w:r>
        <w:rPr>
          <w:rFonts w:hint="eastAsia"/>
          <w:lang w:val="en-US" w:eastAsia="zh-CN"/>
        </w:rPr>
        <w:t>山亭区住建局</w:t>
      </w:r>
      <w:r>
        <w:rPr>
          <w:rFonts w:hint="eastAsia"/>
        </w:rPr>
        <w:t>贯彻执行党中央关于住房和城乡建设工作的方针政策和决策部署，落实省委、市委、区委工作要求，在履行职责中坚持和加强党对住房和城乡建设工作的集中统一领导</w:t>
      </w:r>
      <w:r>
        <w:rPr>
          <w:rFonts w:hint="eastAsia"/>
          <w:lang w:eastAsia="zh-CN"/>
        </w:rPr>
        <w:t>。</w:t>
      </w:r>
      <w:r>
        <w:rPr>
          <w:rFonts w:hint="eastAsia"/>
          <w:lang w:val="en-US" w:eastAsia="zh-CN"/>
        </w:rPr>
        <w:t>根据《山亭区住房和城乡建设局职能配置、内设机构和人员编制规定》，山亭区住建局内设办公室、城市建设管理股、工程建设管理股、村镇建设管理股、房地产业管理股五个股室，</w:t>
      </w:r>
      <w:r>
        <w:rPr>
          <w:rFonts w:hint="eastAsia"/>
        </w:rPr>
        <w:t>机关行政编制15名（含专职党务工作人员）</w:t>
      </w:r>
      <w:r>
        <w:rPr>
          <w:rFonts w:hint="eastAsia"/>
          <w:lang w:eastAsia="zh-CN"/>
        </w:rPr>
        <w:t>，</w:t>
      </w:r>
      <w:r>
        <w:rPr>
          <w:rFonts w:hint="eastAsia"/>
        </w:rPr>
        <w:t>设局长1名、副局长2名。</w:t>
      </w:r>
      <w:r>
        <w:rPr>
          <w:rFonts w:hint="eastAsia"/>
          <w:lang w:val="en-US" w:eastAsia="zh-CN"/>
        </w:rPr>
        <w:t>经评价工作组现场评价，目前山亭区住建局实际内设城市建设管理股、工程建设管理股、村镇建设管理股、房地产业管理股、公用事业股、污水处理中心、信息宣传股、法制股、党建办公室、安全生产监督管理办公室、人事股、办公室（含档案室、事务中心）、工会（计生办）、机关团委、财务审计股、住房保障服务中心（含房改办、物业办、房产交易所）等16个职能机构，行政编制实际在编人数11名。</w:t>
      </w:r>
    </w:p>
    <w:p>
      <w:pPr>
        <w:pStyle w:val="3"/>
        <w:bidi w:val="0"/>
        <w:rPr>
          <w:rFonts w:hint="eastAsia"/>
          <w:lang w:val="en-US" w:eastAsia="zh-CN"/>
        </w:rPr>
      </w:pPr>
      <w:bookmarkStart w:id="2" w:name="_Toc28292"/>
      <w:r>
        <w:rPr>
          <w:rFonts w:hint="eastAsia"/>
        </w:rPr>
        <w:t>（二）部门</w:t>
      </w:r>
      <w:r>
        <w:rPr>
          <w:rFonts w:hint="eastAsia"/>
          <w:lang w:val="en-US" w:eastAsia="zh-CN"/>
        </w:rPr>
        <w:t>职能及内设机构职能</w:t>
      </w:r>
      <w:bookmarkEnd w:id="2"/>
    </w:p>
    <w:p>
      <w:pPr>
        <w:pStyle w:val="4"/>
        <w:bidi w:val="0"/>
        <w:rPr>
          <w:rFonts w:hint="eastAsia"/>
          <w:lang w:val="en-US" w:eastAsia="zh-CN"/>
        </w:rPr>
      </w:pPr>
      <w:r>
        <w:rPr>
          <w:rFonts w:hint="eastAsia"/>
          <w:lang w:val="en-US" w:eastAsia="zh-CN"/>
        </w:rPr>
        <w:t>1、山亭区住建局职能</w:t>
      </w:r>
    </w:p>
    <w:p>
      <w:pPr>
        <w:bidi w:val="0"/>
        <w:rPr>
          <w:rFonts w:hint="eastAsia"/>
        </w:rPr>
      </w:pPr>
      <w:r>
        <w:rPr>
          <w:rFonts w:hint="eastAsia"/>
        </w:rPr>
        <w:t>（</w:t>
      </w:r>
      <w:r>
        <w:rPr>
          <w:rFonts w:hint="eastAsia"/>
          <w:lang w:val="en-US" w:eastAsia="zh-CN"/>
        </w:rPr>
        <w:t>1</w:t>
      </w:r>
      <w:r>
        <w:rPr>
          <w:rFonts w:hint="eastAsia"/>
        </w:rPr>
        <w:t>）贯彻执行住房和城乡建设方面法律、法规，拟订全区住房和城乡建设发展战略、发展规划并组织实施。起草住房和城乡建设的规范性文件并监督实施，研究提出住房和城乡建设重大问题政策建议。配合有关部门做好优化营商环境有关工作。</w:t>
      </w:r>
    </w:p>
    <w:p>
      <w:pPr>
        <w:bidi w:val="0"/>
        <w:rPr>
          <w:rFonts w:hint="eastAsia"/>
        </w:rPr>
      </w:pPr>
      <w:r>
        <w:rPr>
          <w:rFonts w:hint="eastAsia"/>
        </w:rPr>
        <w:t>（</w:t>
      </w:r>
      <w:r>
        <w:rPr>
          <w:rFonts w:hint="eastAsia"/>
          <w:lang w:val="en-US" w:eastAsia="zh-CN"/>
        </w:rPr>
        <w:t>2</w:t>
      </w:r>
      <w:r>
        <w:rPr>
          <w:rFonts w:hint="eastAsia"/>
        </w:rPr>
        <w:t>）负责推进新型城镇化建设，提高城镇化质量。组织开展新型城镇化战略研究，提出加快新型城镇化工作的政策建议。督促落实新型城镇化发展有关政策。</w:t>
      </w:r>
    </w:p>
    <w:p>
      <w:pPr>
        <w:bidi w:val="0"/>
        <w:rPr>
          <w:rFonts w:hint="eastAsia"/>
        </w:rPr>
      </w:pPr>
      <w:r>
        <w:rPr>
          <w:rFonts w:hint="eastAsia"/>
        </w:rPr>
        <w:t>（</w:t>
      </w:r>
      <w:r>
        <w:rPr>
          <w:rFonts w:hint="eastAsia"/>
          <w:lang w:val="en-US" w:eastAsia="zh-CN"/>
        </w:rPr>
        <w:t>3</w:t>
      </w:r>
      <w:r>
        <w:rPr>
          <w:rFonts w:hint="eastAsia"/>
        </w:rPr>
        <w:t>）承担推进建筑节能、城镇减排的工作，会同有关部门监督建筑节能政策实施，指导实施重大建筑节能项目。</w:t>
      </w:r>
    </w:p>
    <w:p>
      <w:pPr>
        <w:bidi w:val="0"/>
        <w:rPr>
          <w:rFonts w:hint="eastAsia"/>
        </w:rPr>
      </w:pPr>
      <w:r>
        <w:rPr>
          <w:rFonts w:hint="eastAsia"/>
        </w:rPr>
        <w:t>（</w:t>
      </w:r>
      <w:r>
        <w:rPr>
          <w:rFonts w:hint="eastAsia"/>
          <w:lang w:val="en-US" w:eastAsia="zh-CN"/>
        </w:rPr>
        <w:t>4</w:t>
      </w:r>
      <w:r>
        <w:rPr>
          <w:rFonts w:hint="eastAsia"/>
        </w:rPr>
        <w:t>）指导全区建筑活动，组织实施建筑工程项目招标投标活动的监督执法。负责监督管理全区建筑市场，规范建筑市场各方主体行为的规章制度并监督执行。组织协调建筑企业参与对外工程承包、建筑劳务合作。</w:t>
      </w:r>
    </w:p>
    <w:p>
      <w:pPr>
        <w:bidi w:val="0"/>
        <w:rPr>
          <w:rFonts w:hint="eastAsia"/>
        </w:rPr>
      </w:pPr>
      <w:r>
        <w:rPr>
          <w:rFonts w:hint="eastAsia"/>
        </w:rPr>
        <w:t>（</w:t>
      </w:r>
      <w:r>
        <w:rPr>
          <w:rFonts w:hint="eastAsia"/>
          <w:lang w:val="en-US" w:eastAsia="zh-CN"/>
        </w:rPr>
        <w:t>5</w:t>
      </w:r>
      <w:r>
        <w:rPr>
          <w:rFonts w:hint="eastAsia"/>
        </w:rPr>
        <w:t>）配合实施工程建设实施阶段的国家标准、全省统一定额和行业标准。参与监督各类工程建设标准定额的实施和工程造价计价。</w:t>
      </w:r>
    </w:p>
    <w:p>
      <w:pPr>
        <w:bidi w:val="0"/>
        <w:rPr>
          <w:rFonts w:hint="eastAsia"/>
        </w:rPr>
      </w:pPr>
      <w:r>
        <w:rPr>
          <w:rFonts w:hint="eastAsia"/>
        </w:rPr>
        <w:t>（</w:t>
      </w:r>
      <w:r>
        <w:rPr>
          <w:rFonts w:hint="eastAsia"/>
          <w:lang w:val="en-US" w:eastAsia="zh-CN"/>
        </w:rPr>
        <w:t>6</w:t>
      </w:r>
      <w:r>
        <w:rPr>
          <w:rFonts w:hint="eastAsia"/>
        </w:rPr>
        <w:t>）承担建筑工程质量安全监管责任，监督全区建筑工程质量、建筑安全生产和竣工验收备案的政策、制度的执行。组织落实建筑业技术政策的实施。</w:t>
      </w:r>
    </w:p>
    <w:p>
      <w:pPr>
        <w:bidi w:val="0"/>
        <w:rPr>
          <w:rFonts w:hint="eastAsia"/>
        </w:rPr>
      </w:pPr>
      <w:r>
        <w:rPr>
          <w:rFonts w:hint="eastAsia"/>
        </w:rPr>
        <w:t>（</w:t>
      </w:r>
      <w:r>
        <w:rPr>
          <w:rFonts w:hint="eastAsia"/>
          <w:lang w:val="en-US" w:eastAsia="zh-CN"/>
        </w:rPr>
        <w:t>7</w:t>
      </w:r>
      <w:r>
        <w:rPr>
          <w:rFonts w:hint="eastAsia"/>
        </w:rPr>
        <w:t>）监督全区城市设计、城市勘察以及工程勘察设计行业、城乡建设抗震防灾、工程抗震设防相关政策的实施。负责住房和城乡建设领域消防设计审查及验收、施工图审查和标准设计的监督管理。会同有关部门负责历史文化名镇、名村等特色村镇保护和监督的有关工作。</w:t>
      </w:r>
    </w:p>
    <w:p>
      <w:pPr>
        <w:bidi w:val="0"/>
        <w:rPr>
          <w:rFonts w:hint="eastAsia"/>
        </w:rPr>
      </w:pPr>
      <w:r>
        <w:rPr>
          <w:rFonts w:hint="eastAsia"/>
        </w:rPr>
        <w:t>（</w:t>
      </w:r>
      <w:r>
        <w:rPr>
          <w:rFonts w:hint="eastAsia"/>
          <w:lang w:val="en-US" w:eastAsia="zh-CN"/>
        </w:rPr>
        <w:t>8</w:t>
      </w:r>
      <w:r>
        <w:rPr>
          <w:rFonts w:hint="eastAsia"/>
        </w:rPr>
        <w:t>）负责城市建设有关工作。组织实施全区城市建设、燃气、供热行业政策、规划。会同有关部门编制城市建设年度计划。管理城市建设档案；负责燃气、供热监督管理工作。负责建设行业统计工作，负责燃气经营许可证和燃气经营许可年检事项。</w:t>
      </w:r>
    </w:p>
    <w:p>
      <w:pPr>
        <w:bidi w:val="0"/>
        <w:rPr>
          <w:rFonts w:hint="eastAsia"/>
        </w:rPr>
      </w:pPr>
      <w:r>
        <w:rPr>
          <w:rFonts w:hint="eastAsia"/>
        </w:rPr>
        <w:t>（</w:t>
      </w:r>
      <w:r>
        <w:rPr>
          <w:rFonts w:hint="eastAsia"/>
          <w:lang w:val="en-US" w:eastAsia="zh-CN"/>
        </w:rPr>
        <w:t>9</w:t>
      </w:r>
      <w:r>
        <w:rPr>
          <w:rFonts w:hint="eastAsia"/>
        </w:rPr>
        <w:t>）指导全区村庄和小城镇建设的工作。指导农村住房建设、农村住房安全和危房改造、村镇建设试点工作。指导小城镇人居环境改善工作。</w:t>
      </w:r>
    </w:p>
    <w:p>
      <w:pPr>
        <w:bidi w:val="0"/>
        <w:rPr>
          <w:rFonts w:hint="eastAsia"/>
        </w:rPr>
      </w:pPr>
      <w:r>
        <w:rPr>
          <w:rFonts w:hint="eastAsia"/>
        </w:rPr>
        <w:t>（</w:t>
      </w:r>
      <w:r>
        <w:rPr>
          <w:rFonts w:hint="eastAsia"/>
          <w:lang w:val="en-US" w:eastAsia="zh-CN"/>
        </w:rPr>
        <w:t>10</w:t>
      </w:r>
      <w:r>
        <w:rPr>
          <w:rFonts w:hint="eastAsia"/>
        </w:rPr>
        <w:t>）贯彻落实房地产业发展规划和产业政策，并监督实施；承担规范房地产市场秩序，监督房地产市场监管政策的执行。负责全区房地产开发、房屋交易、房屋租赁、房屋面积管理、房地产估价、房屋中介的管理工作，参与制定国有土地上房屋征收与补偿的规章制度并监督执行。协同有关部门指导房屋登记工作，共同推进不动产登记信息基础平台建设。负责物业管理相关政策的监督实施。加强物业服务企业经营活动的监督管理，负责管理房屋专项维修资金的缴存和划拨前使用审核及使用的监督；指导物业公共部分及公用设施交付管理。</w:t>
      </w:r>
    </w:p>
    <w:p>
      <w:pPr>
        <w:bidi w:val="0"/>
        <w:rPr>
          <w:rFonts w:hint="eastAsia"/>
        </w:rPr>
      </w:pPr>
      <w:r>
        <w:rPr>
          <w:rFonts w:hint="eastAsia"/>
        </w:rPr>
        <w:t>（</w:t>
      </w:r>
      <w:r>
        <w:rPr>
          <w:rFonts w:hint="eastAsia"/>
          <w:lang w:val="en-US" w:eastAsia="zh-CN"/>
        </w:rPr>
        <w:t>11</w:t>
      </w:r>
      <w:r>
        <w:rPr>
          <w:rFonts w:hint="eastAsia"/>
        </w:rPr>
        <w:t>）负责城镇中等偏下收入和低收入家庭住房保障工作，指导并组织实施住房保障相关政策。会同有关部门做好中央和省、市、区城镇保障性安居工程资金安排并监督实施。编制全区住房保障发展规划和年度计划并监督实施，配合有关部门推进全区住房制度改革工作。</w:t>
      </w:r>
    </w:p>
    <w:p>
      <w:pPr>
        <w:bidi w:val="0"/>
        <w:rPr>
          <w:rFonts w:hint="eastAsia"/>
        </w:rPr>
      </w:pPr>
      <w:r>
        <w:rPr>
          <w:rFonts w:hint="eastAsia"/>
        </w:rPr>
        <w:t>（</w:t>
      </w:r>
      <w:r>
        <w:rPr>
          <w:rFonts w:hint="eastAsia"/>
          <w:lang w:val="en-US" w:eastAsia="zh-CN"/>
        </w:rPr>
        <w:t>12</w:t>
      </w:r>
      <w:r>
        <w:rPr>
          <w:rFonts w:hint="eastAsia"/>
        </w:rPr>
        <w:t>）监督检查住房和城乡建设法律、法规执行情况，牵头查处重大违法案件。</w:t>
      </w:r>
    </w:p>
    <w:p>
      <w:pPr>
        <w:bidi w:val="0"/>
        <w:rPr>
          <w:rFonts w:hint="eastAsia"/>
        </w:rPr>
      </w:pPr>
      <w:r>
        <w:rPr>
          <w:rFonts w:hint="eastAsia"/>
        </w:rPr>
        <w:t>（</w:t>
      </w:r>
      <w:r>
        <w:rPr>
          <w:rFonts w:hint="eastAsia"/>
          <w:lang w:val="en-US" w:eastAsia="zh-CN"/>
        </w:rPr>
        <w:t>13</w:t>
      </w:r>
      <w:r>
        <w:rPr>
          <w:rFonts w:hint="eastAsia"/>
        </w:rPr>
        <w:t>）负责全区住房和城乡建设领域人才队伍建设，开展住房和城乡建设方面的交流与合作。负责配合有关部门指导本行业社会组织党建工作。</w:t>
      </w:r>
    </w:p>
    <w:p>
      <w:pPr>
        <w:bidi w:val="0"/>
        <w:rPr>
          <w:rFonts w:hint="eastAsia"/>
        </w:rPr>
      </w:pPr>
      <w:r>
        <w:rPr>
          <w:rFonts w:hint="eastAsia"/>
        </w:rPr>
        <w:t>（</w:t>
      </w:r>
      <w:r>
        <w:rPr>
          <w:rFonts w:hint="eastAsia"/>
          <w:lang w:val="en-US" w:eastAsia="zh-CN"/>
        </w:rPr>
        <w:t>14</w:t>
      </w:r>
      <w:r>
        <w:rPr>
          <w:rFonts w:hint="eastAsia"/>
        </w:rPr>
        <w:t>）贯彻执行人防工作法律、法规，参与编制城市地下空间开发利用规划、重要经济目标防护建设总体规划。参与实施人防指挥工作，组织管理全区人防工程建设，执行国家人防工程防护标准和质量标准，负责人防工程设计、监理、质量和单建人防工程安全监管有关工作。按照国家有关规定，负责防空地下室防护方面的设计审查和质量监督。管理结合民用建筑修建防空地下室工作。战时在区人防指挥部统一领导下，根据有关命令、指示，组织开展人民防空准备、人民防空转入战时体制工作，负责发布防空袭警报、指挥人民防空疏散、防护重要经济目标、实施城市人民防空管制等工作。负责组织消除空袭后果。协助有关部门恢复生产生活秩序。为区人防指挥所提供后勤保障。</w:t>
      </w:r>
    </w:p>
    <w:p>
      <w:pPr>
        <w:bidi w:val="0"/>
        <w:rPr>
          <w:rFonts w:hint="eastAsia"/>
        </w:rPr>
      </w:pPr>
      <w:r>
        <w:rPr>
          <w:rFonts w:hint="eastAsia"/>
        </w:rPr>
        <w:t>（</w:t>
      </w:r>
      <w:r>
        <w:rPr>
          <w:rFonts w:hint="eastAsia"/>
          <w:lang w:val="en-US" w:eastAsia="zh-CN"/>
        </w:rPr>
        <w:t>15</w:t>
      </w:r>
      <w:r>
        <w:rPr>
          <w:rFonts w:hint="eastAsia"/>
        </w:rPr>
        <w:t>）承办区委、区政府交办的其他事项。</w:t>
      </w:r>
    </w:p>
    <w:p>
      <w:pPr>
        <w:pStyle w:val="4"/>
        <w:bidi w:val="0"/>
        <w:rPr>
          <w:rFonts w:hint="eastAsia"/>
          <w:lang w:val="en-US" w:eastAsia="zh-CN"/>
        </w:rPr>
      </w:pPr>
      <w:r>
        <w:rPr>
          <w:rFonts w:hint="eastAsia"/>
          <w:lang w:val="en-US" w:eastAsia="zh-CN"/>
        </w:rPr>
        <w:t>2、各内设机构职能</w:t>
      </w:r>
    </w:p>
    <w:p>
      <w:pPr>
        <w:rPr>
          <w:rFonts w:hint="eastAsia"/>
          <w:lang w:val="en-US" w:eastAsia="zh-CN"/>
        </w:rPr>
      </w:pPr>
      <w:r>
        <w:rPr>
          <w:rFonts w:hint="eastAsia"/>
          <w:b/>
          <w:bCs/>
          <w:lang w:val="en-US" w:eastAsia="zh-CN"/>
        </w:rPr>
        <w:t>（1）</w:t>
      </w:r>
      <w:r>
        <w:rPr>
          <w:rFonts w:hint="eastAsia"/>
          <w:b/>
          <w:bCs/>
          <w:lang w:val="en-US" w:eastAsia="zh-CN"/>
        </w:rPr>
        <w:t>城市建设管理股：</w:t>
      </w:r>
      <w:r>
        <w:rPr>
          <w:rFonts w:hint="eastAsia"/>
          <w:lang w:val="en-US" w:eastAsia="zh-CN"/>
        </w:rPr>
        <w:t>拟订城市建设发展规划、改革措施；指导城市重大基础设施项目建设工作；指导城市地铁、轨道交通建设；指导海绵城市、综合管廊规划建设有关工作；会同有关部门研究重点城市基础设施工程项目计划并指导、监督执行；负责行业统计工作。</w:t>
      </w:r>
    </w:p>
    <w:p>
      <w:pPr>
        <w:rPr>
          <w:rFonts w:hint="eastAsia"/>
          <w:lang w:val="en-US" w:eastAsia="zh-CN"/>
        </w:rPr>
      </w:pPr>
      <w:r>
        <w:rPr>
          <w:rFonts w:hint="eastAsia"/>
          <w:b/>
          <w:bCs/>
          <w:lang w:val="en-US" w:eastAsia="zh-CN"/>
        </w:rPr>
        <w:t>（2）</w:t>
      </w:r>
      <w:r>
        <w:rPr>
          <w:rFonts w:hint="eastAsia"/>
          <w:b/>
          <w:bCs/>
          <w:lang w:val="en-US" w:eastAsia="zh-CN"/>
        </w:rPr>
        <w:t>工程建设管理股：</w:t>
      </w:r>
      <w:r>
        <w:rPr>
          <w:rFonts w:hint="eastAsia"/>
          <w:lang w:val="en-US" w:eastAsia="zh-CN"/>
        </w:rPr>
        <w:t>监督管理建筑市场，规范市场各方主体行为；实施工程施工图和设计文件的审查报审、招标投标管理工作；负责建筑安装、建筑装饰类施工企业的资质初审和上报工作，并实施监督管理；负责《建筑工程施工可许证》管理工作；建筑施工企业劳保统筹的管理工作；参与建设行业农民工工资的清理；负责房屋建筑工程现场文明施工和安全生产管理工作；贯彻落实房屋工程安全生产方面的法律、法规、政策并指导实施，组织或参与工程安全事故的调查处理；承担推进建筑节能、减排的工作；监督实施建筑节能政策,配合建筑节能的验收工作；贯彻落实国家、省、市有关墙体材料革新的法律、政策。应用新型墙体材料规划、政策、制度并指导实施；监督执行各类工程的概算预算定额、费用定额、劳动定额、建设设计标准；负责监督管理建设市场中有关工程造价计价方面的工作。</w:t>
      </w:r>
    </w:p>
    <w:p>
      <w:pPr>
        <w:rPr>
          <w:rFonts w:hint="eastAsia"/>
          <w:lang w:val="en-US" w:eastAsia="zh-CN"/>
        </w:rPr>
      </w:pPr>
      <w:r>
        <w:rPr>
          <w:rFonts w:hint="eastAsia"/>
          <w:b/>
          <w:bCs/>
          <w:lang w:val="en-US" w:eastAsia="zh-CN"/>
        </w:rPr>
        <w:t>（3）</w:t>
      </w:r>
      <w:r>
        <w:rPr>
          <w:rFonts w:hint="eastAsia"/>
          <w:b/>
          <w:bCs/>
          <w:lang w:val="en-US" w:eastAsia="zh-CN"/>
        </w:rPr>
        <w:t>村镇建设管理股：</w:t>
      </w:r>
      <w:r>
        <w:rPr>
          <w:rFonts w:hint="eastAsia"/>
          <w:lang w:val="en-US" w:eastAsia="zh-CN"/>
        </w:rPr>
        <w:t>组织开展新型城镇化发展战略研究，制定新型城镇化、农业转移人口市民化工作的政策措施并监督实施；指导各镇（街）推进新型城镇化工作，督促落实新型城镇化政策措施；组织推进新型城镇化试点示范等有关工作；组织开展城镇化统计监测；拟订新型城镇化工作考核指标体系并组织实施；参与拟订小城镇和村庄建设管理政策并指导实施；参与镇、村庄规划的编制和指导实施工作；指导历史文化名镇、名村等特色村镇保护和监督的有关工作；指导农村住房建设和危房改造、限额以下乡村住房质量安全工作；组织村镇建设试点工作，指导全国重点镇、省级示范镇、各类特色小镇和美丽村居建设；指导小城镇和村庄人居生态环境的改善工作。</w:t>
      </w:r>
    </w:p>
    <w:p>
      <w:pPr>
        <w:rPr>
          <w:rFonts w:hint="eastAsia"/>
          <w:lang w:val="en-US" w:eastAsia="zh-CN"/>
        </w:rPr>
      </w:pPr>
      <w:r>
        <w:rPr>
          <w:rFonts w:hint="eastAsia"/>
          <w:b/>
          <w:bCs/>
          <w:lang w:val="en-US" w:eastAsia="zh-CN"/>
        </w:rPr>
        <w:t>（4）</w:t>
      </w:r>
      <w:r>
        <w:rPr>
          <w:rFonts w:hint="eastAsia"/>
          <w:b/>
          <w:bCs/>
          <w:lang w:val="en-US" w:eastAsia="zh-CN"/>
        </w:rPr>
        <w:t>房地产业管理股：</w:t>
      </w:r>
      <w:r>
        <w:rPr>
          <w:rFonts w:hint="eastAsia"/>
          <w:lang w:val="en-US" w:eastAsia="zh-CN"/>
        </w:rPr>
        <w:t>指导全区住房建设管理工作，负责房地产市场和物业服务市场监督管理工作，负责稳定住房价格措施的落实并监督执行；负责监督房地产开发、房屋交易和产权管理（前置审批、房源检验）、房屋租赁、房屋面积管理、房屋中介管理、国有土地上房屋征收、物业服务业的规章制度的实施；指导监督房屋交易与产权档案管理；协助指导房屋登记工作；负责全区房地产市场信息系统建设管理工作；指导推进保障性安居工程的政策措施的实施，会同有关部门做好国家、省、市、区扶持资金的分配和使用监督；负责监督房屋装饰装修政策的实施。</w:t>
      </w:r>
    </w:p>
    <w:p>
      <w:pPr>
        <w:rPr>
          <w:rFonts w:hint="eastAsia"/>
          <w:lang w:val="en-US" w:eastAsia="zh-CN"/>
        </w:rPr>
      </w:pPr>
      <w:r>
        <w:rPr>
          <w:rFonts w:hint="eastAsia"/>
          <w:b/>
          <w:bCs/>
          <w:lang w:val="en-US" w:eastAsia="zh-CN"/>
        </w:rPr>
        <w:t>（5）</w:t>
      </w:r>
      <w:r>
        <w:rPr>
          <w:rFonts w:hint="eastAsia"/>
          <w:b/>
          <w:bCs/>
          <w:lang w:val="en-US" w:eastAsia="zh-CN"/>
        </w:rPr>
        <w:t>公用事业股：</w:t>
      </w:r>
      <w:r>
        <w:rPr>
          <w:rFonts w:hint="eastAsia"/>
          <w:lang w:val="en-US" w:eastAsia="zh-CN"/>
        </w:rPr>
        <w:t>负责全区燃气、供热的管理与监督。</w:t>
      </w:r>
    </w:p>
    <w:p>
      <w:pPr>
        <w:rPr>
          <w:rFonts w:hint="eastAsia"/>
          <w:lang w:val="en-US" w:eastAsia="zh-CN"/>
        </w:rPr>
      </w:pPr>
      <w:r>
        <w:rPr>
          <w:rFonts w:hint="eastAsia"/>
          <w:b/>
          <w:bCs/>
          <w:lang w:val="en-US" w:eastAsia="zh-CN"/>
        </w:rPr>
        <w:t>（6）</w:t>
      </w:r>
      <w:r>
        <w:rPr>
          <w:rFonts w:hint="eastAsia"/>
          <w:b/>
          <w:bCs/>
          <w:lang w:val="en-US" w:eastAsia="zh-CN"/>
        </w:rPr>
        <w:t>污水处理中心：</w:t>
      </w:r>
      <w:r>
        <w:rPr>
          <w:rFonts w:hint="eastAsia"/>
          <w:lang w:val="en-US" w:eastAsia="zh-CN"/>
        </w:rPr>
        <w:t>监督城市生活污水处理厂正常运营，负责排水数据统计及上报；城区排水管网的巡查、维护维修。</w:t>
      </w:r>
    </w:p>
    <w:p>
      <w:pPr>
        <w:rPr>
          <w:rFonts w:hint="eastAsia"/>
          <w:lang w:val="en-US" w:eastAsia="zh-CN"/>
        </w:rPr>
      </w:pPr>
      <w:r>
        <w:rPr>
          <w:rFonts w:hint="eastAsia"/>
          <w:b/>
          <w:bCs/>
          <w:lang w:val="en-US" w:eastAsia="zh-CN"/>
        </w:rPr>
        <w:t>（7）</w:t>
      </w:r>
      <w:r>
        <w:rPr>
          <w:rFonts w:hint="eastAsia"/>
          <w:b/>
          <w:bCs/>
          <w:lang w:val="en-US" w:eastAsia="zh-CN"/>
        </w:rPr>
        <w:t>信息宣传股：</w:t>
      </w:r>
      <w:r>
        <w:rPr>
          <w:rFonts w:hint="eastAsia"/>
          <w:lang w:val="en-US" w:eastAsia="zh-CN"/>
        </w:rPr>
        <w:t>通过新闻媒体、电视、网络等渠道对外宣传项目动态、进展及先进工作经验；向区委信息室、区委区政府信息中心上报信息；起草领导讲话稿、方案、总结、报告等工作。</w:t>
      </w:r>
    </w:p>
    <w:p>
      <w:pPr>
        <w:rPr>
          <w:rFonts w:hint="default"/>
          <w:lang w:val="en-US" w:eastAsia="zh-CN"/>
        </w:rPr>
      </w:pPr>
      <w:r>
        <w:rPr>
          <w:rFonts w:hint="eastAsia"/>
          <w:b/>
          <w:bCs/>
          <w:lang w:val="en-US" w:eastAsia="zh-CN"/>
        </w:rPr>
        <w:t>（8）</w:t>
      </w:r>
      <w:r>
        <w:rPr>
          <w:rFonts w:hint="eastAsia"/>
          <w:b/>
          <w:bCs/>
          <w:lang w:val="en-US" w:eastAsia="zh-CN"/>
        </w:rPr>
        <w:t>办公室：</w:t>
      </w:r>
      <w:r>
        <w:rPr>
          <w:rFonts w:hint="eastAsia"/>
          <w:lang w:val="en-US" w:eastAsia="zh-CN"/>
        </w:rPr>
        <w:t>组织协调日常生活；做好文件、通知的上传下达；负责信访的接访、转办、督办。</w:t>
      </w:r>
    </w:p>
    <w:p>
      <w:pPr>
        <w:rPr>
          <w:rFonts w:hint="eastAsia"/>
          <w:lang w:val="en-US" w:eastAsia="zh-CN"/>
        </w:rPr>
      </w:pPr>
      <w:r>
        <w:rPr>
          <w:rFonts w:hint="eastAsia"/>
          <w:b/>
          <w:bCs/>
          <w:lang w:val="en-US" w:eastAsia="zh-CN"/>
        </w:rPr>
        <w:t>事务中心：</w:t>
      </w:r>
      <w:r>
        <w:rPr>
          <w:rFonts w:hint="eastAsia"/>
          <w:lang w:val="en-US" w:eastAsia="zh-CN"/>
        </w:rPr>
        <w:t>职能为提供职工就餐、门卫、办公楼卫生、供水供电、工作餐、办公用品的购置等基本保障服务。</w:t>
      </w:r>
    </w:p>
    <w:p>
      <w:pPr>
        <w:rPr>
          <w:rFonts w:hint="default"/>
          <w:lang w:val="en-US" w:eastAsia="zh-CN"/>
        </w:rPr>
      </w:pPr>
      <w:r>
        <w:rPr>
          <w:rFonts w:hint="eastAsia"/>
          <w:b/>
          <w:bCs/>
          <w:lang w:val="en-US" w:eastAsia="zh-CN"/>
        </w:rPr>
        <w:t>档案室：</w:t>
      </w:r>
      <w:r>
        <w:rPr>
          <w:rFonts w:hint="eastAsia"/>
          <w:lang w:val="en-US" w:eastAsia="zh-CN"/>
        </w:rPr>
        <w:t>贯彻执行档案工作的法律、法规和方针政策，制定本单位档案管理规章制度；负责接收、整理、分类、保管文书、财务、城建档案等资料；开展各类档案的利用工作，制定档案工作计划，进行工作总结；对接收各类档案资料进行科学管理，积极开发利用，为城市各项工作服务；对全区建设单位的城建档案工作进行监督、检查和指导，并参加建设工程和地下管线的竣工验收。</w:t>
      </w:r>
    </w:p>
    <w:p>
      <w:pPr>
        <w:rPr>
          <w:rFonts w:hint="eastAsia"/>
          <w:lang w:val="en-US" w:eastAsia="zh-CN"/>
        </w:rPr>
      </w:pPr>
      <w:r>
        <w:rPr>
          <w:rFonts w:hint="eastAsia"/>
          <w:b/>
          <w:bCs/>
          <w:lang w:val="en-US" w:eastAsia="zh-CN"/>
        </w:rPr>
        <w:t>（9）</w:t>
      </w:r>
      <w:r>
        <w:rPr>
          <w:rFonts w:hint="eastAsia"/>
          <w:b/>
          <w:bCs/>
          <w:lang w:val="en-US" w:eastAsia="zh-CN"/>
        </w:rPr>
        <w:t>人事股：</w:t>
      </w:r>
      <w:r>
        <w:rPr>
          <w:rFonts w:hint="eastAsia"/>
          <w:lang w:val="en-US" w:eastAsia="zh-CN"/>
        </w:rPr>
        <w:t>承办人事劳资、机构编制和离退休管理与服务工作。</w:t>
      </w:r>
    </w:p>
    <w:p>
      <w:pPr>
        <w:rPr>
          <w:rFonts w:hint="eastAsia"/>
          <w:b w:val="0"/>
          <w:bCs w:val="0"/>
          <w:lang w:val="en-US" w:eastAsia="zh-CN"/>
        </w:rPr>
      </w:pPr>
      <w:r>
        <w:rPr>
          <w:rFonts w:hint="eastAsia"/>
          <w:b/>
          <w:bCs/>
          <w:lang w:val="en-US" w:eastAsia="zh-CN"/>
        </w:rPr>
        <w:t>（10）</w:t>
      </w:r>
      <w:r>
        <w:rPr>
          <w:rFonts w:hint="eastAsia"/>
          <w:b/>
          <w:bCs/>
          <w:lang w:val="en-US" w:eastAsia="zh-CN"/>
        </w:rPr>
        <w:t>财务审计科：</w:t>
      </w:r>
      <w:r>
        <w:rPr>
          <w:rFonts w:hint="eastAsia"/>
          <w:b w:val="0"/>
          <w:bCs w:val="0"/>
          <w:lang w:val="en-US" w:eastAsia="zh-CN"/>
        </w:rPr>
        <w:t>负责本部门财务和国有资产管理工作；负责本部门预算编报和具体执行，负责本部门决算编报；负责本部门资金的收支核算、票据管理、员工工资福利的发放等工作；负责城建资金的申请与拨付；负责下属单位的审计调查工作；配合财政、审计部门做好监督检查等工作。</w:t>
      </w:r>
    </w:p>
    <w:p>
      <w:pPr>
        <w:rPr>
          <w:rFonts w:hint="eastAsia"/>
          <w:lang w:val="en-US" w:eastAsia="zh-CN"/>
        </w:rPr>
      </w:pPr>
      <w:r>
        <w:rPr>
          <w:rFonts w:hint="eastAsia"/>
          <w:b/>
          <w:bCs/>
          <w:lang w:val="en-US" w:eastAsia="zh-CN"/>
        </w:rPr>
        <w:t>（11）</w:t>
      </w:r>
      <w:r>
        <w:rPr>
          <w:rFonts w:hint="eastAsia"/>
          <w:b/>
          <w:bCs/>
          <w:lang w:val="en-US" w:eastAsia="zh-CN"/>
        </w:rPr>
        <w:t>党建办：</w:t>
      </w:r>
      <w:r>
        <w:rPr>
          <w:rFonts w:hint="eastAsia"/>
          <w:lang w:val="en-US" w:eastAsia="zh-CN"/>
        </w:rPr>
        <w:t>积极宣传党的政治主张，把各级党组织的决策、意图传达给干部群众，做好向干部群众的宣传解释工作，做到上情下达；把了解到的干部群众的意见、要求、困难及时反映给各级党组织和有关行政领导，做到下情上达。</w:t>
      </w:r>
    </w:p>
    <w:p>
      <w:pPr>
        <w:rPr>
          <w:rFonts w:hint="eastAsia"/>
          <w:lang w:val="en-US" w:eastAsia="zh-CN"/>
        </w:rPr>
      </w:pPr>
      <w:r>
        <w:rPr>
          <w:rFonts w:hint="eastAsia"/>
          <w:b/>
          <w:bCs/>
          <w:lang w:val="en-US" w:eastAsia="zh-CN"/>
        </w:rPr>
        <w:t>（12）</w:t>
      </w:r>
      <w:r>
        <w:rPr>
          <w:rFonts w:hint="eastAsia"/>
          <w:b/>
          <w:bCs/>
          <w:lang w:val="en-US" w:eastAsia="zh-CN"/>
        </w:rPr>
        <w:t>安监办：</w:t>
      </w:r>
      <w:r>
        <w:rPr>
          <w:rFonts w:hint="eastAsia"/>
          <w:lang w:val="en-US" w:eastAsia="zh-CN"/>
        </w:rPr>
        <w:t>督促内部科室，针对相应行业进行安全生产的监督检查，制定安全预案等。</w:t>
      </w:r>
    </w:p>
    <w:p>
      <w:pPr>
        <w:rPr>
          <w:rFonts w:hint="default"/>
          <w:lang w:val="en-US" w:eastAsia="zh-CN"/>
        </w:rPr>
      </w:pPr>
      <w:r>
        <w:rPr>
          <w:rFonts w:hint="eastAsia"/>
          <w:b/>
          <w:bCs/>
          <w:lang w:val="en-US" w:eastAsia="zh-CN"/>
        </w:rPr>
        <w:t>（13）</w:t>
      </w:r>
      <w:r>
        <w:rPr>
          <w:rFonts w:hint="eastAsia"/>
          <w:b/>
          <w:bCs/>
          <w:lang w:val="en-US" w:eastAsia="zh-CN"/>
        </w:rPr>
        <w:t>法制股：</w:t>
      </w:r>
      <w:r>
        <w:rPr>
          <w:rFonts w:hint="eastAsia"/>
          <w:lang w:val="en-US" w:eastAsia="zh-CN"/>
        </w:rPr>
        <w:t>贯彻执行住房和城乡建设行业政策和法律、法规、规章；负责住房和城乡建设系统法制建设，指导普法、行政执法及行政执法监督工作，承办相关行政复议和行政应诉工作；负责规范执法文书和执法证件的管理。</w:t>
      </w:r>
    </w:p>
    <w:p>
      <w:pPr>
        <w:rPr>
          <w:rFonts w:hint="eastAsia"/>
          <w:lang w:val="en-US" w:eastAsia="zh-CN"/>
        </w:rPr>
      </w:pPr>
      <w:r>
        <w:rPr>
          <w:rFonts w:hint="eastAsia"/>
          <w:b/>
          <w:bCs/>
          <w:lang w:val="en-US" w:eastAsia="zh-CN"/>
        </w:rPr>
        <w:t>（14）</w:t>
      </w:r>
      <w:r>
        <w:rPr>
          <w:rFonts w:hint="eastAsia"/>
          <w:b/>
          <w:bCs/>
          <w:lang w:val="en-US" w:eastAsia="zh-CN"/>
        </w:rPr>
        <w:t>工会（计生办）：</w:t>
      </w:r>
      <w:r>
        <w:rPr>
          <w:rFonts w:hint="eastAsia"/>
          <w:lang w:val="en-US" w:eastAsia="zh-CN"/>
        </w:rPr>
        <w:t>做好职工思想政治工作；依法维护职工的民主权利；组织职工开展社会主义劳动竞赛；维护职工的学习权利；保障职工生活福利；关心职工劳动条件的改善；维护女职工的合法权益；收好、管好、用好工会经费、坚持工会的民主制度和民主生活，对会员进行工会基本知识的教育；局系统计划生育各项政策落实和管理工作。</w:t>
      </w:r>
    </w:p>
    <w:p>
      <w:pPr>
        <w:rPr>
          <w:rFonts w:hint="eastAsia"/>
          <w:b w:val="0"/>
          <w:bCs w:val="0"/>
          <w:lang w:val="en-US" w:eastAsia="zh-CN"/>
        </w:rPr>
      </w:pPr>
      <w:r>
        <w:rPr>
          <w:rFonts w:hint="eastAsia"/>
          <w:b/>
          <w:bCs/>
          <w:lang w:val="en-US" w:eastAsia="zh-CN"/>
        </w:rPr>
        <w:t>（15）</w:t>
      </w:r>
      <w:r>
        <w:rPr>
          <w:rFonts w:hint="eastAsia"/>
          <w:b/>
          <w:bCs/>
          <w:lang w:val="en-US" w:eastAsia="zh-CN"/>
        </w:rPr>
        <w:t>机关团委：</w:t>
      </w:r>
      <w:r>
        <w:rPr>
          <w:rFonts w:hint="eastAsia"/>
          <w:b w:val="0"/>
          <w:bCs w:val="0"/>
          <w:lang w:val="en-US" w:eastAsia="zh-CN"/>
        </w:rPr>
        <w:t>开展志愿者服务活动，提高服务意识。</w:t>
      </w:r>
    </w:p>
    <w:p>
      <w:pPr>
        <w:rPr>
          <w:rFonts w:hint="default"/>
          <w:b w:val="0"/>
          <w:bCs w:val="0"/>
          <w:highlight w:val="yellow"/>
          <w:lang w:val="en-US" w:eastAsia="zh-CN"/>
        </w:rPr>
      </w:pPr>
      <w:r>
        <w:rPr>
          <w:rFonts w:hint="eastAsia"/>
          <w:b/>
          <w:bCs/>
          <w:highlight w:val="none"/>
          <w:lang w:val="en-US" w:eastAsia="zh-CN"/>
        </w:rPr>
        <w:t>（16）</w:t>
      </w:r>
      <w:r>
        <w:rPr>
          <w:rFonts w:hint="eastAsia"/>
          <w:b/>
          <w:bCs/>
          <w:highlight w:val="none"/>
          <w:lang w:val="en-US" w:eastAsia="zh-CN"/>
        </w:rPr>
        <w:t>住房保障服务中心：</w:t>
      </w:r>
      <w:r>
        <w:rPr>
          <w:rFonts w:hint="eastAsia"/>
          <w:b w:val="0"/>
          <w:bCs w:val="0"/>
          <w:highlight w:val="none"/>
          <w:lang w:val="en-US" w:eastAsia="zh-CN"/>
        </w:rPr>
        <w:t>负责住房保障的登记申请和审核工作；负责经济适用住房、公共租赁住房建设计划编报、分配和日常管理工作；负责住房租赁补贴的发放工作；负责已购经济适用住房上市交易管理工作；加强全区房地产中介机构专项整治工作;房产测绘工作；房产信息核查工作；负责指导全区物业企业管理工作；负责全区住宅维修资金收集、管理和使用；负责住宅小区前期物业合同进行备案管理；负责全区老旧小区实施改造工作。</w:t>
      </w:r>
    </w:p>
    <w:p>
      <w:pPr>
        <w:pStyle w:val="3"/>
        <w:bidi w:val="0"/>
        <w:rPr>
          <w:rFonts w:hint="eastAsia"/>
        </w:rPr>
      </w:pPr>
      <w:bookmarkStart w:id="3" w:name="_Toc11688"/>
      <w:r>
        <w:rPr>
          <w:rFonts w:hint="eastAsia"/>
        </w:rPr>
        <w:t>（</w:t>
      </w:r>
      <w:r>
        <w:rPr>
          <w:rFonts w:hint="eastAsia"/>
          <w:lang w:val="en-US" w:eastAsia="zh-CN"/>
        </w:rPr>
        <w:t>三</w:t>
      </w:r>
      <w:r>
        <w:rPr>
          <w:rFonts w:hint="eastAsia"/>
        </w:rPr>
        <w:t>）预算资金及支出情况</w:t>
      </w:r>
      <w:bookmarkEnd w:id="3"/>
    </w:p>
    <w:p>
      <w:pPr>
        <w:pStyle w:val="4"/>
        <w:bidi w:val="0"/>
        <w:rPr>
          <w:rFonts w:hint="eastAsia"/>
          <w:highlight w:val="none"/>
          <w:lang w:val="en-US" w:eastAsia="zh-CN"/>
        </w:rPr>
      </w:pPr>
      <w:r>
        <w:rPr>
          <w:rFonts w:hint="eastAsia"/>
          <w:highlight w:val="none"/>
          <w:lang w:val="en-US" w:eastAsia="zh-CN"/>
        </w:rPr>
        <w:t>1、部门收支情况</w:t>
      </w:r>
    </w:p>
    <w:p>
      <w:pPr>
        <w:rPr>
          <w:rFonts w:hint="default"/>
          <w:lang w:val="en-US" w:eastAsia="zh-CN"/>
        </w:rPr>
      </w:pPr>
      <w:r>
        <w:rPr>
          <w:rFonts w:hint="eastAsia"/>
          <w:lang w:val="en-US" w:eastAsia="zh-CN"/>
        </w:rPr>
        <w:t>根据山亭区住建局的预算报表及决算报表统计，2019年山亭区住建局经批复的预算资金为3170.5万元，支出资金为18897.59万元，预算执行率为596.11%，其中基本支出的预算执行率为827.59%，项目支出的预算执行率为582.98%。具体的预算资金收入和决算资金收入情况见表1-1，预算资金支出和决算资金支出情况见表1-2。</w:t>
      </w:r>
    </w:p>
    <w:p>
      <w:pPr>
        <w:pStyle w:val="5"/>
        <w:bidi w:val="0"/>
        <w:jc w:val="center"/>
        <w:rPr>
          <w:rFonts w:hint="eastAsia"/>
          <w:lang w:val="en-US" w:eastAsia="zh-CN"/>
        </w:rPr>
      </w:pPr>
      <w:r>
        <w:rPr>
          <w:rFonts w:hint="eastAsia"/>
          <w:lang w:val="en-US" w:eastAsia="zh-CN"/>
        </w:rPr>
        <w:t>表1-1：2019年山亭区住建局预算资金和决算资金收入情况表</w:t>
      </w:r>
    </w:p>
    <w:tbl>
      <w:tblPr>
        <w:tblStyle w:val="11"/>
        <w:tblW w:w="8209" w:type="dxa"/>
        <w:jc w:val="center"/>
        <w:shd w:val="clear" w:color="auto" w:fill="auto"/>
        <w:tblLayout w:type="fixed"/>
        <w:tblCellMar>
          <w:top w:w="0" w:type="dxa"/>
          <w:left w:w="0" w:type="dxa"/>
          <w:bottom w:w="0" w:type="dxa"/>
          <w:right w:w="0" w:type="dxa"/>
        </w:tblCellMar>
      </w:tblPr>
      <w:tblGrid>
        <w:gridCol w:w="3135"/>
        <w:gridCol w:w="2515"/>
        <w:gridCol w:w="2559"/>
      </w:tblGrid>
      <w:tr>
        <w:tblPrEx>
          <w:tblCellMar>
            <w:top w:w="0" w:type="dxa"/>
            <w:left w:w="0" w:type="dxa"/>
            <w:bottom w:w="0" w:type="dxa"/>
            <w:right w:w="0" w:type="dxa"/>
          </w:tblCellMar>
        </w:tblPrEx>
        <w:trPr>
          <w:trHeight w:val="480" w:hRule="atLeast"/>
          <w:jc w:val="center"/>
        </w:trPr>
        <w:tc>
          <w:tcPr>
            <w:tcW w:w="3135"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收入</w:t>
            </w:r>
          </w:p>
        </w:tc>
        <w:tc>
          <w:tcPr>
            <w:tcW w:w="2515"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b/>
                <w:i w:val="0"/>
                <w:color w:val="000000"/>
                <w:sz w:val="24"/>
                <w:szCs w:val="24"/>
                <w:u w:val="none"/>
              </w:rPr>
            </w:pPr>
            <w:r>
              <w:rPr>
                <w:rFonts w:hint="eastAsia" w:cs="仿宋_GB2312"/>
                <w:b/>
                <w:i w:val="0"/>
                <w:color w:val="000000"/>
                <w:kern w:val="0"/>
                <w:sz w:val="24"/>
                <w:szCs w:val="24"/>
                <w:u w:val="none"/>
                <w:lang w:val="en-US" w:eastAsia="zh-CN" w:bidi="ar"/>
              </w:rPr>
              <w:t>2019年</w:t>
            </w:r>
            <w:r>
              <w:rPr>
                <w:rFonts w:hint="eastAsia" w:ascii="仿宋_GB2312" w:hAnsi="仿宋_GB2312" w:eastAsia="仿宋_GB2312" w:cs="仿宋_GB2312"/>
                <w:b/>
                <w:i w:val="0"/>
                <w:color w:val="000000"/>
                <w:kern w:val="0"/>
                <w:sz w:val="24"/>
                <w:szCs w:val="24"/>
                <w:u w:val="none"/>
                <w:lang w:val="en-US" w:eastAsia="zh-CN" w:bidi="ar"/>
              </w:rPr>
              <w:t>预算数</w:t>
            </w:r>
          </w:p>
        </w:tc>
        <w:tc>
          <w:tcPr>
            <w:tcW w:w="2559"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b/>
                <w:i w:val="0"/>
                <w:color w:val="000000"/>
                <w:sz w:val="24"/>
                <w:szCs w:val="24"/>
                <w:u w:val="none"/>
              </w:rPr>
            </w:pPr>
            <w:r>
              <w:rPr>
                <w:rFonts w:hint="eastAsia" w:cs="仿宋_GB2312"/>
                <w:b/>
                <w:i w:val="0"/>
                <w:color w:val="000000"/>
                <w:kern w:val="0"/>
                <w:sz w:val="24"/>
                <w:szCs w:val="24"/>
                <w:u w:val="none"/>
                <w:lang w:val="en-US" w:eastAsia="zh-CN" w:bidi="ar"/>
              </w:rPr>
              <w:t>2019年</w:t>
            </w:r>
            <w:r>
              <w:rPr>
                <w:rFonts w:hint="eastAsia" w:ascii="仿宋_GB2312" w:hAnsi="仿宋_GB2312" w:eastAsia="仿宋_GB2312" w:cs="仿宋_GB2312"/>
                <w:b/>
                <w:i w:val="0"/>
                <w:color w:val="000000"/>
                <w:kern w:val="0"/>
                <w:sz w:val="24"/>
                <w:szCs w:val="24"/>
                <w:u w:val="none"/>
                <w:lang w:val="en-US" w:eastAsia="zh-CN" w:bidi="ar"/>
              </w:rPr>
              <w:t>决算数</w:t>
            </w:r>
          </w:p>
        </w:tc>
      </w:tr>
      <w:tr>
        <w:tblPrEx>
          <w:tblCellMar>
            <w:top w:w="0" w:type="dxa"/>
            <w:left w:w="0" w:type="dxa"/>
            <w:bottom w:w="0" w:type="dxa"/>
            <w:right w:w="0" w:type="dxa"/>
          </w:tblCellMar>
        </w:tblPrEx>
        <w:trPr>
          <w:trHeight w:val="480" w:hRule="atLeast"/>
          <w:jc w:val="center"/>
        </w:trPr>
        <w:tc>
          <w:tcPr>
            <w:tcW w:w="31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一般公共预算</w:t>
            </w:r>
          </w:p>
        </w:tc>
        <w:tc>
          <w:tcPr>
            <w:tcW w:w="25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3170.15</w:t>
            </w:r>
          </w:p>
        </w:tc>
        <w:tc>
          <w:tcPr>
            <w:tcW w:w="25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4269.4</w:t>
            </w:r>
          </w:p>
        </w:tc>
      </w:tr>
      <w:tr>
        <w:tblPrEx>
          <w:tblCellMar>
            <w:top w:w="0" w:type="dxa"/>
            <w:left w:w="0" w:type="dxa"/>
            <w:bottom w:w="0" w:type="dxa"/>
            <w:right w:w="0" w:type="dxa"/>
          </w:tblCellMar>
        </w:tblPrEx>
        <w:trPr>
          <w:trHeight w:val="480" w:hRule="atLeast"/>
          <w:jc w:val="center"/>
        </w:trPr>
        <w:tc>
          <w:tcPr>
            <w:tcW w:w="31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政府性基金预算</w:t>
            </w:r>
          </w:p>
        </w:tc>
        <w:tc>
          <w:tcPr>
            <w:tcW w:w="25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w:t>
            </w:r>
          </w:p>
        </w:tc>
        <w:tc>
          <w:tcPr>
            <w:tcW w:w="25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13649.82</w:t>
            </w:r>
          </w:p>
        </w:tc>
      </w:tr>
      <w:tr>
        <w:tblPrEx>
          <w:tblCellMar>
            <w:top w:w="0" w:type="dxa"/>
            <w:left w:w="0" w:type="dxa"/>
            <w:bottom w:w="0" w:type="dxa"/>
            <w:right w:w="0" w:type="dxa"/>
          </w:tblCellMar>
        </w:tblPrEx>
        <w:trPr>
          <w:trHeight w:val="480" w:hRule="atLeast"/>
          <w:jc w:val="center"/>
        </w:trPr>
        <w:tc>
          <w:tcPr>
            <w:tcW w:w="313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合计</w:t>
            </w: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3170.15</w:t>
            </w:r>
          </w:p>
        </w:tc>
        <w:tc>
          <w:tcPr>
            <w:tcW w:w="255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17919.22</w:t>
            </w:r>
          </w:p>
        </w:tc>
      </w:tr>
      <w:tr>
        <w:tblPrEx>
          <w:tblCellMar>
            <w:top w:w="0" w:type="dxa"/>
            <w:left w:w="0" w:type="dxa"/>
            <w:bottom w:w="0" w:type="dxa"/>
            <w:right w:w="0" w:type="dxa"/>
          </w:tblCellMar>
        </w:tblPrEx>
        <w:trPr>
          <w:trHeight w:val="480" w:hRule="atLeast"/>
          <w:jc w:val="center"/>
        </w:trPr>
        <w:tc>
          <w:tcPr>
            <w:tcW w:w="31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年初结余结转</w:t>
            </w:r>
          </w:p>
        </w:tc>
        <w:tc>
          <w:tcPr>
            <w:tcW w:w="25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w:t>
            </w:r>
          </w:p>
        </w:tc>
        <w:tc>
          <w:tcPr>
            <w:tcW w:w="25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978.38</w:t>
            </w:r>
          </w:p>
        </w:tc>
      </w:tr>
      <w:tr>
        <w:tblPrEx>
          <w:tblCellMar>
            <w:top w:w="0" w:type="dxa"/>
            <w:left w:w="0" w:type="dxa"/>
            <w:bottom w:w="0" w:type="dxa"/>
            <w:right w:w="0" w:type="dxa"/>
          </w:tblCellMar>
        </w:tblPrEx>
        <w:trPr>
          <w:trHeight w:val="480" w:hRule="atLeast"/>
          <w:jc w:val="center"/>
        </w:trPr>
        <w:tc>
          <w:tcPr>
            <w:tcW w:w="31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总计</w:t>
            </w:r>
          </w:p>
        </w:tc>
        <w:tc>
          <w:tcPr>
            <w:tcW w:w="25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3170.15</w:t>
            </w:r>
          </w:p>
        </w:tc>
        <w:tc>
          <w:tcPr>
            <w:tcW w:w="255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18897.6</w:t>
            </w:r>
          </w:p>
        </w:tc>
      </w:tr>
    </w:tbl>
    <w:p>
      <w:pPr>
        <w:pStyle w:val="5"/>
        <w:bidi w:val="0"/>
        <w:jc w:val="center"/>
        <w:rPr>
          <w:rFonts w:hint="eastAsia"/>
          <w:lang w:val="en-US" w:eastAsia="zh-CN"/>
        </w:rPr>
      </w:pPr>
      <w:r>
        <w:rPr>
          <w:rFonts w:hint="eastAsia"/>
          <w:lang w:val="en-US" w:eastAsia="zh-CN"/>
        </w:rPr>
        <w:t>表1-2：2019年山亭区住建局预算资金和决算资金支出情况表</w:t>
      </w:r>
    </w:p>
    <w:tbl>
      <w:tblPr>
        <w:tblStyle w:val="11"/>
        <w:tblW w:w="4677" w:type="pct"/>
        <w:jc w:val="center"/>
        <w:shd w:val="clear" w:color="auto" w:fill="auto"/>
        <w:tblLayout w:type="autofit"/>
        <w:tblCellMar>
          <w:top w:w="0" w:type="dxa"/>
          <w:left w:w="0" w:type="dxa"/>
          <w:bottom w:w="0" w:type="dxa"/>
          <w:right w:w="0" w:type="dxa"/>
        </w:tblCellMar>
      </w:tblPr>
      <w:tblGrid>
        <w:gridCol w:w="1107"/>
        <w:gridCol w:w="1638"/>
        <w:gridCol w:w="1605"/>
        <w:gridCol w:w="1808"/>
        <w:gridCol w:w="2029"/>
      </w:tblGrid>
      <w:tr>
        <w:tblPrEx>
          <w:tblCellMar>
            <w:top w:w="0" w:type="dxa"/>
            <w:left w:w="0" w:type="dxa"/>
            <w:bottom w:w="0" w:type="dxa"/>
            <w:right w:w="0" w:type="dxa"/>
          </w:tblCellMar>
        </w:tblPrEx>
        <w:trPr>
          <w:trHeight w:val="380" w:hRule="atLeast"/>
          <w:tblHeader/>
          <w:jc w:val="center"/>
        </w:trPr>
        <w:tc>
          <w:tcPr>
            <w:tcW w:w="1676" w:type="pct"/>
            <w:gridSpan w:val="2"/>
            <w:tcBorders>
              <w:top w:val="single" w:color="000000" w:sz="4" w:space="0"/>
              <w:left w:val="single" w:color="000000" w:sz="4" w:space="0"/>
              <w:bottom w:val="single" w:color="000000" w:sz="4" w:space="0"/>
              <w:right w:val="single" w:color="000000" w:sz="4" w:space="0"/>
            </w:tcBorders>
            <w:shd w:val="clear" w:color="auto" w:fill="A4A4A4" w:themeFill="background1" w:themeFillShade="A5"/>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支出类别</w:t>
            </w:r>
          </w:p>
        </w:tc>
        <w:tc>
          <w:tcPr>
            <w:tcW w:w="980"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2019年预算数</w:t>
            </w:r>
          </w:p>
        </w:tc>
        <w:tc>
          <w:tcPr>
            <w:tcW w:w="1104"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2019年决算数</w:t>
            </w:r>
          </w:p>
        </w:tc>
        <w:tc>
          <w:tcPr>
            <w:tcW w:w="1239"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default" w:ascii="仿宋_GB2312" w:hAnsi="仿宋_GB2312" w:eastAsia="仿宋_GB2312" w:cs="仿宋_GB2312"/>
                <w:b/>
                <w:i w:val="0"/>
                <w:color w:val="000000"/>
                <w:kern w:val="0"/>
                <w:sz w:val="24"/>
                <w:szCs w:val="24"/>
                <w:u w:val="none"/>
                <w:lang w:val="en-US" w:eastAsia="zh-CN" w:bidi="ar"/>
              </w:rPr>
            </w:pPr>
            <w:r>
              <w:rPr>
                <w:rFonts w:hint="eastAsia" w:cs="仿宋_GB2312"/>
                <w:b/>
                <w:i w:val="0"/>
                <w:color w:val="000000"/>
                <w:kern w:val="0"/>
                <w:sz w:val="24"/>
                <w:szCs w:val="24"/>
                <w:u w:val="none"/>
                <w:lang w:val="en-US" w:eastAsia="zh-CN" w:bidi="ar"/>
              </w:rPr>
              <w:t>预算执行率</w:t>
            </w:r>
          </w:p>
        </w:tc>
      </w:tr>
      <w:tr>
        <w:tblPrEx>
          <w:tblCellMar>
            <w:top w:w="0" w:type="dxa"/>
            <w:left w:w="0" w:type="dxa"/>
            <w:bottom w:w="0" w:type="dxa"/>
            <w:right w:w="0" w:type="dxa"/>
          </w:tblCellMar>
        </w:tblPrEx>
        <w:trPr>
          <w:trHeight w:val="480" w:hRule="atLeast"/>
          <w:jc w:val="center"/>
        </w:trPr>
        <w:tc>
          <w:tcPr>
            <w:tcW w:w="676"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基本支出</w:t>
            </w:r>
          </w:p>
        </w:tc>
        <w:tc>
          <w:tcPr>
            <w:tcW w:w="100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人员经费</w:t>
            </w:r>
          </w:p>
        </w:tc>
        <w:tc>
          <w:tcPr>
            <w:tcW w:w="98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166.25</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1248.74</w:t>
            </w:r>
          </w:p>
        </w:tc>
        <w:tc>
          <w:tcPr>
            <w:tcW w:w="123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751.12%</w:t>
            </w:r>
          </w:p>
        </w:tc>
      </w:tr>
      <w:tr>
        <w:tblPrEx>
          <w:tblCellMar>
            <w:top w:w="0" w:type="dxa"/>
            <w:left w:w="0" w:type="dxa"/>
            <w:bottom w:w="0" w:type="dxa"/>
            <w:right w:w="0" w:type="dxa"/>
          </w:tblCellMar>
        </w:tblPrEx>
        <w:trPr>
          <w:trHeight w:val="480" w:hRule="atLeast"/>
          <w:jc w:val="center"/>
        </w:trPr>
        <w:tc>
          <w:tcPr>
            <w:tcW w:w="67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rPr>
                <w:rFonts w:hint="eastAsia" w:ascii="仿宋_GB2312" w:hAnsi="仿宋_GB2312" w:eastAsia="仿宋_GB2312" w:cs="仿宋_GB2312"/>
                <w:b/>
                <w:i w:val="0"/>
                <w:color w:val="000000"/>
                <w:sz w:val="24"/>
                <w:szCs w:val="24"/>
                <w:u w:val="none"/>
              </w:rPr>
            </w:pPr>
          </w:p>
        </w:tc>
        <w:tc>
          <w:tcPr>
            <w:tcW w:w="100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日常公用经费</w:t>
            </w:r>
          </w:p>
        </w:tc>
        <w:tc>
          <w:tcPr>
            <w:tcW w:w="98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3.9</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159.4</w:t>
            </w:r>
          </w:p>
        </w:tc>
        <w:tc>
          <w:tcPr>
            <w:tcW w:w="123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4087.18%</w:t>
            </w:r>
          </w:p>
        </w:tc>
      </w:tr>
      <w:tr>
        <w:tblPrEx>
          <w:tblCellMar>
            <w:top w:w="0" w:type="dxa"/>
            <w:left w:w="0" w:type="dxa"/>
            <w:bottom w:w="0" w:type="dxa"/>
            <w:right w:w="0" w:type="dxa"/>
          </w:tblCellMar>
        </w:tblPrEx>
        <w:trPr>
          <w:trHeight w:val="480" w:hRule="atLeast"/>
          <w:jc w:val="center"/>
        </w:trPr>
        <w:tc>
          <w:tcPr>
            <w:tcW w:w="67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rPr>
                <w:rFonts w:hint="eastAsia" w:ascii="仿宋_GB2312" w:hAnsi="仿宋_GB2312" w:eastAsia="仿宋_GB2312" w:cs="仿宋_GB2312"/>
                <w:b/>
                <w:i w:val="0"/>
                <w:color w:val="000000"/>
                <w:sz w:val="24"/>
                <w:szCs w:val="24"/>
                <w:u w:val="none"/>
              </w:rPr>
            </w:pPr>
          </w:p>
        </w:tc>
        <w:tc>
          <w:tcPr>
            <w:tcW w:w="100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合计</w:t>
            </w:r>
          </w:p>
        </w:tc>
        <w:tc>
          <w:tcPr>
            <w:tcW w:w="98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170.15</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1408.14</w:t>
            </w:r>
          </w:p>
        </w:tc>
        <w:tc>
          <w:tcPr>
            <w:tcW w:w="123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827.59%</w:t>
            </w:r>
          </w:p>
        </w:tc>
      </w:tr>
      <w:tr>
        <w:tblPrEx>
          <w:tblCellMar>
            <w:top w:w="0" w:type="dxa"/>
            <w:left w:w="0" w:type="dxa"/>
            <w:bottom w:w="0" w:type="dxa"/>
            <w:right w:w="0" w:type="dxa"/>
          </w:tblCellMar>
        </w:tblPrEx>
        <w:trPr>
          <w:trHeight w:val="90" w:hRule="atLeast"/>
          <w:jc w:val="center"/>
        </w:trPr>
        <w:tc>
          <w:tcPr>
            <w:tcW w:w="1676" w:type="pct"/>
            <w:gridSpan w:val="2"/>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项目支出</w:t>
            </w:r>
          </w:p>
        </w:tc>
        <w:tc>
          <w:tcPr>
            <w:tcW w:w="98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3000</w:t>
            </w:r>
          </w:p>
        </w:tc>
        <w:tc>
          <w:tcPr>
            <w:tcW w:w="1104" w:type="pct"/>
            <w:tcBorders>
              <w:top w:val="single" w:color="000000" w:sz="4" w:space="0"/>
              <w:left w:val="single" w:color="000000" w:sz="4" w:space="0"/>
              <w:bottom w:val="nil"/>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17489.45</w:t>
            </w:r>
          </w:p>
        </w:tc>
        <w:tc>
          <w:tcPr>
            <w:tcW w:w="1239" w:type="pct"/>
            <w:tcBorders>
              <w:top w:val="single" w:color="000000" w:sz="4" w:space="0"/>
              <w:left w:val="single" w:color="000000" w:sz="4" w:space="0"/>
              <w:bottom w:val="nil"/>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582.98%</w:t>
            </w:r>
          </w:p>
        </w:tc>
      </w:tr>
      <w:tr>
        <w:tblPrEx>
          <w:tblCellMar>
            <w:top w:w="0" w:type="dxa"/>
            <w:left w:w="0" w:type="dxa"/>
            <w:bottom w:w="0" w:type="dxa"/>
            <w:right w:w="0" w:type="dxa"/>
          </w:tblCellMar>
        </w:tblPrEx>
        <w:trPr>
          <w:trHeight w:val="489" w:hRule="atLeast"/>
          <w:jc w:val="center"/>
        </w:trPr>
        <w:tc>
          <w:tcPr>
            <w:tcW w:w="1676" w:type="pct"/>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合计</w:t>
            </w:r>
          </w:p>
        </w:tc>
        <w:tc>
          <w:tcPr>
            <w:tcW w:w="98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3170.15</w:t>
            </w:r>
          </w:p>
        </w:tc>
        <w:tc>
          <w:tcPr>
            <w:tcW w:w="110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18897.59</w:t>
            </w:r>
          </w:p>
        </w:tc>
        <w:tc>
          <w:tcPr>
            <w:tcW w:w="123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596.11%</w:t>
            </w:r>
          </w:p>
        </w:tc>
      </w:tr>
    </w:tbl>
    <w:p>
      <w:pPr>
        <w:rPr>
          <w:rFonts w:hint="default"/>
          <w:lang w:val="en-US" w:eastAsia="zh-CN"/>
        </w:rPr>
      </w:pPr>
      <w:r>
        <w:rPr>
          <w:rFonts w:hint="eastAsia"/>
          <w:lang w:val="en-US" w:eastAsia="zh-CN"/>
        </w:rPr>
        <w:t>注：截至评价基准日，2019年决算报告未获得批复，评价工作组以上报决算数为评价依据。</w:t>
      </w:r>
    </w:p>
    <w:p>
      <w:pPr>
        <w:pStyle w:val="4"/>
        <w:bidi w:val="0"/>
        <w:rPr>
          <w:rFonts w:hint="eastAsia"/>
          <w:lang w:val="en-US" w:eastAsia="zh-CN"/>
        </w:rPr>
      </w:pPr>
      <w:r>
        <w:rPr>
          <w:rFonts w:hint="eastAsia"/>
          <w:lang w:val="en-US" w:eastAsia="zh-CN"/>
        </w:rPr>
        <w:t>2、三公经费支出情况</w:t>
      </w:r>
    </w:p>
    <w:p>
      <w:pPr>
        <w:rPr>
          <w:rFonts w:hint="default"/>
          <w:color w:val="FF0000"/>
          <w:lang w:val="en-US" w:eastAsia="zh-CN"/>
        </w:rPr>
      </w:pPr>
      <w:r>
        <w:rPr>
          <w:rFonts w:hint="eastAsia"/>
          <w:lang w:val="en-US" w:eastAsia="zh-CN"/>
        </w:rPr>
        <w:t>2019年“三公”经费预算批复数为2万元，计划用于公务用车运行维护。2019年“三公”经费决算数为4.01万元，其中用于公务用车运行维护3.17万元，公务接待费0.84万元，“三公”经费控制率为200.5%，</w:t>
      </w:r>
      <w:r>
        <w:rPr>
          <w:rFonts w:hint="eastAsia"/>
          <w:color w:val="auto"/>
          <w:lang w:val="en-US" w:eastAsia="zh-CN"/>
        </w:rPr>
        <w:t>主要原因是年初预算编制不够准确。</w:t>
      </w:r>
    </w:p>
    <w:p>
      <w:pPr>
        <w:pStyle w:val="3"/>
        <w:bidi w:val="0"/>
        <w:rPr>
          <w:rFonts w:hint="eastAsia"/>
        </w:rPr>
      </w:pPr>
      <w:bookmarkStart w:id="4" w:name="_Toc11201"/>
      <w:r>
        <w:rPr>
          <w:rFonts w:hint="eastAsia"/>
        </w:rPr>
        <w:t>（</w:t>
      </w:r>
      <w:r>
        <w:rPr>
          <w:rFonts w:hint="eastAsia"/>
          <w:lang w:val="en-US" w:eastAsia="zh-CN"/>
        </w:rPr>
        <w:t>四</w:t>
      </w:r>
      <w:r>
        <w:rPr>
          <w:rFonts w:hint="eastAsia"/>
        </w:rPr>
        <w:t>）部门资产情况</w:t>
      </w:r>
      <w:bookmarkEnd w:id="4"/>
    </w:p>
    <w:p>
      <w:pPr>
        <w:rPr>
          <w:rFonts w:hint="eastAsia"/>
          <w:lang w:val="en-US" w:eastAsia="zh-CN"/>
        </w:rPr>
      </w:pPr>
      <w:r>
        <w:rPr>
          <w:rFonts w:hint="eastAsia"/>
          <w:lang w:val="en-US" w:eastAsia="zh-CN"/>
        </w:rPr>
        <w:t>截至2018年底，山亭区住建局共有固定资产246件，资产原值72083.14万元，累计折旧2533.15万元，资产净值69549.99万元，固定资产按照《政府会计准则第3号——固定资产》、《政府会计准则第5号——公共基础设施》进行记账并计提折旧，具体情况详见表1-3。</w:t>
      </w:r>
    </w:p>
    <w:p>
      <w:pPr>
        <w:pStyle w:val="5"/>
        <w:pageBreakBefore w:val="0"/>
        <w:widowControl w:val="0"/>
        <w:kinsoku/>
        <w:wordWrap/>
        <w:overflowPunct/>
        <w:topLinePunct w:val="0"/>
        <w:autoSpaceDE/>
        <w:autoSpaceDN/>
        <w:bidi w:val="0"/>
        <w:adjustRightInd/>
        <w:snapToGrid/>
        <w:spacing w:line="500" w:lineRule="exact"/>
        <w:jc w:val="center"/>
        <w:textAlignment w:val="auto"/>
        <w:rPr>
          <w:rFonts w:hint="eastAsia"/>
          <w:lang w:val="en-US" w:eastAsia="zh-CN"/>
        </w:rPr>
      </w:pPr>
      <w:r>
        <w:rPr>
          <w:rFonts w:hint="eastAsia"/>
          <w:lang w:val="en-US" w:eastAsia="zh-CN"/>
        </w:rPr>
        <w:t>表1-3：山亭区住建局2018年底固定资产情况统计表</w:t>
      </w:r>
    </w:p>
    <w:p>
      <w:pPr>
        <w:pageBreakBefore w:val="0"/>
        <w:widowControl w:val="0"/>
        <w:kinsoku/>
        <w:wordWrap/>
        <w:overflowPunct/>
        <w:topLinePunct w:val="0"/>
        <w:autoSpaceDE/>
        <w:autoSpaceDN/>
        <w:bidi w:val="0"/>
        <w:adjustRightInd/>
        <w:snapToGrid/>
        <w:spacing w:line="500" w:lineRule="exact"/>
        <w:jc w:val="right"/>
        <w:textAlignment w:val="auto"/>
        <w:rPr>
          <w:rFonts w:hint="default"/>
          <w:b/>
          <w:bCs/>
          <w:sz w:val="24"/>
          <w:szCs w:val="22"/>
          <w:lang w:val="en-US" w:eastAsia="zh-CN"/>
        </w:rPr>
      </w:pPr>
      <w:r>
        <w:rPr>
          <w:rFonts w:hint="eastAsia"/>
          <w:b/>
          <w:bCs/>
          <w:sz w:val="24"/>
          <w:szCs w:val="22"/>
          <w:lang w:val="en-US" w:eastAsia="zh-CN"/>
        </w:rPr>
        <w:t>单位：元</w:t>
      </w:r>
    </w:p>
    <w:tbl>
      <w:tblPr>
        <w:tblStyle w:val="11"/>
        <w:tblW w:w="5302" w:type="pct"/>
        <w:jc w:val="center"/>
        <w:shd w:val="clear" w:color="auto" w:fill="auto"/>
        <w:tblLayout w:type="fixed"/>
        <w:tblCellMar>
          <w:top w:w="0" w:type="dxa"/>
          <w:left w:w="0" w:type="dxa"/>
          <w:bottom w:w="0" w:type="dxa"/>
          <w:right w:w="0" w:type="dxa"/>
        </w:tblCellMar>
      </w:tblPr>
      <w:tblGrid>
        <w:gridCol w:w="1381"/>
        <w:gridCol w:w="3250"/>
        <w:gridCol w:w="1230"/>
        <w:gridCol w:w="1260"/>
        <w:gridCol w:w="1200"/>
        <w:gridCol w:w="960"/>
      </w:tblGrid>
      <w:tr>
        <w:tblPrEx>
          <w:shd w:val="clear" w:color="auto" w:fill="auto"/>
          <w:tblCellMar>
            <w:top w:w="0" w:type="dxa"/>
            <w:left w:w="0" w:type="dxa"/>
            <w:bottom w:w="0" w:type="dxa"/>
            <w:right w:w="0" w:type="dxa"/>
          </w:tblCellMar>
        </w:tblPrEx>
        <w:trPr>
          <w:trHeight w:val="260" w:hRule="atLeast"/>
          <w:tblHeader/>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固定资产编号</w:t>
            </w:r>
          </w:p>
        </w:tc>
        <w:tc>
          <w:tcPr>
            <w:tcW w:w="1750"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固定资产名称</w:t>
            </w:r>
          </w:p>
        </w:tc>
        <w:tc>
          <w:tcPr>
            <w:tcW w:w="662"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原值</w:t>
            </w:r>
          </w:p>
        </w:tc>
        <w:tc>
          <w:tcPr>
            <w:tcW w:w="678"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累计折旧</w:t>
            </w:r>
          </w:p>
        </w:tc>
        <w:tc>
          <w:tcPr>
            <w:tcW w:w="646"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净值</w:t>
            </w:r>
          </w:p>
        </w:tc>
        <w:tc>
          <w:tcPr>
            <w:tcW w:w="517"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default" w:ascii="仿宋_GB2312" w:hAnsi="仿宋_GB2312" w:eastAsia="仿宋_GB2312" w:cs="仿宋_GB2312"/>
                <w:b/>
                <w:i w:val="0"/>
                <w:color w:val="000000"/>
                <w:kern w:val="0"/>
                <w:sz w:val="21"/>
                <w:szCs w:val="21"/>
                <w:u w:val="none"/>
                <w:lang w:val="en-US" w:eastAsia="zh-CN" w:bidi="ar"/>
              </w:rPr>
            </w:pPr>
            <w:r>
              <w:rPr>
                <w:rFonts w:hint="eastAsia" w:cs="仿宋_GB2312"/>
                <w:b/>
                <w:i w:val="0"/>
                <w:color w:val="000000"/>
                <w:kern w:val="0"/>
                <w:sz w:val="21"/>
                <w:szCs w:val="21"/>
                <w:u w:val="none"/>
                <w:lang w:val="en-US" w:eastAsia="zh-CN" w:bidi="ar"/>
              </w:rPr>
              <w:t>状态</w:t>
            </w:r>
          </w:p>
        </w:tc>
      </w:tr>
      <w:tr>
        <w:tblPrEx>
          <w:shd w:val="clear" w:color="auto" w:fill="auto"/>
          <w:tblCellMar>
            <w:top w:w="0" w:type="dxa"/>
            <w:left w:w="0" w:type="dxa"/>
            <w:bottom w:w="0" w:type="dxa"/>
            <w:right w:w="0" w:type="dxa"/>
          </w:tblCellMar>
        </w:tblPrEx>
        <w:trPr>
          <w:trHeight w:val="29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1101020001</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建委办公楼（老城）</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88563.94</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24798.48</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63765.46</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出租出借</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1101020002</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建委办公楼（新城）</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661937</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185342.64</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476594.36</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default"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1101030001</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平房</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3900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1819.44</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2080.56</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1101030002</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建委职工宿舍（新城）</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67860.8</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31668</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36192.8</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1101040001</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建委门市部</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28224</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28224</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已拆除</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12010001</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微机软件</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2100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2100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12010002</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微机（档案室用）</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5200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5200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12010003</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微机（政工、财务）</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15043.4</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15043.4</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12010004</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微机软件（档案室）</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2568</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2568</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12010005</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建筑安装软件（定额）</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3300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3300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12010006</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传真机、打印机</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3058</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3058</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12010007</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计算机耗材（软件、政工用）</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17000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17000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12010008</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微机配件</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1500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1500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12010009</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夏普掌上电脑</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6980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6980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12010010</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打印机（政工）</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6600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6600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12010011</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三星移动硬盘（政工）</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650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650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12010012</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三星移动硬盘</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570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570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12010013</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三星电脑</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31175</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31175</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12010014</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电脑（市场管委会）</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4260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4260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12010015</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联想电脑（建管科）</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4975</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4975</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12010016</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多功能一体机</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1850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1850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12010017</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电脑</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11010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11010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12010018</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三星笔记本电脑</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5300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5300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12010019</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电脑</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3580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2883.76</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696.24</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12010020</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电脑、打印机</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23638</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15102.26</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8535.74</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12010021</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打印机</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5700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3245.97</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2454.03</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12010022</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电脑、打印机</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31610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13170.9</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18439.1</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12010023</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电脑、打印机（安监办公室）</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23150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8359.78</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14790.22</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12010024</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联想电脑</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8250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2864.5</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5385.5</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12010025</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京瓷打印机</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3800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897.26</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2902.74</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12010026</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联想电脑</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32985</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1832.52</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31152.48</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12010027</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惠普打印机</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1495</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83.04</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1411.96</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1.202E+11</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美的空调</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13199</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733.28</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12465.72</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12020001</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打字复印件</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995.34</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995.34</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12020002</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录音机</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782.4</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782.4</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12020003</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放像机</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1420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1420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12020004</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摄像机（办公室用）</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17100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17100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12020005</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茶水炉</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1619.2</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1619.2</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12020006</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数码相机</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5360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5360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12020007</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文件柜</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860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860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12020008</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数码复印机</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10800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10800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12020009</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监控器</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35000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35000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12020010</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尼康相机</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2980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2980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12020011</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索尼数码相机</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2850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2850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12020012</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尼康数码相机</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9850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9850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12020013</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数码相机</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2400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2400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12020014</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尼康数码相机</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3560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3560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12020015</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数码摄像机</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24560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24560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12020016</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复印件(宣传科)</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4200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4200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12020017</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录像机</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8700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7008.14</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1691.86</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12020018</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数码复合机</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5700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3641.82</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2058.18</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12020019</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执法仪</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8470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5411.44</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3058.56</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12020020</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空气净化器</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10000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5416.71</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4583.29</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12020021</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监控设备</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30000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12500.1</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17499.9</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12020022</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索尼摄像机、执法仪</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5980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2159.56</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3820.44</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12030001</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沈阳金杯面包车</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50000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50000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移交星辰建筑公司</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12030002</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友谊客车</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55200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55200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已报废</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12030003</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长安面包</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44700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44700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已报废</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12030004</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红旗轿车</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已移交山亭国资局处置</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12030005</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金龙客车</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246000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246000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已移交自来水公司</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12030006</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轿车</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200362</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150271.2</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50090.8</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12030007</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垃圾自卸车</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36500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36500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已报废</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12030008</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摆臂垃圾车</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115000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115000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已报废</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12030009</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克莱斯勒</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314000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300916.36</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13083.64</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12040001</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档案除湿机</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2900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2900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12060001</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晒图机</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3300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3300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12060002</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海尔空调</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6750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6750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12060003</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冰柜</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1370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1370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12060004</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格力空调</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1600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1600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12060005</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装饰树（院内灯具）</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15700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15700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12060006</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格力空调（餐厅及三楼办公室)</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31449</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31449</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12060007</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格力空调(二楼办公室)</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9149</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9149</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12060008</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格力空调</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11800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9046.82</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2753.18</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12060009</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格力空调</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8570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2428.11</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6141.89</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12070001</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电动伸缩门</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29991</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10247.13</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19743.87</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12080001</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电话机</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1035</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1035</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12080002</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手机</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3512</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3512</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12090001</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海信电视</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2460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2460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12090002</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LED屏</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32614.7</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32614.7</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12090003</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LED屛（会议室）</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13629</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13174.7</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454.3</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12090004</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创维彩电</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4999</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2166.32</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2832.68</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12090005</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LED显示屏（四楼党员活动室）</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6734</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2132.37</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4601.63</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16010001</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办公桌（老板桌）</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2130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2130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16010002</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转椅</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900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900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16010003</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餐桌、餐具</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5985</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5985</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16010004</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真皮沙发</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3800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3546.48</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253.52</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16010005</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红木沙发</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8970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8371.44</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598.56</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16010006</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办公桌椅</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5750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5365.92</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384.08</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16010007</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沙发</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15976</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14911.68</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1064.32</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16010008</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办公桌椅、沙发</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11760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9015.54</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2744.46</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16010009</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办公沙发（工会、总工办公司）</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3360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2483.11</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876.89</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16010010</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家具一套</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7660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4851.84</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2808.16</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16010011</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家具一套</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49480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31337.46</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18142.54</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16010012</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办公家具(沙发)</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25200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13020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12180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16010013</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椅子（会议室用）</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2880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736</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2144</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16020001</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食堂用具一套</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43000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43000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180103001</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香港街人行道</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4656138</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358164.48</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4297973.52</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180103002</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汉诺路升级改造工程</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7842373</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603259.44</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7239113.56</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180103003</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紫云湖1-8米小桥</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774683</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59591.04</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715091.96</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180103004</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仙台中路升级（北京路-府前路）</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745814</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53272.44</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692541.56</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180103005</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新源北路（青屏路-北京路）硬化</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3040366</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217169.04</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2823196.96</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180103006</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汇丰中路（府前路-汉诺路）工程</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3334968</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238212</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3096756</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180103007</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青屛路硬化及配套工程</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15728742</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1123481.52</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14605260.48</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180103008</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祥宏纺织西路及南京东路</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578358</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41311.32</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537046.68</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180103009</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抱犊崮西路配套工程</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7580749</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541482.12</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7039266.88</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180103010</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南京路新建工程</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5598755</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399911.04</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5198843.96</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180103011</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西安路土路基及4m便道工程</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203053</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14503.8</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188549.2</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180103012</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汉诺路后续工程</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456293</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32592.36</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423700.64</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180103013</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开发区泰和路</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5705677</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407548.32</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5298128.68</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180103014</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开发区清屏路</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1558129</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111294.96</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1446834.04</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180103015</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开发区西安路</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1759838</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125702.76</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1634135.24</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180103016</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北京东路</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7919782</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565698.72</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7354083.28</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180103017</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仙台北路</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1771895</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126563.88</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1645331.12</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180103018</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富安大道</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3287325</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219155.04</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3068169.96</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180103019</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开发区雨污水管网</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14803462</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986897.52</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13816564.48</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180103020</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汇丰北路新建工程</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506177</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31636.08</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474540.92</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180103021</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玄武北路新建工程</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2212395</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147492.96</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2064902.04</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180103022</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实验二小及汉诺东路污水管网</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3104732</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206982.12</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2897749.88</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180103023</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香港西街（新源路-汇丰街）改造</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222927</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14861.76</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208065.24</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180103024</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香港西街（汇丰路-步行街）改造</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351930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23462.04</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328467.96</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180103025</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汉诺东路道路硬化工程</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1566192</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104412.84</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1461779.16</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180103026</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府前东路及汉诺东路道路硬化工程</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3030477</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202031.76</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2828445.24</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180103027</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泰和路硬化</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1679989</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111999.24</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1567989.76</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180103028</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城区防洪A包</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2982204</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198813.6</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2783390.4</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180103029</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城区防洪B包</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4039885</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269325.72</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3770559.28</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180103030</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富安大道配套工程</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3261235</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217415.64</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3043819.36</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180103031</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山亭区北外环道路土基</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6591721</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439448.04</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6152272.96</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180103032</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山亭区紫薇小区改造工程</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1987350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124209.36</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1863140.64</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180103033</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西安路道路硬化及配套工程</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5568563</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348035.16</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5220527.84</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180103034</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东外环、泰和南路道路硬化及配套</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2658814</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166175.88</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2492638.12</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180103035</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泰和路东侧及世纪大道北段污水连</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169463</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10591.44</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158871.56</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180103036</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汇丰北路、仙台北路道路硬化配套</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1880427</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117526.68</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1762900.32</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180103037</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翼龙路道路硬化工程</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1385066</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86566.68</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1298499.32</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180103038</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玄武中路道路改造工程</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2021099</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126318.72</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1894780.28</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180103039</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崇文南路道路改造工程</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1696937</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99819.84</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1597117.16</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180103040</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安居小区升级改造工程</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2171985</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127763.88</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2044221.12</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180103041</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南京东路污水管道工程</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182453</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10732.56</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171720.44</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180103042</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城区维护</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635462</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37380.12</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598081.88</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180103043</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南京路双山公园西抱犊崮道路修补</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533117</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31359.84</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501757.16</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180103044</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柴林小区升级改造工程</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4549467</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267615.72</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4281851.28</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180103045</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山亭财富广场小区升级改造工程</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1556686</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86482.56</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1470203.44</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180103046</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淮海道路</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2848042</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158224.56</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2689817.44</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180103047</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开元路新建道路工程</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3273085</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181838.04</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3091246.96</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180103048</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创卫和市政设施维护</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1444608</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80256</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1364352</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180103049</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天禾宇信西侧道路</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1502402</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83466.72</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1418935.28</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180103050</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交警队南侧道路</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625736</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34763.16</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590972.84</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180103051</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400m3/d生活污水处理站工程</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1564460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86914.44</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1477545.56</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180103052</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药材公司宿舍</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243174</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13509.72</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229664.28</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180103053</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山亭区城区创卫市政工程</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2526879</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140382.12</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2386496.88</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180103054</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山亭区城区道路导向牌采购及安装</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1343955</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70734.48</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1273220.52</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180103055</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邾国路改造提升工程1标段</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18827228</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990906.72</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17836321.28</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180103056</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邾国路改造提升工程2标段</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13563389</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713862.6</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12849526.4</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180103057</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府前西路（西安路-世纪大道）</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25012014</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1316421.84</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23695592.16</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180103058</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泰和路（清屏路-抱犊崮路）道路</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23220015</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1222106.04</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21997908.96</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180103059</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府前西路K1+184桥梁工程</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7086819</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372990.48</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6713828.52</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180103060</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府前西路K0+096桥梁</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5804968</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305524.68</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5499443.32</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180103061</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泰和路K0+430桥梁</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6058633</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318875.4</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5739757.6</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180103062</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新源北路（清屏路-北外环)桥涵等</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1965364</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103440.24</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1861923.76</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180103063</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泰和路-邾国路（抱犊崮路）改造</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7926918</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417206.16</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7509711.84</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180103064</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世纪大道提升改造工程</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24291936</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1278522.96</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23013413.04</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180103065</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汇丰南路（汉诺路-邾国路）</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1485411</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74270.52</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1411140.48</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180103066</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城区基础设施维护</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2937847</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146892.36</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2790954.64</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180103067</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玄武南路</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288940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14447.04</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274492.96</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31021</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宾馆门口公厕</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208078</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4335</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203743</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31022</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民政局公厕</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199779</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4162.08</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195616.92</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31023</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太清湖公厕</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426768</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8891.04</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417876.96</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31024</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玄武路公厕</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294194</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6129</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288065</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31025</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移动公司公厕</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187476</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3905.76</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183570.24</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31026</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翼云阁1号公厕</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475752</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9911.52</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465840.48</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31027</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翼云阁2号公厕</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213715</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4452.36</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209262.64</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31028</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翼云阁3号公厕</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219298</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4568.76</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214729.24</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31029</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紫薇小区公厕</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188717</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3931.56</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184785.44</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31030</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双山公园公厕</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382171</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7961.88</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374209.12</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31031</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香港西街公厕</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367996</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7666.56</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360329.44</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310310</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北京东路路灯</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146028</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24338.04</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121689.96</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310311</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汇丰路路灯</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49572</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8262</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41310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310312</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汉诺东路路灯</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200994</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33498.96</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167495.04</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310313</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玄武路路灯</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45554</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7592.28</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37961.72</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310314</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南京路路灯</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81384</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13563.96</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67820.04</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310315</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西安南路路灯</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27184</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4530.72</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22653.28</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310316</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育才路路灯</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28360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4726.68</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23633.32</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310317</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青屛路路灯</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315406</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52567.68</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262838.32</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310318</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富安大道路灯</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86730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14454.96</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72275.04</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310319</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府前路路灯</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69284</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11547.36</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57736.64</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31032</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北京东路公厕</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232531</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4650.6</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227880.4</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310320</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邾国路路灯</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451751</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75291.84</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376459.16</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310321</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汉诺路改造路灯</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672000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111999.96</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560000.04</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310322</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北留路箱式变压器</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639591</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49199.28</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590391.72</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310323</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北留路路灯</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561798</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70224.72</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491573.28</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310324</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仙台路、香港路路灯</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83160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10395</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72765</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310325</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世纪大道、香港西街路灯</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977441</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108604.56</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868836.44</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31033</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北京中路公厕</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223625</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4472.52</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219152.48</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31034</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青屏路公厕</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229363</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4587.24</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224775.76</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31035</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世纪大道中路公厕</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375084</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7814.28</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367269.72</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310401</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府前路绿化</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21262080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21262080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310402</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玄武路绿化</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1988202.5</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1988202.5</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310403</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玄武公园绿化</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1485378</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1485378</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310404</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双山公园西门绿化</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117032.5</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117032.5</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310405</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仙台路绿化</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981320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981320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310406</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紫云湖绿化</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11880358</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11880358</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310407</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汉诺路绿化</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16867480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16867480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310408</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邾国路绿化</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2456727.5</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2456727.5</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310409</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新源路绿化</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8705787.5</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8705787.5</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310410</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汇丰路绿化</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6181827.5</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6181827.5</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310411</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政府大院绿化</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4556805</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4556805</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310412</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人工湖绿化</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1770730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1770730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310413</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崇文路绿化</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782435</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782435</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310414</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香港街绿化</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216617.5</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216617.5</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310415</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北京路绿化</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20685422.5</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20685422.5</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310416</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泰和路绿化</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2756237.5</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2756237.5</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310417</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丰泽湖绿化</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3083690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3083690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310418</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世纪大道绿化</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19440225</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19440225</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310419</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青屛路绿化</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21491820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21491820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310420</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青屛湖绿化</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673650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673650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310421</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富安大道绿化</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4691752</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4691752</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310422</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抱犊崮路绿化</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16231142.5</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16231142.5</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310423</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开元路绿化</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3975442.5</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3975442.5</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310424</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西外环、西安路绿化</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12290052</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12290052</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310425</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南京路绿化</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4586561.1</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4586561.1</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310426</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翼云旅游大道绿化</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1179581.7</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1179581.7</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310427</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翔宏纺织西路绿化</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590040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590040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310428</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滨湖路绿化</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88935</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88935</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310429</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翼龙路绿化</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189700.5</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189700.5</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310430</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东外环绿化</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1802087.1</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1802087.1</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310431</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北京西路绿化</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3234000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3234000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310432</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西二环绿化</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1588306.5</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1588306.5</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310433</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北辛东小巷</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262721.25</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262721.25</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310434</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西一环绿化</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13405936.5</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13405936.5</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310435</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北一环绿化</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2933535</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2933535</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310436</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北留路绿化</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25201700.7</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25201700.7</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310437</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邾国路（运河路-抱犊崮路）绿化</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162249.45</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162249.45</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310438</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汇丰南路（汉诺路-抱犊崮路）绿</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363179.85</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363179.85</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310439</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丰泽湖绿化</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13010068.5</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13010068.5</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310440</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北京路节点游园绿</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1445730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1445730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310441</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汇丰南路节点游园绿化</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576561.15</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576561.15</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310442</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群众服务中心绿化</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823119</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823119</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310443</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府前西路绿化</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4486000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4486000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310444</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泰和路绿化</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3690000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3690000</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31051</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文化广场仿古厕所</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465407</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23270.4</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442136.6</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31052</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文化广场（一区）市政景观项目</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9286141</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206358.72</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9079782.28</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31053</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文化广场（二区）市政景观项目</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19736802</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438595.56</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19298206.44</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31054</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文化广场（三区）市政景观项目</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16789503</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373100.04</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16416402.96</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31055</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文化广场（四区）市政景观项目</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10573580</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234968.4</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10338611.6</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31061</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翼云阁工程</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55004577</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2750228.88</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52254348.12</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530001</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欧青豪庭公租房</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29623813</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617162.76</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29006650.24</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74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530002</w:t>
            </w:r>
          </w:p>
        </w:tc>
        <w:tc>
          <w:tcPr>
            <w:tcW w:w="17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樱花园公租房</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6013175</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139841.28</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5873333.72</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在用</w:t>
            </w:r>
          </w:p>
        </w:tc>
      </w:tr>
      <w:tr>
        <w:tblPrEx>
          <w:shd w:val="clear" w:color="auto" w:fill="auto"/>
          <w:tblCellMar>
            <w:top w:w="0" w:type="dxa"/>
            <w:left w:w="0" w:type="dxa"/>
            <w:bottom w:w="0" w:type="dxa"/>
            <w:right w:w="0" w:type="dxa"/>
          </w:tblCellMar>
        </w:tblPrEx>
        <w:trPr>
          <w:trHeight w:val="260" w:hRule="atLeast"/>
          <w:jc w:val="center"/>
        </w:trPr>
        <w:tc>
          <w:tcPr>
            <w:tcW w:w="249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合计</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720831381.1</w:t>
            </w:r>
          </w:p>
        </w:tc>
        <w:tc>
          <w:tcPr>
            <w:tcW w:w="67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25331509.64</w:t>
            </w:r>
          </w:p>
        </w:tc>
        <w:tc>
          <w:tcPr>
            <w:tcW w:w="6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695499871.4</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bottom"/>
              <w:rPr>
                <w:rFonts w:hint="default" w:ascii="仿宋_GB2312" w:hAnsi="仿宋_GB2312" w:eastAsia="仿宋_GB2312" w:cs="仿宋_GB2312"/>
                <w:i w:val="0"/>
                <w:color w:val="000000"/>
                <w:kern w:val="0"/>
                <w:sz w:val="21"/>
                <w:szCs w:val="21"/>
                <w:u w:val="none"/>
                <w:lang w:val="en-US" w:eastAsia="zh-CN" w:bidi="ar"/>
              </w:rPr>
            </w:pPr>
            <w:r>
              <w:rPr>
                <w:rFonts w:hint="eastAsia" w:cs="仿宋_GB2312"/>
                <w:i w:val="0"/>
                <w:color w:val="000000"/>
                <w:kern w:val="0"/>
                <w:sz w:val="21"/>
                <w:szCs w:val="21"/>
                <w:u w:val="none"/>
                <w:lang w:val="en-US" w:eastAsia="zh-CN" w:bidi="ar"/>
              </w:rPr>
              <w:t>\</w:t>
            </w:r>
          </w:p>
        </w:tc>
      </w:tr>
    </w:tbl>
    <w:p>
      <w:pPr>
        <w:bidi w:val="0"/>
      </w:pPr>
      <w:r>
        <w:rPr>
          <w:rFonts w:hint="eastAsia"/>
        </w:rPr>
        <w:t>201</w:t>
      </w:r>
      <w:r>
        <w:rPr>
          <w:rFonts w:hint="eastAsia"/>
          <w:lang w:val="en-US" w:eastAsia="zh-CN"/>
        </w:rPr>
        <w:t>9</w:t>
      </w:r>
      <w:r>
        <w:rPr>
          <w:rFonts w:hint="eastAsia"/>
        </w:rPr>
        <w:t>年</w:t>
      </w:r>
      <w:r>
        <w:rPr>
          <w:rFonts w:hint="eastAsia"/>
          <w:lang w:val="en-US" w:eastAsia="zh-CN"/>
        </w:rPr>
        <w:t>山亭区住建局</w:t>
      </w:r>
      <w:r>
        <w:rPr>
          <w:rFonts w:hint="eastAsia"/>
        </w:rPr>
        <w:t>新增固定资产</w:t>
      </w:r>
      <w:r>
        <w:t>4</w:t>
      </w:r>
      <w:r>
        <w:rPr>
          <w:rFonts w:hint="eastAsia"/>
        </w:rPr>
        <w:t>项，包含</w:t>
      </w:r>
      <w:r>
        <w:rPr>
          <w:rFonts w:hint="eastAsia"/>
          <w:lang w:val="en-US" w:eastAsia="zh-CN"/>
        </w:rPr>
        <w:t>联想电脑、惠普打印机、美的空调、克莱斯勒轿车，</w:t>
      </w:r>
      <w:r>
        <w:rPr>
          <w:rFonts w:hint="eastAsia"/>
        </w:rPr>
        <w:t>合计价值</w:t>
      </w:r>
      <w:r>
        <w:rPr>
          <w:rFonts w:hint="eastAsia"/>
          <w:lang w:val="en-US" w:eastAsia="zh-CN"/>
        </w:rPr>
        <w:t>361629</w:t>
      </w:r>
      <w:r>
        <w:rPr>
          <w:rFonts w:hint="eastAsia"/>
        </w:rPr>
        <w:t>元。具体情况见表1-</w:t>
      </w:r>
      <w:r>
        <w:rPr>
          <w:rFonts w:hint="eastAsia"/>
          <w:lang w:val="en-US" w:eastAsia="zh-CN"/>
        </w:rPr>
        <w:t>4。</w:t>
      </w:r>
    </w:p>
    <w:p>
      <w:pPr>
        <w:pStyle w:val="5"/>
        <w:bidi w:val="0"/>
        <w:jc w:val="center"/>
      </w:pPr>
      <w:r>
        <w:t>表1-</w:t>
      </w:r>
      <w:r>
        <w:rPr>
          <w:rFonts w:hint="eastAsia"/>
          <w:lang w:val="en-US" w:eastAsia="zh-CN"/>
        </w:rPr>
        <w:t>4：山亭区住建局</w:t>
      </w:r>
      <w:r>
        <w:t>201</w:t>
      </w:r>
      <w:r>
        <w:rPr>
          <w:rFonts w:hint="eastAsia"/>
          <w:lang w:val="en-US" w:eastAsia="zh-CN"/>
        </w:rPr>
        <w:t>9</w:t>
      </w:r>
      <w:r>
        <w:t>年新增固定资产情况</w:t>
      </w:r>
    </w:p>
    <w:tbl>
      <w:tblPr>
        <w:tblStyle w:val="11"/>
        <w:tblW w:w="9225" w:type="dxa"/>
        <w:tblInd w:w="0" w:type="dxa"/>
        <w:tblLayout w:type="fixed"/>
        <w:tblCellMar>
          <w:top w:w="0" w:type="dxa"/>
          <w:left w:w="108" w:type="dxa"/>
          <w:bottom w:w="0" w:type="dxa"/>
          <w:right w:w="108" w:type="dxa"/>
        </w:tblCellMar>
      </w:tblPr>
      <w:tblGrid>
        <w:gridCol w:w="769"/>
        <w:gridCol w:w="1678"/>
        <w:gridCol w:w="1922"/>
        <w:gridCol w:w="1567"/>
        <w:gridCol w:w="1722"/>
        <w:gridCol w:w="1567"/>
      </w:tblGrid>
      <w:tr>
        <w:tblPrEx>
          <w:tblCellMar>
            <w:top w:w="0" w:type="dxa"/>
            <w:left w:w="108" w:type="dxa"/>
            <w:bottom w:w="0" w:type="dxa"/>
            <w:right w:w="108" w:type="dxa"/>
          </w:tblCellMar>
        </w:tblPrEx>
        <w:trPr>
          <w:trHeight w:val="300" w:hRule="atLeast"/>
          <w:tblHeader/>
        </w:trPr>
        <w:tc>
          <w:tcPr>
            <w:tcW w:w="769" w:type="dxa"/>
            <w:tcBorders>
              <w:top w:val="single" w:color="auto" w:sz="4" w:space="0"/>
              <w:left w:val="single" w:color="auto" w:sz="4" w:space="0"/>
              <w:bottom w:val="single" w:color="auto" w:sz="4" w:space="0"/>
              <w:right w:val="single" w:color="auto" w:sz="4" w:space="0"/>
            </w:tcBorders>
            <w:shd w:val="clear" w:color="000000" w:fill="BFBFBF"/>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rPr>
                <w:rFonts w:ascii="仿宋_GB2312"/>
                <w:b/>
                <w:bCs/>
                <w:kern w:val="0"/>
                <w:sz w:val="24"/>
                <w:szCs w:val="24"/>
              </w:rPr>
            </w:pPr>
            <w:r>
              <w:rPr>
                <w:rFonts w:hint="eastAsia" w:ascii="仿宋_GB2312"/>
                <w:b/>
                <w:bCs/>
                <w:kern w:val="0"/>
                <w:sz w:val="24"/>
                <w:szCs w:val="24"/>
              </w:rPr>
              <w:t>序号</w:t>
            </w:r>
          </w:p>
        </w:tc>
        <w:tc>
          <w:tcPr>
            <w:tcW w:w="1678" w:type="dxa"/>
            <w:tcBorders>
              <w:top w:val="single" w:color="auto" w:sz="4" w:space="0"/>
              <w:left w:val="nil"/>
              <w:bottom w:val="single" w:color="auto" w:sz="4" w:space="0"/>
              <w:right w:val="single" w:color="auto" w:sz="4" w:space="0"/>
            </w:tcBorders>
            <w:shd w:val="clear" w:color="000000" w:fill="BFBFBF"/>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rPr>
                <w:rFonts w:ascii="仿宋_GB2312"/>
                <w:b/>
                <w:bCs/>
                <w:kern w:val="0"/>
                <w:sz w:val="24"/>
                <w:szCs w:val="24"/>
              </w:rPr>
            </w:pPr>
            <w:r>
              <w:rPr>
                <w:rFonts w:hint="eastAsia" w:ascii="仿宋_GB2312"/>
                <w:b/>
                <w:bCs/>
                <w:kern w:val="0"/>
                <w:sz w:val="24"/>
                <w:szCs w:val="24"/>
              </w:rPr>
              <w:t>资产编号</w:t>
            </w:r>
          </w:p>
        </w:tc>
        <w:tc>
          <w:tcPr>
            <w:tcW w:w="1922" w:type="dxa"/>
            <w:tcBorders>
              <w:top w:val="single" w:color="auto" w:sz="4" w:space="0"/>
              <w:left w:val="nil"/>
              <w:bottom w:val="single" w:color="auto" w:sz="4" w:space="0"/>
              <w:right w:val="single" w:color="auto" w:sz="4" w:space="0"/>
            </w:tcBorders>
            <w:shd w:val="clear" w:color="000000" w:fill="BFBFBF"/>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rPr>
                <w:rFonts w:ascii="仿宋_GB2312"/>
                <w:b/>
                <w:bCs/>
                <w:kern w:val="0"/>
                <w:sz w:val="24"/>
                <w:szCs w:val="24"/>
              </w:rPr>
            </w:pPr>
            <w:r>
              <w:rPr>
                <w:rFonts w:hint="eastAsia" w:ascii="仿宋_GB2312"/>
                <w:b/>
                <w:bCs/>
                <w:kern w:val="0"/>
                <w:sz w:val="24"/>
                <w:szCs w:val="24"/>
              </w:rPr>
              <w:t>资产名称</w:t>
            </w:r>
          </w:p>
        </w:tc>
        <w:tc>
          <w:tcPr>
            <w:tcW w:w="1567" w:type="dxa"/>
            <w:tcBorders>
              <w:top w:val="single" w:color="auto" w:sz="4" w:space="0"/>
              <w:left w:val="nil"/>
              <w:bottom w:val="single" w:color="auto" w:sz="4" w:space="0"/>
              <w:right w:val="single" w:color="auto" w:sz="4" w:space="0"/>
            </w:tcBorders>
            <w:shd w:val="clear" w:color="000000" w:fill="BFBFBF"/>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rPr>
                <w:rFonts w:ascii="仿宋_GB2312"/>
                <w:b/>
                <w:bCs/>
                <w:kern w:val="0"/>
                <w:sz w:val="24"/>
                <w:szCs w:val="24"/>
              </w:rPr>
            </w:pPr>
            <w:r>
              <w:rPr>
                <w:rFonts w:hint="eastAsia" w:ascii="仿宋_GB2312"/>
                <w:b/>
                <w:bCs/>
                <w:kern w:val="0"/>
                <w:sz w:val="24"/>
                <w:szCs w:val="24"/>
              </w:rPr>
              <w:t>价值（元）</w:t>
            </w:r>
          </w:p>
        </w:tc>
        <w:tc>
          <w:tcPr>
            <w:tcW w:w="1722" w:type="dxa"/>
            <w:tcBorders>
              <w:top w:val="single" w:color="auto" w:sz="4" w:space="0"/>
              <w:left w:val="nil"/>
              <w:bottom w:val="single" w:color="auto" w:sz="4" w:space="0"/>
              <w:right w:val="single" w:color="auto" w:sz="4" w:space="0"/>
            </w:tcBorders>
            <w:shd w:val="clear" w:color="000000" w:fill="BFBFBF"/>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rPr>
                <w:rFonts w:hint="eastAsia" w:ascii="仿宋_GB2312" w:eastAsia="仿宋_GB2312"/>
                <w:b/>
                <w:bCs/>
                <w:kern w:val="0"/>
                <w:sz w:val="24"/>
                <w:szCs w:val="24"/>
                <w:lang w:val="en-US" w:eastAsia="zh-CN"/>
              </w:rPr>
            </w:pPr>
            <w:r>
              <w:rPr>
                <w:rFonts w:hint="eastAsia"/>
                <w:b/>
                <w:bCs/>
                <w:kern w:val="0"/>
                <w:sz w:val="24"/>
                <w:szCs w:val="24"/>
                <w:lang w:val="en-US" w:eastAsia="zh-CN"/>
              </w:rPr>
              <w:t>数量（台、辆）</w:t>
            </w:r>
          </w:p>
        </w:tc>
        <w:tc>
          <w:tcPr>
            <w:tcW w:w="1567" w:type="dxa"/>
            <w:tcBorders>
              <w:top w:val="single" w:color="auto" w:sz="4" w:space="0"/>
              <w:left w:val="nil"/>
              <w:bottom w:val="single" w:color="auto" w:sz="4" w:space="0"/>
              <w:right w:val="single" w:color="auto" w:sz="4" w:space="0"/>
            </w:tcBorders>
            <w:shd w:val="clear" w:color="000000" w:fill="BFBFBF"/>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rPr>
                <w:rFonts w:ascii="仿宋_GB2312"/>
                <w:b/>
                <w:bCs/>
                <w:kern w:val="0"/>
                <w:sz w:val="24"/>
                <w:szCs w:val="24"/>
              </w:rPr>
            </w:pPr>
            <w:r>
              <w:rPr>
                <w:rFonts w:hint="eastAsia" w:ascii="仿宋_GB2312"/>
                <w:b/>
                <w:bCs/>
                <w:kern w:val="0"/>
                <w:sz w:val="24"/>
                <w:szCs w:val="24"/>
              </w:rPr>
              <w:t>取得方式</w:t>
            </w:r>
          </w:p>
        </w:tc>
      </w:tr>
      <w:tr>
        <w:tblPrEx>
          <w:tblCellMar>
            <w:top w:w="0" w:type="dxa"/>
            <w:left w:w="108" w:type="dxa"/>
            <w:bottom w:w="0" w:type="dxa"/>
            <w:right w:w="108" w:type="dxa"/>
          </w:tblCellMar>
        </w:tblPrEx>
        <w:trPr>
          <w:trHeight w:val="300" w:hRule="atLeast"/>
        </w:trPr>
        <w:tc>
          <w:tcPr>
            <w:tcW w:w="769"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rPr>
                <w:rFonts w:ascii="仿宋_GB2312"/>
                <w:kern w:val="0"/>
                <w:sz w:val="24"/>
                <w:szCs w:val="24"/>
              </w:rPr>
            </w:pPr>
            <w:r>
              <w:rPr>
                <w:rFonts w:hint="eastAsia" w:ascii="仿宋_GB2312"/>
                <w:kern w:val="0"/>
                <w:sz w:val="24"/>
                <w:szCs w:val="24"/>
              </w:rPr>
              <w:t>1</w:t>
            </w:r>
          </w:p>
        </w:tc>
        <w:tc>
          <w:tcPr>
            <w:tcW w:w="1678" w:type="dxa"/>
            <w:tcBorders>
              <w:top w:val="nil"/>
              <w:left w:val="nil"/>
              <w:bottom w:val="single" w:color="auto" w:sz="4" w:space="0"/>
              <w:right w:val="single" w:color="auto" w:sz="4" w:space="0"/>
            </w:tcBorders>
            <w:shd w:val="clear" w:color="000000" w:fill="FFFFFF"/>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ind w:firstLine="0" w:firstLineChars="0"/>
              <w:jc w:val="center"/>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12010026</w:t>
            </w:r>
          </w:p>
        </w:tc>
        <w:tc>
          <w:tcPr>
            <w:tcW w:w="1922"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rPr>
                <w:rFonts w:ascii="仿宋_GB2312"/>
                <w:kern w:val="0"/>
                <w:sz w:val="24"/>
                <w:szCs w:val="24"/>
              </w:rPr>
            </w:pPr>
            <w:r>
              <w:rPr>
                <w:rFonts w:hint="eastAsia"/>
                <w:sz w:val="24"/>
                <w:szCs w:val="24"/>
                <w:lang w:val="en-US" w:eastAsia="zh-CN"/>
              </w:rPr>
              <w:t>联想电脑</w:t>
            </w:r>
          </w:p>
        </w:tc>
        <w:tc>
          <w:tcPr>
            <w:tcW w:w="1567" w:type="dxa"/>
            <w:tcBorders>
              <w:top w:val="nil"/>
              <w:left w:val="nil"/>
              <w:bottom w:val="single" w:color="auto" w:sz="4" w:space="0"/>
              <w:right w:val="single" w:color="auto" w:sz="4" w:space="0"/>
            </w:tcBorders>
            <w:shd w:val="clear" w:color="000000" w:fill="FFFFFF"/>
            <w:vAlign w:val="bottom"/>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rPr>
                <w:rFonts w:hint="default"/>
                <w:sz w:val="24"/>
                <w:szCs w:val="24"/>
                <w:lang w:val="en-US" w:eastAsia="zh-CN"/>
              </w:rPr>
            </w:pPr>
            <w:r>
              <w:rPr>
                <w:rFonts w:hint="default"/>
                <w:sz w:val="24"/>
                <w:szCs w:val="24"/>
                <w:lang w:val="en-US" w:eastAsia="zh-CN"/>
              </w:rPr>
              <w:t>32985</w:t>
            </w:r>
          </w:p>
        </w:tc>
        <w:tc>
          <w:tcPr>
            <w:tcW w:w="1722"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rPr>
                <w:rFonts w:hint="eastAsia" w:ascii="仿宋_GB2312" w:eastAsia="仿宋_GB2312"/>
                <w:kern w:val="0"/>
                <w:sz w:val="24"/>
                <w:szCs w:val="24"/>
                <w:lang w:val="en-US" w:eastAsia="zh-CN"/>
              </w:rPr>
            </w:pPr>
            <w:r>
              <w:rPr>
                <w:rFonts w:hint="eastAsia"/>
                <w:kern w:val="0"/>
                <w:sz w:val="24"/>
                <w:szCs w:val="24"/>
                <w:lang w:val="en-US" w:eastAsia="zh-CN"/>
              </w:rPr>
              <w:t>9</w:t>
            </w:r>
          </w:p>
        </w:tc>
        <w:tc>
          <w:tcPr>
            <w:tcW w:w="156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rPr>
                <w:rFonts w:ascii="仿宋_GB2312"/>
                <w:kern w:val="0"/>
                <w:sz w:val="24"/>
                <w:szCs w:val="24"/>
              </w:rPr>
            </w:pPr>
            <w:r>
              <w:rPr>
                <w:rFonts w:hint="eastAsia" w:ascii="仿宋_GB2312"/>
                <w:kern w:val="0"/>
                <w:sz w:val="24"/>
                <w:szCs w:val="24"/>
              </w:rPr>
              <w:t>新购</w:t>
            </w:r>
          </w:p>
        </w:tc>
      </w:tr>
      <w:tr>
        <w:tblPrEx>
          <w:tblCellMar>
            <w:top w:w="0" w:type="dxa"/>
            <w:left w:w="108" w:type="dxa"/>
            <w:bottom w:w="0" w:type="dxa"/>
            <w:right w:w="108" w:type="dxa"/>
          </w:tblCellMar>
        </w:tblPrEx>
        <w:trPr>
          <w:trHeight w:val="557" w:hRule="atLeast"/>
        </w:trPr>
        <w:tc>
          <w:tcPr>
            <w:tcW w:w="769"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rPr>
                <w:rFonts w:ascii="仿宋_GB2312"/>
                <w:kern w:val="0"/>
                <w:sz w:val="24"/>
                <w:szCs w:val="24"/>
              </w:rPr>
            </w:pPr>
            <w:r>
              <w:rPr>
                <w:rFonts w:hint="eastAsia" w:ascii="仿宋_GB2312"/>
                <w:kern w:val="0"/>
                <w:sz w:val="24"/>
                <w:szCs w:val="24"/>
              </w:rPr>
              <w:t>2</w:t>
            </w:r>
          </w:p>
        </w:tc>
        <w:tc>
          <w:tcPr>
            <w:tcW w:w="1678" w:type="dxa"/>
            <w:tcBorders>
              <w:top w:val="nil"/>
              <w:left w:val="nil"/>
              <w:bottom w:val="single" w:color="auto" w:sz="4" w:space="0"/>
              <w:right w:val="single" w:color="auto" w:sz="4" w:space="0"/>
            </w:tcBorders>
            <w:shd w:val="clear" w:color="000000" w:fill="FFFFFF"/>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ind w:firstLine="0" w:firstLineChars="0"/>
              <w:jc w:val="center"/>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12010027</w:t>
            </w:r>
          </w:p>
        </w:tc>
        <w:tc>
          <w:tcPr>
            <w:tcW w:w="1922"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rPr>
                <w:rFonts w:ascii="仿宋_GB2312"/>
                <w:kern w:val="0"/>
                <w:sz w:val="24"/>
                <w:szCs w:val="24"/>
              </w:rPr>
            </w:pPr>
            <w:r>
              <w:rPr>
                <w:rFonts w:hint="eastAsia"/>
                <w:sz w:val="24"/>
                <w:szCs w:val="24"/>
                <w:lang w:val="en-US" w:eastAsia="zh-CN"/>
              </w:rPr>
              <w:t>惠普打印机</w:t>
            </w:r>
          </w:p>
        </w:tc>
        <w:tc>
          <w:tcPr>
            <w:tcW w:w="1567" w:type="dxa"/>
            <w:tcBorders>
              <w:top w:val="nil"/>
              <w:left w:val="nil"/>
              <w:bottom w:val="single" w:color="auto" w:sz="4" w:space="0"/>
              <w:right w:val="single" w:color="auto" w:sz="4" w:space="0"/>
            </w:tcBorders>
            <w:shd w:val="clear" w:color="000000" w:fill="FFFFFF"/>
            <w:vAlign w:val="bottom"/>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rPr>
                <w:rFonts w:hint="eastAsia"/>
                <w:sz w:val="24"/>
                <w:szCs w:val="24"/>
                <w:lang w:val="en-US" w:eastAsia="zh-CN"/>
              </w:rPr>
            </w:pPr>
            <w:r>
              <w:rPr>
                <w:rFonts w:hint="default"/>
                <w:sz w:val="24"/>
                <w:szCs w:val="24"/>
                <w:lang w:val="en-US" w:eastAsia="zh-CN"/>
              </w:rPr>
              <w:t>1495</w:t>
            </w:r>
          </w:p>
        </w:tc>
        <w:tc>
          <w:tcPr>
            <w:tcW w:w="1722"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rPr>
                <w:rFonts w:hint="eastAsia" w:ascii="仿宋_GB2312" w:eastAsia="仿宋_GB2312"/>
                <w:kern w:val="0"/>
                <w:sz w:val="24"/>
                <w:szCs w:val="24"/>
                <w:lang w:val="en-US" w:eastAsia="zh-CN"/>
              </w:rPr>
            </w:pPr>
            <w:r>
              <w:rPr>
                <w:rFonts w:hint="eastAsia"/>
                <w:kern w:val="0"/>
                <w:sz w:val="24"/>
                <w:szCs w:val="24"/>
                <w:lang w:val="en-US" w:eastAsia="zh-CN"/>
              </w:rPr>
              <w:t>1</w:t>
            </w:r>
          </w:p>
        </w:tc>
        <w:tc>
          <w:tcPr>
            <w:tcW w:w="156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rPr>
                <w:rFonts w:ascii="仿宋_GB2312"/>
                <w:kern w:val="0"/>
                <w:sz w:val="24"/>
                <w:szCs w:val="24"/>
              </w:rPr>
            </w:pPr>
            <w:r>
              <w:rPr>
                <w:rFonts w:hint="eastAsia" w:ascii="仿宋_GB2312"/>
                <w:kern w:val="0"/>
                <w:sz w:val="24"/>
                <w:szCs w:val="24"/>
              </w:rPr>
              <w:t>新购</w:t>
            </w:r>
          </w:p>
        </w:tc>
      </w:tr>
      <w:tr>
        <w:tblPrEx>
          <w:tblCellMar>
            <w:top w:w="0" w:type="dxa"/>
            <w:left w:w="108" w:type="dxa"/>
            <w:bottom w:w="0" w:type="dxa"/>
            <w:right w:w="108" w:type="dxa"/>
          </w:tblCellMar>
        </w:tblPrEx>
        <w:trPr>
          <w:trHeight w:val="300" w:hRule="atLeast"/>
        </w:trPr>
        <w:tc>
          <w:tcPr>
            <w:tcW w:w="769"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rPr>
                <w:rFonts w:ascii="仿宋_GB2312"/>
                <w:kern w:val="0"/>
                <w:sz w:val="24"/>
                <w:szCs w:val="24"/>
              </w:rPr>
            </w:pPr>
            <w:r>
              <w:rPr>
                <w:rFonts w:hint="eastAsia" w:ascii="仿宋_GB2312"/>
                <w:kern w:val="0"/>
                <w:sz w:val="24"/>
                <w:szCs w:val="24"/>
              </w:rPr>
              <w:t>3</w:t>
            </w:r>
          </w:p>
        </w:tc>
        <w:tc>
          <w:tcPr>
            <w:tcW w:w="1678" w:type="dxa"/>
            <w:tcBorders>
              <w:top w:val="nil"/>
              <w:left w:val="nil"/>
              <w:bottom w:val="single" w:color="auto" w:sz="4" w:space="0"/>
              <w:right w:val="single" w:color="auto" w:sz="4" w:space="0"/>
            </w:tcBorders>
            <w:shd w:val="clear" w:color="000000" w:fill="FFFFFF"/>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ind w:firstLine="0" w:firstLineChars="0"/>
              <w:jc w:val="center"/>
              <w:textAlignment w:val="bottom"/>
              <w:rPr>
                <w:rFonts w:hint="eastAsia" w:ascii="仿宋_GB2312" w:hAnsi="仿宋_GB2312" w:eastAsia="仿宋_GB2312" w:cs="仿宋_GB2312"/>
                <w:kern w:val="0"/>
                <w:sz w:val="24"/>
                <w:szCs w:val="24"/>
              </w:rPr>
            </w:pPr>
            <w:r>
              <w:rPr>
                <w:rFonts w:hint="eastAsia" w:ascii="仿宋_GB2312" w:hAnsi="仿宋_GB2312" w:eastAsia="仿宋_GB2312" w:cs="仿宋_GB2312"/>
                <w:i w:val="0"/>
                <w:color w:val="000000"/>
                <w:kern w:val="0"/>
                <w:sz w:val="24"/>
                <w:szCs w:val="24"/>
                <w:u w:val="none"/>
                <w:lang w:val="en-US" w:eastAsia="zh-CN" w:bidi="ar"/>
              </w:rPr>
              <w:t>120200000003</w:t>
            </w:r>
          </w:p>
        </w:tc>
        <w:tc>
          <w:tcPr>
            <w:tcW w:w="1922"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rPr>
                <w:rFonts w:ascii="仿宋_GB2312"/>
                <w:kern w:val="0"/>
                <w:sz w:val="24"/>
                <w:szCs w:val="24"/>
              </w:rPr>
            </w:pPr>
            <w:r>
              <w:rPr>
                <w:rFonts w:hint="eastAsia"/>
                <w:sz w:val="24"/>
                <w:szCs w:val="24"/>
                <w:lang w:val="en-US" w:eastAsia="zh-CN"/>
              </w:rPr>
              <w:t>美的空调</w:t>
            </w:r>
          </w:p>
        </w:tc>
        <w:tc>
          <w:tcPr>
            <w:tcW w:w="1567" w:type="dxa"/>
            <w:tcBorders>
              <w:top w:val="nil"/>
              <w:left w:val="nil"/>
              <w:bottom w:val="single" w:color="auto" w:sz="4" w:space="0"/>
              <w:right w:val="single" w:color="auto" w:sz="4" w:space="0"/>
            </w:tcBorders>
            <w:shd w:val="clear" w:color="000000" w:fill="FFFFFF"/>
            <w:vAlign w:val="bottom"/>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rPr>
                <w:rFonts w:hint="eastAsia"/>
                <w:sz w:val="24"/>
                <w:szCs w:val="24"/>
                <w:lang w:val="en-US" w:eastAsia="zh-CN"/>
              </w:rPr>
            </w:pPr>
            <w:r>
              <w:rPr>
                <w:rFonts w:hint="default"/>
                <w:sz w:val="24"/>
                <w:szCs w:val="24"/>
                <w:lang w:val="en-US" w:eastAsia="zh-CN"/>
              </w:rPr>
              <w:t>13199</w:t>
            </w:r>
          </w:p>
        </w:tc>
        <w:tc>
          <w:tcPr>
            <w:tcW w:w="1722"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rPr>
                <w:rFonts w:hint="eastAsia" w:ascii="仿宋_GB2312" w:eastAsia="仿宋_GB2312"/>
                <w:kern w:val="0"/>
                <w:sz w:val="24"/>
                <w:szCs w:val="24"/>
                <w:lang w:val="en-US" w:eastAsia="zh-CN"/>
              </w:rPr>
            </w:pPr>
            <w:r>
              <w:rPr>
                <w:rFonts w:hint="eastAsia"/>
                <w:kern w:val="0"/>
                <w:sz w:val="24"/>
                <w:szCs w:val="24"/>
                <w:lang w:val="en-US" w:eastAsia="zh-CN"/>
              </w:rPr>
              <w:t>6</w:t>
            </w:r>
          </w:p>
        </w:tc>
        <w:tc>
          <w:tcPr>
            <w:tcW w:w="156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rPr>
                <w:rFonts w:ascii="仿宋_GB2312"/>
                <w:kern w:val="0"/>
                <w:sz w:val="24"/>
                <w:szCs w:val="24"/>
              </w:rPr>
            </w:pPr>
            <w:r>
              <w:rPr>
                <w:rFonts w:hint="eastAsia" w:ascii="仿宋_GB2312"/>
                <w:kern w:val="0"/>
                <w:sz w:val="24"/>
                <w:szCs w:val="24"/>
              </w:rPr>
              <w:t>新购</w:t>
            </w:r>
          </w:p>
        </w:tc>
      </w:tr>
      <w:tr>
        <w:tblPrEx>
          <w:tblCellMar>
            <w:top w:w="0" w:type="dxa"/>
            <w:left w:w="108" w:type="dxa"/>
            <w:bottom w:w="0" w:type="dxa"/>
            <w:right w:w="108" w:type="dxa"/>
          </w:tblCellMar>
        </w:tblPrEx>
        <w:trPr>
          <w:trHeight w:val="300" w:hRule="atLeast"/>
        </w:trPr>
        <w:tc>
          <w:tcPr>
            <w:tcW w:w="769"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rPr>
                <w:rFonts w:ascii="仿宋_GB2312"/>
                <w:kern w:val="0"/>
                <w:sz w:val="24"/>
                <w:szCs w:val="24"/>
              </w:rPr>
            </w:pPr>
            <w:r>
              <w:rPr>
                <w:rFonts w:hint="eastAsia" w:ascii="仿宋_GB2312"/>
                <w:kern w:val="0"/>
                <w:sz w:val="24"/>
                <w:szCs w:val="24"/>
              </w:rPr>
              <w:t>4</w:t>
            </w:r>
          </w:p>
        </w:tc>
        <w:tc>
          <w:tcPr>
            <w:tcW w:w="1678" w:type="dxa"/>
            <w:tcBorders>
              <w:top w:val="nil"/>
              <w:left w:val="nil"/>
              <w:bottom w:val="single" w:color="auto" w:sz="4" w:space="0"/>
              <w:right w:val="single" w:color="auto" w:sz="4" w:space="0"/>
            </w:tcBorders>
            <w:shd w:val="clear" w:color="000000" w:fill="FFFFFF"/>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firstLine="0" w:firstLineChars="0"/>
              <w:jc w:val="center"/>
              <w:textAlignment w:val="bottom"/>
              <w:rPr>
                <w:rFonts w:ascii="MS Sans Serif" w:hAnsi="MS Sans Serif" w:eastAsia="MS Sans Serif" w:cs="MS Sans Serif"/>
                <w:i w:val="0"/>
                <w:color w:val="000000"/>
                <w:kern w:val="2"/>
                <w:sz w:val="24"/>
                <w:szCs w:val="24"/>
                <w:u w:val="none"/>
                <w:lang w:val="en-US" w:eastAsia="zh-CN" w:bidi="ar-SA"/>
              </w:rPr>
            </w:pPr>
            <w:r>
              <w:rPr>
                <w:rFonts w:hint="default" w:ascii="仿宋_GB2312" w:hAnsi="仿宋_GB2312" w:eastAsia="仿宋_GB2312" w:cs="仿宋_GB2312"/>
                <w:i w:val="0"/>
                <w:color w:val="000000"/>
                <w:kern w:val="0"/>
                <w:sz w:val="24"/>
                <w:szCs w:val="24"/>
                <w:u w:val="none"/>
                <w:lang w:val="en-US" w:eastAsia="zh-CN" w:bidi="ar"/>
              </w:rPr>
              <w:t>12030009</w:t>
            </w:r>
          </w:p>
        </w:tc>
        <w:tc>
          <w:tcPr>
            <w:tcW w:w="1922"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rPr>
                <w:rFonts w:ascii="仿宋_GB2312"/>
                <w:kern w:val="0"/>
                <w:sz w:val="24"/>
                <w:szCs w:val="24"/>
              </w:rPr>
            </w:pPr>
            <w:r>
              <w:rPr>
                <w:rFonts w:hint="eastAsia"/>
                <w:sz w:val="24"/>
                <w:szCs w:val="24"/>
                <w:lang w:val="en-US" w:eastAsia="zh-CN"/>
              </w:rPr>
              <w:t>克莱斯勒轿车</w:t>
            </w:r>
          </w:p>
        </w:tc>
        <w:tc>
          <w:tcPr>
            <w:tcW w:w="1567" w:type="dxa"/>
            <w:tcBorders>
              <w:top w:val="nil"/>
              <w:left w:val="nil"/>
              <w:bottom w:val="single" w:color="auto" w:sz="4" w:space="0"/>
              <w:right w:val="single" w:color="auto" w:sz="4" w:space="0"/>
            </w:tcBorders>
            <w:shd w:val="clear" w:color="000000" w:fill="FFFFFF"/>
            <w:vAlign w:val="bottom"/>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rPr>
                <w:rFonts w:hint="eastAsia"/>
                <w:sz w:val="24"/>
                <w:szCs w:val="24"/>
                <w:lang w:val="en-US" w:eastAsia="zh-CN"/>
              </w:rPr>
            </w:pPr>
            <w:r>
              <w:rPr>
                <w:rFonts w:hint="default"/>
                <w:sz w:val="24"/>
                <w:szCs w:val="24"/>
                <w:lang w:val="en-US" w:eastAsia="zh-CN"/>
              </w:rPr>
              <w:t>314000</w:t>
            </w:r>
          </w:p>
        </w:tc>
        <w:tc>
          <w:tcPr>
            <w:tcW w:w="1722"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rPr>
                <w:rFonts w:hint="eastAsia" w:ascii="仿宋_GB2312" w:eastAsia="仿宋_GB2312"/>
                <w:kern w:val="0"/>
                <w:sz w:val="24"/>
                <w:szCs w:val="24"/>
                <w:lang w:val="en-US" w:eastAsia="zh-CN"/>
              </w:rPr>
            </w:pPr>
            <w:r>
              <w:rPr>
                <w:rFonts w:hint="eastAsia"/>
                <w:kern w:val="0"/>
                <w:sz w:val="24"/>
                <w:szCs w:val="24"/>
                <w:lang w:val="en-US" w:eastAsia="zh-CN"/>
              </w:rPr>
              <w:t>1</w:t>
            </w:r>
          </w:p>
        </w:tc>
        <w:tc>
          <w:tcPr>
            <w:tcW w:w="156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rPr>
                <w:rFonts w:hint="eastAsia" w:ascii="仿宋_GB2312" w:eastAsia="仿宋_GB2312"/>
                <w:kern w:val="0"/>
                <w:sz w:val="24"/>
                <w:szCs w:val="24"/>
                <w:lang w:val="en-US" w:eastAsia="zh-CN"/>
              </w:rPr>
            </w:pPr>
            <w:r>
              <w:rPr>
                <w:rFonts w:hint="eastAsia"/>
                <w:kern w:val="0"/>
                <w:sz w:val="24"/>
                <w:szCs w:val="24"/>
                <w:lang w:val="en-US" w:eastAsia="zh-CN"/>
              </w:rPr>
              <w:t>划转</w:t>
            </w:r>
          </w:p>
        </w:tc>
      </w:tr>
      <w:tr>
        <w:tblPrEx>
          <w:tblCellMar>
            <w:top w:w="0" w:type="dxa"/>
            <w:left w:w="108" w:type="dxa"/>
            <w:bottom w:w="0" w:type="dxa"/>
            <w:right w:w="108" w:type="dxa"/>
          </w:tblCellMar>
        </w:tblPrEx>
        <w:trPr>
          <w:trHeight w:val="300" w:hRule="atLeast"/>
        </w:trPr>
        <w:tc>
          <w:tcPr>
            <w:tcW w:w="4369" w:type="dxa"/>
            <w:gridSpan w:val="3"/>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rPr>
                <w:rFonts w:ascii="仿宋_GB2312"/>
                <w:b/>
                <w:bCs/>
                <w:kern w:val="0"/>
                <w:sz w:val="24"/>
                <w:szCs w:val="24"/>
              </w:rPr>
            </w:pPr>
            <w:r>
              <w:rPr>
                <w:rFonts w:hint="eastAsia" w:ascii="仿宋_GB2312"/>
                <w:b/>
                <w:bCs/>
                <w:kern w:val="0"/>
                <w:sz w:val="24"/>
                <w:szCs w:val="24"/>
              </w:rPr>
              <w:t>合计</w:t>
            </w:r>
          </w:p>
        </w:tc>
        <w:tc>
          <w:tcPr>
            <w:tcW w:w="156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rPr>
                <w:rFonts w:ascii="仿宋_GB2312"/>
                <w:b/>
                <w:bCs/>
                <w:kern w:val="0"/>
                <w:sz w:val="24"/>
                <w:szCs w:val="24"/>
              </w:rPr>
            </w:pPr>
            <w:r>
              <w:rPr>
                <w:rFonts w:hint="eastAsia"/>
                <w:sz w:val="24"/>
                <w:szCs w:val="24"/>
                <w:lang w:val="en-US" w:eastAsia="zh-CN"/>
              </w:rPr>
              <w:t>361629</w:t>
            </w:r>
          </w:p>
        </w:tc>
        <w:tc>
          <w:tcPr>
            <w:tcW w:w="1722"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rPr>
                <w:rFonts w:hint="default" w:ascii="仿宋_GB2312" w:eastAsia="仿宋_GB2312"/>
                <w:kern w:val="0"/>
                <w:sz w:val="24"/>
                <w:szCs w:val="24"/>
                <w:lang w:val="en-US" w:eastAsia="zh-CN"/>
              </w:rPr>
            </w:pPr>
            <w:r>
              <w:rPr>
                <w:rFonts w:hint="eastAsia"/>
                <w:kern w:val="0"/>
                <w:sz w:val="24"/>
                <w:szCs w:val="24"/>
                <w:lang w:val="en-US" w:eastAsia="zh-CN"/>
              </w:rPr>
              <w:t>17</w:t>
            </w:r>
          </w:p>
        </w:tc>
        <w:tc>
          <w:tcPr>
            <w:tcW w:w="1567"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520" w:lineRule="exact"/>
              <w:ind w:firstLine="0" w:firstLineChars="0"/>
              <w:jc w:val="center"/>
              <w:rPr>
                <w:rFonts w:ascii="仿宋_GB2312"/>
                <w:kern w:val="0"/>
                <w:sz w:val="24"/>
                <w:szCs w:val="24"/>
              </w:rPr>
            </w:pPr>
            <w:r>
              <w:rPr>
                <w:rFonts w:hint="eastAsia" w:ascii="仿宋_GB2312"/>
                <w:kern w:val="0"/>
                <w:sz w:val="24"/>
                <w:szCs w:val="24"/>
              </w:rPr>
              <w:t>-</w:t>
            </w:r>
          </w:p>
        </w:tc>
      </w:tr>
    </w:tbl>
    <w:p>
      <w:pPr>
        <w:pStyle w:val="2"/>
        <w:bidi w:val="0"/>
        <w:rPr>
          <w:rFonts w:hint="eastAsia"/>
        </w:rPr>
      </w:pPr>
      <w:bookmarkStart w:id="5" w:name="_Toc9176"/>
      <w:r>
        <w:rPr>
          <w:rFonts w:hint="eastAsia"/>
        </w:rPr>
        <w:t>二、绩效目标</w:t>
      </w:r>
      <w:bookmarkEnd w:id="5"/>
    </w:p>
    <w:p>
      <w:pPr>
        <w:ind w:firstLine="640"/>
        <w:rPr>
          <w:rFonts w:hint="eastAsia" w:ascii="仿宋_GB2312"/>
        </w:rPr>
        <w:sectPr>
          <w:footerReference r:id="rId4" w:type="default"/>
          <w:pgSz w:w="11906" w:h="16838"/>
          <w:pgMar w:top="1587" w:right="1587" w:bottom="1587" w:left="1587" w:header="851" w:footer="992" w:gutter="0"/>
          <w:pgNumType w:fmt="decimal" w:start="1"/>
          <w:cols w:space="425" w:num="1"/>
          <w:docGrid w:type="lines" w:linePitch="312" w:charSpace="0"/>
        </w:sectPr>
      </w:pPr>
      <w:r>
        <w:rPr>
          <w:rFonts w:hint="eastAsia" w:ascii="仿宋_GB2312"/>
        </w:rPr>
        <w:t>通过对部门职能、部门</w:t>
      </w:r>
      <w:r>
        <w:rPr>
          <w:rFonts w:hint="eastAsia"/>
          <w:lang w:val="en-US" w:eastAsia="zh-CN"/>
        </w:rPr>
        <w:t>履职活动、部门</w:t>
      </w:r>
      <w:r>
        <w:rPr>
          <w:rFonts w:hint="eastAsia" w:ascii="仿宋_GB2312"/>
        </w:rPr>
        <w:t>专项支出的</w:t>
      </w:r>
      <w:r>
        <w:rPr>
          <w:rFonts w:hint="eastAsia"/>
          <w:lang w:val="en-US" w:eastAsia="zh-CN"/>
        </w:rPr>
        <w:t>梳理研究</w:t>
      </w:r>
      <w:r>
        <w:rPr>
          <w:rFonts w:hint="eastAsia" w:ascii="仿宋_GB2312"/>
        </w:rPr>
        <w:t>，</w:t>
      </w:r>
      <w:r>
        <w:rPr>
          <w:rFonts w:hint="eastAsia"/>
          <w:lang w:eastAsia="zh-CN"/>
        </w:rPr>
        <w:t>评价工作组</w:t>
      </w:r>
      <w:r>
        <w:rPr>
          <w:rFonts w:hint="eastAsia" w:ascii="仿宋_GB2312"/>
        </w:rPr>
        <w:t>以职能分类</w:t>
      </w:r>
      <w:r>
        <w:rPr>
          <w:rFonts w:hint="eastAsia"/>
          <w:lang w:eastAsia="zh-CN"/>
        </w:rPr>
        <w:t>（</w:t>
      </w:r>
      <w:r>
        <w:rPr>
          <w:rFonts w:hint="eastAsia"/>
          <w:lang w:val="en-US" w:eastAsia="zh-CN"/>
        </w:rPr>
        <w:t>对外职能、对内职能等</w:t>
      </w:r>
      <w:r>
        <w:rPr>
          <w:rFonts w:hint="eastAsia"/>
          <w:lang w:eastAsia="zh-CN"/>
        </w:rPr>
        <w:t>）</w:t>
      </w:r>
      <w:r>
        <w:rPr>
          <w:rFonts w:hint="eastAsia" w:ascii="仿宋_GB2312"/>
        </w:rPr>
        <w:t>为基础，对该职能类别中的年度工作安排</w:t>
      </w:r>
      <w:r>
        <w:rPr>
          <w:rFonts w:hint="eastAsia"/>
          <w:lang w:eastAsia="zh-CN"/>
        </w:rPr>
        <w:t>、</w:t>
      </w:r>
      <w:r>
        <w:rPr>
          <w:rFonts w:hint="eastAsia" w:ascii="仿宋_GB2312"/>
        </w:rPr>
        <w:t>专项支出进行了归集，形成了</w:t>
      </w:r>
      <w:r>
        <w:rPr>
          <w:rFonts w:hint="eastAsia"/>
          <w:lang w:val="en-US" w:eastAsia="zh-CN"/>
        </w:rPr>
        <w:t>2019年度工作</w:t>
      </w:r>
      <w:r>
        <w:rPr>
          <w:rFonts w:hint="eastAsia" w:ascii="仿宋_GB2312"/>
        </w:rPr>
        <w:t>目标梳理表。详见表</w:t>
      </w:r>
      <w:r>
        <w:rPr>
          <w:rFonts w:hint="eastAsia"/>
          <w:lang w:val="en-US" w:eastAsia="zh-CN"/>
        </w:rPr>
        <w:t>2-1</w:t>
      </w:r>
      <w:r>
        <w:rPr>
          <w:rFonts w:hint="eastAsia" w:ascii="仿宋_GB2312"/>
        </w:rPr>
        <w:t>。</w:t>
      </w:r>
    </w:p>
    <w:p>
      <w:pPr>
        <w:pStyle w:val="5"/>
        <w:bidi w:val="0"/>
        <w:jc w:val="center"/>
        <w:rPr>
          <w:rFonts w:hint="eastAsia"/>
          <w:lang w:val="en-US" w:eastAsia="zh-CN"/>
        </w:rPr>
      </w:pPr>
      <w:r>
        <w:rPr>
          <w:rFonts w:hint="eastAsia"/>
          <w:lang w:val="en-US" w:eastAsia="zh-CN"/>
        </w:rPr>
        <w:t>表2-1：山亭区住建局2019年度工作目标梳理</w:t>
      </w:r>
    </w:p>
    <w:tbl>
      <w:tblPr>
        <w:tblStyle w:val="11"/>
        <w:tblW w:w="14587"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837"/>
        <w:gridCol w:w="1413"/>
        <w:gridCol w:w="5750"/>
        <w:gridCol w:w="1050"/>
        <w:gridCol w:w="5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14587" w:type="dxa"/>
            <w:gridSpan w:val="5"/>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一、对外职能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0" w:hRule="atLeast"/>
        </w:trPr>
        <w:tc>
          <w:tcPr>
            <w:tcW w:w="837"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序号</w:t>
            </w:r>
          </w:p>
        </w:tc>
        <w:tc>
          <w:tcPr>
            <w:tcW w:w="1413"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职能分类</w:t>
            </w:r>
          </w:p>
        </w:tc>
        <w:tc>
          <w:tcPr>
            <w:tcW w:w="5750"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职能描述</w:t>
            </w:r>
          </w:p>
        </w:tc>
        <w:tc>
          <w:tcPr>
            <w:tcW w:w="1050" w:type="dxa"/>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对应股室</w:t>
            </w:r>
            <w:r>
              <w:rPr>
                <w:rFonts w:hint="eastAsia" w:ascii="仿宋_GB2312" w:hAnsi="仿宋_GB2312" w:eastAsia="仿宋_GB2312" w:cs="仿宋_GB2312"/>
                <w:b/>
                <w:i w:val="0"/>
                <w:color w:val="000000"/>
                <w:kern w:val="0"/>
                <w:sz w:val="21"/>
                <w:szCs w:val="21"/>
                <w:u w:val="none"/>
                <w:lang w:val="en-US" w:eastAsia="zh-CN" w:bidi="ar"/>
              </w:rPr>
              <w:br w:type="textWrapping"/>
            </w:r>
            <w:r>
              <w:rPr>
                <w:rFonts w:hint="eastAsia" w:ascii="仿宋_GB2312" w:hAnsi="仿宋_GB2312" w:eastAsia="仿宋_GB2312" w:cs="仿宋_GB2312"/>
                <w:b/>
                <w:i w:val="0"/>
                <w:color w:val="000000"/>
                <w:kern w:val="0"/>
                <w:sz w:val="21"/>
                <w:szCs w:val="21"/>
                <w:u w:val="none"/>
                <w:lang w:val="en-US" w:eastAsia="zh-CN" w:bidi="ar"/>
              </w:rPr>
              <w:t>（单位）</w:t>
            </w:r>
          </w:p>
        </w:tc>
        <w:tc>
          <w:tcPr>
            <w:tcW w:w="5537"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年度工作目标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0" w:hRule="atLeast"/>
        </w:trPr>
        <w:tc>
          <w:tcPr>
            <w:tcW w:w="837"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1413"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城市建设管理</w:t>
            </w:r>
          </w:p>
        </w:tc>
        <w:tc>
          <w:tcPr>
            <w:tcW w:w="5750" w:type="dxa"/>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拟订城市建设发展规划、改革措施；指导城市重大基础设施项目建设工作；指导城市地铁、轨道交通建设；指导海绵城市、综合管廊规划建设有关工作；会同有关部门研究重点城市基础设施工程项目计划并指导、监督执行；负责行业统计工作。</w:t>
            </w:r>
          </w:p>
        </w:tc>
        <w:tc>
          <w:tcPr>
            <w:tcW w:w="1050" w:type="dxa"/>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城市建设管理股</w:t>
            </w:r>
          </w:p>
        </w:tc>
        <w:tc>
          <w:tcPr>
            <w:tcW w:w="5537" w:type="dxa"/>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1、制定城市建设年度计划；</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2、对市政、园林、环卫等2019年新建项目，如府前中路和府前东路改造提升工程、北辛巷升级改造工程、城区亮化提升工程等进行设计阶段的跟踪及项目建设过程中的指导、检查等工作；</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3、加强城市防汛，在市城防办指导下修编《山亭区城市防汛应急预案》，积极应对台风利奇马。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2" w:hRule="atLeast"/>
        </w:trPr>
        <w:tc>
          <w:tcPr>
            <w:tcW w:w="837"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1413"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工程建设管理</w:t>
            </w:r>
          </w:p>
        </w:tc>
        <w:tc>
          <w:tcPr>
            <w:tcW w:w="5750" w:type="dxa"/>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监督管理建筑市场，规范市场各方主体行为；实施工程施工图和设计文件的审查报审、招标投标管理工作；负责建筑安装、建筑装饰类施工企业的资质初审和上报工作，并实施监督管理；负责《建筑工程施工可许证》管理工作；建筑施工企业劳保统筹的管理工作；参与建设行业农民工工资的清理；负责房屋建筑工程现场文明施工和安全生产管理工作；贯彻落实房屋工程安全生产方面的法律、法规、政策并指导实施，组织或参与工程安全事故的调查处理；承担推进建筑节能、减排的工作；监督实施建筑节能政策,配合建筑节能的验收工作；贯彻落实国家、省、市有关墙体材料革新的法律、政策。应用新型墙体材料规划、政策、制度并指导实施；监督执行各类工程的概算预算定额、费用定额、劳动定额、建设设计标准；负责监督管理建设市场中有关工程造价计价方面的工作。</w:t>
            </w:r>
          </w:p>
        </w:tc>
        <w:tc>
          <w:tcPr>
            <w:tcW w:w="1050" w:type="dxa"/>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工程建设管理股</w:t>
            </w:r>
          </w:p>
        </w:tc>
        <w:tc>
          <w:tcPr>
            <w:tcW w:w="5537" w:type="dxa"/>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1、实施工程施工图和设计文件的审查报审；</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2、建筑安装、建筑装饰类施工企业的资质初审和上报工作；</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3、监督建筑工程招标投标；</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4、组织开展百日专项整治行动；</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5、开展城区建设扬尘治理集中行动；</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6、创建国家卫生城检查；</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7、深入整顿规范建筑市场秩序，开展建筑业企业动态考核管理工作；</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8、实施施工企业养老保障金返还清理工作；</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9、推进建筑节能、绿色建筑与装配式建筑工作；</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10、职工培训；</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11、清理拖欠民工工资问题；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80" w:hRule="atLeast"/>
        </w:trPr>
        <w:tc>
          <w:tcPr>
            <w:tcW w:w="837"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1413"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村镇建设管理</w:t>
            </w:r>
          </w:p>
        </w:tc>
        <w:tc>
          <w:tcPr>
            <w:tcW w:w="5750" w:type="dxa"/>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组织开展新型城镇化发展战略研究，制定新型城镇化、农业转移人口市民化工作的政策措施并监督实施；指导各镇（街）推进新型城镇化工作，督促落实新型城镇化政策措施；组织推进新型城镇化试点示范等有关工作；组织开展城镇化统计监测；拟订新型城镇化工作考核指标体系并组织实施；参与拟订小城镇和村庄建设管理政策并指导实施；参与镇、村庄规划的编制和指导实施工作；指导历史文化名镇、名村等特色村镇保护和监督的有关工作；指导农村住房建设和危房改造、限额以下乡村住房质量安全工作；组织村镇建设试点工作，指导全国重点镇、省级示范镇、各类特色小镇和美丽村居建设；指导小城镇和村庄人居生态环境的改善工作。</w:t>
            </w:r>
          </w:p>
        </w:tc>
        <w:tc>
          <w:tcPr>
            <w:tcW w:w="1050" w:type="dxa"/>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村镇建设管理股</w:t>
            </w:r>
          </w:p>
        </w:tc>
        <w:tc>
          <w:tcPr>
            <w:tcW w:w="5537" w:type="dxa"/>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1、突出农村人居环境整治，完成农厕改造任务及公厕建设任务；创建街垃圾分类示范街区，申报美丽村居试点；</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2、保障贫困户住房安全，实施危房改造；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2" w:hRule="atLeast"/>
        </w:trPr>
        <w:tc>
          <w:tcPr>
            <w:tcW w:w="837"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1413"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房地产业管理</w:t>
            </w:r>
          </w:p>
        </w:tc>
        <w:tc>
          <w:tcPr>
            <w:tcW w:w="5750" w:type="dxa"/>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指导全区住房建设管理工作，负责房地产市场和物业服务市场监督管理工作，负责稳定住房价格措施的落实并监督执行；负责监督房地产开发、房屋交易和产权管理（前置审批、房源检验）、房屋租赁、房屋面积管理、房屋中介管理、国有土地上房屋征收、物业服务业的规章制度的实施；指导监督房屋交易与产权档案管理；协助指导房屋登记工作；负责全区房地产市场信息系统建设管理工作；指导推进保障性安居工程的政策措施的实施，会同有关部门做好国家、省、市、区扶持资金的分配和使用监督；负责监督房屋装饰装修政策的实施。</w:t>
            </w:r>
          </w:p>
        </w:tc>
        <w:tc>
          <w:tcPr>
            <w:tcW w:w="1050" w:type="dxa"/>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房地产业管理股</w:t>
            </w:r>
          </w:p>
        </w:tc>
        <w:tc>
          <w:tcPr>
            <w:tcW w:w="5537" w:type="dxa"/>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1、完成房地产开发企业资质申报初审及管理工作；</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2、完成房地产开发项目竣工综合验收备案工作；</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3、完成房地产市场监管及住房租赁中介机构排查管理工作；</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4、完成全区房地产开发企业的调研摸底工作；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900" w:hRule="atLeast"/>
        </w:trPr>
        <w:tc>
          <w:tcPr>
            <w:tcW w:w="837"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w:t>
            </w:r>
          </w:p>
        </w:tc>
        <w:tc>
          <w:tcPr>
            <w:tcW w:w="1413"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城市建设</w:t>
            </w:r>
          </w:p>
        </w:tc>
        <w:tc>
          <w:tcPr>
            <w:tcW w:w="5750" w:type="dxa"/>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负责城区内的市政、园林等基础</w:t>
            </w:r>
            <w:bookmarkStart w:id="33" w:name="_GoBack"/>
            <w:bookmarkEnd w:id="33"/>
            <w:r>
              <w:rPr>
                <w:rFonts w:hint="eastAsia" w:ascii="仿宋_GB2312" w:hAnsi="仿宋_GB2312" w:eastAsia="仿宋_GB2312" w:cs="仿宋_GB2312"/>
                <w:i w:val="0"/>
                <w:color w:val="000000"/>
                <w:kern w:val="0"/>
                <w:sz w:val="21"/>
                <w:szCs w:val="21"/>
                <w:u w:val="none"/>
                <w:lang w:val="en-US" w:eastAsia="zh-CN" w:bidi="ar"/>
              </w:rPr>
              <w:t>设施建设与维护。</w:t>
            </w:r>
          </w:p>
        </w:tc>
        <w:tc>
          <w:tcPr>
            <w:tcW w:w="1050" w:type="dxa"/>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园林管理处、环卫管理处、市政管理所</w:t>
            </w:r>
          </w:p>
        </w:tc>
        <w:tc>
          <w:tcPr>
            <w:tcW w:w="5537" w:type="dxa"/>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center"/>
              <w:rPr>
                <w:rFonts w:hint="eastAsia" w:ascii="仿宋_GB2312" w:hAnsi="仿宋_GB2312" w:eastAsia="仿宋_GB2312" w:cs="仿宋_GB2312"/>
                <w:b/>
                <w:i w:val="0"/>
                <w:color w:val="000000"/>
                <w:sz w:val="21"/>
                <w:szCs w:val="21"/>
                <w:u w:val="none"/>
              </w:rPr>
            </w:pPr>
            <w:r>
              <w:rPr>
                <w:rStyle w:val="16"/>
                <w:rFonts w:hint="eastAsia" w:ascii="仿宋_GB2312" w:hAnsi="仿宋_GB2312" w:eastAsia="仿宋_GB2312" w:cs="仿宋_GB2312"/>
                <w:sz w:val="21"/>
                <w:szCs w:val="21"/>
                <w:lang w:val="en-US" w:eastAsia="zh-CN" w:bidi="ar"/>
              </w:rPr>
              <w:t>市政：</w:t>
            </w:r>
            <w:r>
              <w:rPr>
                <w:rStyle w:val="17"/>
                <w:rFonts w:hint="eastAsia" w:ascii="仿宋_GB2312" w:hAnsi="仿宋_GB2312" w:eastAsia="仿宋_GB2312" w:cs="仿宋_GB2312"/>
                <w:sz w:val="21"/>
                <w:szCs w:val="21"/>
                <w:lang w:val="en-US" w:eastAsia="zh-CN" w:bidi="ar"/>
              </w:rPr>
              <w:t>1、实施府前中路和府前东路改造提升工程，改造路段全长2904.17米，完工率100%；2、实施完成西集镇驻地店韩路段道路配套及绿化改造工程，完工率100%；3、运河路升级改造工程，改造道路全长1000米，完工率100%；4、北辛巷升级改造工程。改造路段全长435米，完工率100%；5、实施城区亮化提升工程，完工率100%；</w:t>
            </w:r>
            <w:r>
              <w:rPr>
                <w:rStyle w:val="17"/>
                <w:rFonts w:hint="eastAsia" w:ascii="仿宋_GB2312" w:hAnsi="仿宋_GB2312" w:eastAsia="仿宋_GB2312" w:cs="仿宋_GB2312"/>
                <w:sz w:val="21"/>
                <w:szCs w:val="21"/>
                <w:lang w:val="en-US" w:eastAsia="zh-CN" w:bidi="ar"/>
              </w:rPr>
              <w:br w:type="textWrapping"/>
            </w:r>
            <w:r>
              <w:rPr>
                <w:rStyle w:val="16"/>
                <w:rFonts w:hint="eastAsia" w:ascii="仿宋_GB2312" w:hAnsi="仿宋_GB2312" w:eastAsia="仿宋_GB2312" w:cs="仿宋_GB2312"/>
                <w:sz w:val="21"/>
                <w:szCs w:val="21"/>
                <w:lang w:val="en-US" w:eastAsia="zh-CN" w:bidi="ar"/>
              </w:rPr>
              <w:t>园林：</w:t>
            </w:r>
            <w:r>
              <w:rPr>
                <w:rStyle w:val="17"/>
                <w:rFonts w:hint="eastAsia" w:ascii="仿宋_GB2312" w:hAnsi="仿宋_GB2312" w:eastAsia="仿宋_GB2312" w:cs="仿宋_GB2312"/>
                <w:sz w:val="21"/>
                <w:szCs w:val="21"/>
                <w:lang w:val="en-US" w:eastAsia="zh-CN" w:bidi="ar"/>
              </w:rPr>
              <w:t>1、城区150多万平方米的绿化养护；2、西集绿化节点工程建设，完工率100%；</w:t>
            </w:r>
            <w:r>
              <w:rPr>
                <w:rStyle w:val="17"/>
                <w:rFonts w:hint="eastAsia" w:ascii="仿宋_GB2312" w:hAnsi="仿宋_GB2312" w:eastAsia="仿宋_GB2312" w:cs="仿宋_GB2312"/>
                <w:sz w:val="21"/>
                <w:szCs w:val="21"/>
                <w:lang w:val="en-US" w:eastAsia="zh-CN" w:bidi="ar"/>
              </w:rPr>
              <w:br w:type="textWrapping"/>
            </w:r>
            <w:r>
              <w:rPr>
                <w:rStyle w:val="16"/>
                <w:rFonts w:hint="eastAsia" w:ascii="仿宋_GB2312" w:hAnsi="仿宋_GB2312" w:eastAsia="仿宋_GB2312" w:cs="仿宋_GB2312"/>
                <w:sz w:val="21"/>
                <w:szCs w:val="21"/>
                <w:lang w:val="en-US" w:eastAsia="zh-CN" w:bidi="ar"/>
              </w:rPr>
              <w:t>环卫：</w:t>
            </w:r>
            <w:r>
              <w:rPr>
                <w:rStyle w:val="17"/>
                <w:rFonts w:hint="eastAsia" w:ascii="仿宋_GB2312" w:hAnsi="仿宋_GB2312" w:eastAsia="仿宋_GB2312" w:cs="仿宋_GB2312"/>
                <w:sz w:val="21"/>
                <w:szCs w:val="21"/>
                <w:lang w:val="en-US" w:eastAsia="zh-CN" w:bidi="ar"/>
              </w:rPr>
              <w:t>1、完成城区的道路保洁、垃圾清运、公厕管护、垃圾处理厂运行等工作；2、更换垃圾中转站设备1套。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748" w:hRule="atLeast"/>
        </w:trPr>
        <w:tc>
          <w:tcPr>
            <w:tcW w:w="837"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w:t>
            </w:r>
          </w:p>
        </w:tc>
        <w:tc>
          <w:tcPr>
            <w:tcW w:w="1413"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城市管理</w:t>
            </w:r>
          </w:p>
        </w:tc>
        <w:tc>
          <w:tcPr>
            <w:tcW w:w="5750" w:type="dxa"/>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监督城市生活污水处理厂正常运营，负责排水数据统计及上报；城区排水管网的巡查、维护维修；燃气、热力的监管工作。</w:t>
            </w:r>
          </w:p>
        </w:tc>
        <w:tc>
          <w:tcPr>
            <w:tcW w:w="1050" w:type="dxa"/>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污水处理中心、公用事业股</w:t>
            </w:r>
          </w:p>
        </w:tc>
        <w:tc>
          <w:tcPr>
            <w:tcW w:w="5537" w:type="dxa"/>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1、监督城市生活污水处理厂正常运营，负责排水数据统计及上报；</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2、城区排水管网的巡查、维护维修；</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3、燃气管理工作；</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4、供热管理工作；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0" w:hRule="atLeast"/>
        </w:trPr>
        <w:tc>
          <w:tcPr>
            <w:tcW w:w="837"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w:t>
            </w:r>
          </w:p>
        </w:tc>
        <w:tc>
          <w:tcPr>
            <w:tcW w:w="1413"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住房保障</w:t>
            </w:r>
          </w:p>
        </w:tc>
        <w:tc>
          <w:tcPr>
            <w:tcW w:w="5750" w:type="dxa"/>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负责住房保障的登记申请和审核工作；负责经济适用住房、公共租赁住房建设计划编报、分配和日常管理工作；负责住房租赁补贴的发放工作；负责已购经济适用住房上市交易管理工作；加强全区房地产中介机构专项整治工作;房产测绘工作；房产信息核查工作；负责指导全区物业企业管理工作；负责全区住宅维修资金收集、管理和使用；负责住宅小区前期物业合同进行备案管理；负责全区老旧小区实施改造工作</w:t>
            </w:r>
          </w:p>
        </w:tc>
        <w:tc>
          <w:tcPr>
            <w:tcW w:w="1050" w:type="dxa"/>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住房保障服务中心</w:t>
            </w:r>
          </w:p>
        </w:tc>
        <w:tc>
          <w:tcPr>
            <w:tcW w:w="5537" w:type="dxa"/>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1、受理各类住房保障申请；</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2、对樱花园、欧情豪庭公租房年度资格审核；</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3、实施享受租赁补贴家庭的年度资格审核工作；</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4、健全物业水平服务管理体系；</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5、强化住宅维修资金收取、管理和使用的监管；</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6、深入开展物业行业专项整治；</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7、创新举措推进老旧小区改造。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220" w:hRule="atLeast"/>
        </w:trPr>
        <w:tc>
          <w:tcPr>
            <w:tcW w:w="837"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w:t>
            </w:r>
          </w:p>
        </w:tc>
        <w:tc>
          <w:tcPr>
            <w:tcW w:w="1413"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信息宣传</w:t>
            </w:r>
          </w:p>
        </w:tc>
        <w:tc>
          <w:tcPr>
            <w:tcW w:w="5750" w:type="dxa"/>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通过新闻媒体、电视、网络等渠道对外宣传项目动态、进展及先进工作经验；向区委信息室、区委区政府信息中心上报信息；起草领导讲话稿、方案、总结、报告等工作；</w:t>
            </w:r>
          </w:p>
        </w:tc>
        <w:tc>
          <w:tcPr>
            <w:tcW w:w="1050" w:type="dxa"/>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信息宣传股</w:t>
            </w:r>
          </w:p>
        </w:tc>
        <w:tc>
          <w:tcPr>
            <w:tcW w:w="5537" w:type="dxa"/>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1、通过新闻媒体、电视、网络等渠道对外宣传项目动态、进展及先进工作经验；</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2、向区委信息室、区委区政府信息中心上报信息；</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3、起草领导讲话稿、方案、总结、报告等工作；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4587" w:type="dxa"/>
            <w:gridSpan w:val="5"/>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二、对内职能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837"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序号</w:t>
            </w:r>
          </w:p>
        </w:tc>
        <w:tc>
          <w:tcPr>
            <w:tcW w:w="1413"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职能分类</w:t>
            </w:r>
          </w:p>
        </w:tc>
        <w:tc>
          <w:tcPr>
            <w:tcW w:w="5750"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职能描述</w:t>
            </w:r>
          </w:p>
        </w:tc>
        <w:tc>
          <w:tcPr>
            <w:tcW w:w="1050" w:type="dxa"/>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对应股室</w:t>
            </w:r>
            <w:r>
              <w:rPr>
                <w:rFonts w:hint="eastAsia" w:ascii="仿宋_GB2312" w:hAnsi="仿宋_GB2312" w:eastAsia="仿宋_GB2312" w:cs="仿宋_GB2312"/>
                <w:b/>
                <w:i w:val="0"/>
                <w:color w:val="000000"/>
                <w:kern w:val="0"/>
                <w:sz w:val="21"/>
                <w:szCs w:val="21"/>
                <w:u w:val="none"/>
                <w:lang w:val="en-US" w:eastAsia="zh-CN" w:bidi="ar"/>
              </w:rPr>
              <w:br w:type="textWrapping"/>
            </w:r>
            <w:r>
              <w:rPr>
                <w:rFonts w:hint="eastAsia" w:ascii="仿宋_GB2312" w:hAnsi="仿宋_GB2312" w:eastAsia="仿宋_GB2312" w:cs="仿宋_GB2312"/>
                <w:b/>
                <w:i w:val="0"/>
                <w:color w:val="000000"/>
                <w:kern w:val="0"/>
                <w:sz w:val="21"/>
                <w:szCs w:val="21"/>
                <w:u w:val="none"/>
                <w:lang w:val="en-US" w:eastAsia="zh-CN" w:bidi="ar"/>
              </w:rPr>
              <w:t>（单位）</w:t>
            </w:r>
          </w:p>
        </w:tc>
        <w:tc>
          <w:tcPr>
            <w:tcW w:w="5537"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年度工作目标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0" w:hRule="atLeast"/>
        </w:trPr>
        <w:tc>
          <w:tcPr>
            <w:tcW w:w="837"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1413"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法制建设</w:t>
            </w:r>
          </w:p>
        </w:tc>
        <w:tc>
          <w:tcPr>
            <w:tcW w:w="5750" w:type="dxa"/>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贯彻执行住房和城乡建设行业政策和法律、法规、规章；负责住房和城乡建设系统法制建设，指导普法、行政执法及行政执法监督工作，承办相关行政复议和行政应诉工作；负责规范执法文书和执法证件的管理。</w:t>
            </w:r>
          </w:p>
        </w:tc>
        <w:tc>
          <w:tcPr>
            <w:tcW w:w="1050"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法制股</w:t>
            </w:r>
          </w:p>
        </w:tc>
        <w:tc>
          <w:tcPr>
            <w:tcW w:w="5537" w:type="dxa"/>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进行局内的法制建设工作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8" w:hRule="atLeast"/>
        </w:trPr>
        <w:tc>
          <w:tcPr>
            <w:tcW w:w="837"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1413"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党建</w:t>
            </w:r>
          </w:p>
        </w:tc>
        <w:tc>
          <w:tcPr>
            <w:tcW w:w="5750" w:type="dxa"/>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积极宣传党的政治主张，把各级党组织的决策、意图传达给干部群众，做好向干部群众的宣传解释工作，做到上情下达；</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把了解到的干部群众的意见、要求、困难及时反映给各级党组织和有关行政领导，做到下情上达。</w:t>
            </w:r>
          </w:p>
        </w:tc>
        <w:tc>
          <w:tcPr>
            <w:tcW w:w="1050"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党建办</w:t>
            </w:r>
          </w:p>
        </w:tc>
        <w:tc>
          <w:tcPr>
            <w:tcW w:w="5537" w:type="dxa"/>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1、成立住建局机关委员会</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2、开展社区双报到工作</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3、组织开展党性教育学习</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4、组织开展“不忘初心、牢记使命”工作。</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5、组织开展廉政专题教育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837"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1413"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人事管理</w:t>
            </w:r>
          </w:p>
        </w:tc>
        <w:tc>
          <w:tcPr>
            <w:tcW w:w="5750" w:type="dxa"/>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承办人事劳资、机构编制和离退休管理与服务工作</w:t>
            </w:r>
          </w:p>
        </w:tc>
        <w:tc>
          <w:tcPr>
            <w:tcW w:w="1050"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人事股</w:t>
            </w:r>
          </w:p>
        </w:tc>
        <w:tc>
          <w:tcPr>
            <w:tcW w:w="5537"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承办人事劳资、机构编制和离退休管理与服务工作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7" w:hRule="atLeast"/>
        </w:trPr>
        <w:tc>
          <w:tcPr>
            <w:tcW w:w="837"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1413"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财务审计</w:t>
            </w:r>
          </w:p>
        </w:tc>
        <w:tc>
          <w:tcPr>
            <w:tcW w:w="5750" w:type="dxa"/>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负责本部门财务和国有资产管理工作；负责本部门预算编报和具体执行，负责本部门决算编报；负责本部门资金的收支核算、票据管理、员工工资福利的发放等工作；负责城建资金的申请与拨付；负责下属单位的审计调查工作；配合财政、审计部门做好监督检查等工作。</w:t>
            </w:r>
          </w:p>
        </w:tc>
        <w:tc>
          <w:tcPr>
            <w:tcW w:w="1050" w:type="dxa"/>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财务审计股</w:t>
            </w:r>
          </w:p>
        </w:tc>
        <w:tc>
          <w:tcPr>
            <w:tcW w:w="5537" w:type="dxa"/>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负责本部门财务和国有资产管理工作；负责本部门预算编报和具体执行，负责本部门决算编报；负责本部门资金的收支核算、票据管理、员工工资福利的发放等工作；负责城建资金的申请与拨付；负责下属单位的审计调查工作；配合财政、审计部门做好监督检查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0" w:hRule="atLeast"/>
        </w:trPr>
        <w:tc>
          <w:tcPr>
            <w:tcW w:w="837"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w:t>
            </w:r>
          </w:p>
        </w:tc>
        <w:tc>
          <w:tcPr>
            <w:tcW w:w="1413"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安全生产监督</w:t>
            </w:r>
          </w:p>
        </w:tc>
        <w:tc>
          <w:tcPr>
            <w:tcW w:w="5750" w:type="dxa"/>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督促内部科室，针对相应行业进行安全生产的监督检查，制定安全预案等</w:t>
            </w:r>
          </w:p>
        </w:tc>
        <w:tc>
          <w:tcPr>
            <w:tcW w:w="1050"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安监办</w:t>
            </w:r>
          </w:p>
        </w:tc>
        <w:tc>
          <w:tcPr>
            <w:tcW w:w="5537" w:type="dxa"/>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督促局内各股室对建筑施工安全、城镇燃气安全生产、城市建设安全生产等方面进行监督检查并制定相应的安全预案及组织相关培训。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860" w:hRule="atLeast"/>
        </w:trPr>
        <w:tc>
          <w:tcPr>
            <w:tcW w:w="837"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w:t>
            </w:r>
          </w:p>
        </w:tc>
        <w:tc>
          <w:tcPr>
            <w:tcW w:w="1413" w:type="dxa"/>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职工服务、计划生育</w:t>
            </w:r>
          </w:p>
        </w:tc>
        <w:tc>
          <w:tcPr>
            <w:tcW w:w="5750" w:type="dxa"/>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做好职工思想政治工作；依法维护职工的民主权利；组织职工开展社会主义劳动竞赛；维护职工的学习权利；保障职工生活福利；关心职工劳动条件的改善；维护女职工的合法权益；收好、管好、用好工会经费、坚持工会的民主制度和民主生活，对会员进行工会基本知识的教育。</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局系统计划生育各项政策落实和管理工作。</w:t>
            </w:r>
          </w:p>
        </w:tc>
        <w:tc>
          <w:tcPr>
            <w:tcW w:w="1050" w:type="dxa"/>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工会、计生办</w:t>
            </w:r>
          </w:p>
        </w:tc>
        <w:tc>
          <w:tcPr>
            <w:tcW w:w="5537" w:type="dxa"/>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1.组织职工参加登山比赛、篮球比赛、乒乓球比赛；</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2.建立健全困难职工联系制度，组织慰问困难职工；</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3.组织“慈心一日捐”活动；</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4.开展夏季送清凉活动，慰问一线职工；</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5.解决环卫工人和户外职工饮水难、休息难等问题；</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6.组织系统干部职工义务献血活动；</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7.组织机关干部职工健康体检；</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8.贯彻落实有关脱贫攻坚各项工作；</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9.做好省级精神文明单位复审材料报送和健康机关检查评审工作；</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10.做好计划生育管理工作。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837"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w:t>
            </w:r>
          </w:p>
        </w:tc>
        <w:tc>
          <w:tcPr>
            <w:tcW w:w="1413"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日常协调</w:t>
            </w:r>
          </w:p>
        </w:tc>
        <w:tc>
          <w:tcPr>
            <w:tcW w:w="5750" w:type="dxa"/>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组织协调日常生活；做好文件、通知的上传下达。</w:t>
            </w:r>
          </w:p>
        </w:tc>
        <w:tc>
          <w:tcPr>
            <w:tcW w:w="1050"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办公室</w:t>
            </w:r>
          </w:p>
        </w:tc>
        <w:tc>
          <w:tcPr>
            <w:tcW w:w="5537" w:type="dxa"/>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组织协调日常生活；做好文件、通知的上传下达。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80" w:hRule="atLeast"/>
        </w:trPr>
        <w:tc>
          <w:tcPr>
            <w:tcW w:w="837"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w:t>
            </w:r>
          </w:p>
        </w:tc>
        <w:tc>
          <w:tcPr>
            <w:tcW w:w="1413"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档案管理</w:t>
            </w:r>
          </w:p>
        </w:tc>
        <w:tc>
          <w:tcPr>
            <w:tcW w:w="5750" w:type="dxa"/>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贯彻执行档案工作的法律、法规和方针政策，制定本单位档案管理规章制度；负责接收、整理、分类、保管文书、财务、城建档案等资料；开展各类档案的利用工作，制定档案工作计划，进行工作总结；对接收各类档案资料进行科学管理，积极开发利用，为城市各项工作服务；对全区建设单位的城建档案工作进行监督、检查和指导，并参加建设工程和地下管线的竣工验收。</w:t>
            </w:r>
          </w:p>
        </w:tc>
        <w:tc>
          <w:tcPr>
            <w:tcW w:w="1050"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档案室</w:t>
            </w:r>
          </w:p>
        </w:tc>
        <w:tc>
          <w:tcPr>
            <w:tcW w:w="5537" w:type="dxa"/>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1、严格按照国家档案规范规定，接收、整理2019年文书档案等；</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2、开展各类档案的利用工作；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0" w:hRule="atLeast"/>
        </w:trPr>
        <w:tc>
          <w:tcPr>
            <w:tcW w:w="837"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w:t>
            </w:r>
          </w:p>
        </w:tc>
        <w:tc>
          <w:tcPr>
            <w:tcW w:w="1413"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后勤服务</w:t>
            </w:r>
          </w:p>
        </w:tc>
        <w:tc>
          <w:tcPr>
            <w:tcW w:w="5750" w:type="dxa"/>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职工就餐、门卫、办公楼卫生、供水供电、工作餐、办公用品的购置等基本保障服务；</w:t>
            </w:r>
          </w:p>
        </w:tc>
        <w:tc>
          <w:tcPr>
            <w:tcW w:w="1050"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事务中心</w:t>
            </w:r>
          </w:p>
        </w:tc>
        <w:tc>
          <w:tcPr>
            <w:tcW w:w="5537" w:type="dxa"/>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完善科室服务制度，提高服务质量，提升为全局职工服务水平。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14587" w:type="dxa"/>
            <w:gridSpan w:val="5"/>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left"/>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三、其他职能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0" w:hRule="atLeast"/>
        </w:trPr>
        <w:tc>
          <w:tcPr>
            <w:tcW w:w="837"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1413" w:type="dxa"/>
            <w:vMerge w:val="restart"/>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其他</w:t>
            </w:r>
          </w:p>
        </w:tc>
        <w:tc>
          <w:tcPr>
            <w:tcW w:w="5750" w:type="dxa"/>
            <w:vMerge w:val="restart"/>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完成区委、区政府交代的其他事项。</w:t>
            </w:r>
          </w:p>
        </w:tc>
        <w:tc>
          <w:tcPr>
            <w:tcW w:w="1050" w:type="dxa"/>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工程建设管理股、房地产业管理股</w:t>
            </w:r>
          </w:p>
        </w:tc>
        <w:tc>
          <w:tcPr>
            <w:tcW w:w="5537"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扫黑除恶专项斗争工作；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8" w:hRule="atLeast"/>
        </w:trPr>
        <w:tc>
          <w:tcPr>
            <w:tcW w:w="837"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1413" w:type="dxa"/>
            <w:vMerge w:val="continue"/>
            <w:shd w:val="clear" w:color="auto" w:fill="auto"/>
            <w:noWrap/>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rPr>
                <w:rFonts w:hint="eastAsia" w:ascii="仿宋_GB2312" w:hAnsi="仿宋_GB2312" w:eastAsia="仿宋_GB2312" w:cs="仿宋_GB2312"/>
                <w:i w:val="0"/>
                <w:color w:val="000000"/>
                <w:sz w:val="21"/>
                <w:szCs w:val="21"/>
                <w:u w:val="none"/>
              </w:rPr>
            </w:pPr>
          </w:p>
        </w:tc>
        <w:tc>
          <w:tcPr>
            <w:tcW w:w="5750" w:type="dxa"/>
            <w:vMerge w:val="continue"/>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rPr>
                <w:rFonts w:hint="eastAsia" w:ascii="仿宋_GB2312" w:hAnsi="仿宋_GB2312" w:eastAsia="仿宋_GB2312" w:cs="仿宋_GB2312"/>
                <w:i w:val="0"/>
                <w:color w:val="000000"/>
                <w:sz w:val="21"/>
                <w:szCs w:val="21"/>
                <w:u w:val="none"/>
              </w:rPr>
            </w:pPr>
          </w:p>
        </w:tc>
        <w:tc>
          <w:tcPr>
            <w:tcW w:w="1050" w:type="dxa"/>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法制股</w:t>
            </w:r>
          </w:p>
        </w:tc>
        <w:tc>
          <w:tcPr>
            <w:tcW w:w="5537" w:type="dxa"/>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1、“放管服”行政体制改革工作；</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 xml:space="preserve">2、扫黑除恶专项斗争工作；      </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3、民兵工作。</w:t>
            </w:r>
          </w:p>
        </w:tc>
      </w:tr>
    </w:tbl>
    <w:p>
      <w:pPr>
        <w:rPr>
          <w:rFonts w:hint="default"/>
          <w:lang w:val="en-US" w:eastAsia="zh-CN"/>
        </w:rPr>
        <w:sectPr>
          <w:pgSz w:w="16838" w:h="11906" w:orient="landscape"/>
          <w:pgMar w:top="1587" w:right="1587" w:bottom="1587" w:left="1587" w:header="851" w:footer="992" w:gutter="0"/>
          <w:pgNumType w:fmt="decimal"/>
          <w:cols w:space="425" w:num="1"/>
          <w:docGrid w:type="lines" w:linePitch="312" w:charSpace="0"/>
        </w:sectPr>
      </w:pPr>
    </w:p>
    <w:p>
      <w:pPr>
        <w:pStyle w:val="2"/>
        <w:bidi w:val="0"/>
        <w:rPr>
          <w:rFonts w:hint="eastAsia"/>
        </w:rPr>
      </w:pPr>
      <w:bookmarkStart w:id="6" w:name="_Toc13724"/>
      <w:r>
        <w:rPr>
          <w:rFonts w:hint="eastAsia"/>
          <w:lang w:val="en-US" w:eastAsia="zh-CN"/>
        </w:rPr>
        <w:t>三</w:t>
      </w:r>
      <w:r>
        <w:rPr>
          <w:rFonts w:hint="eastAsia"/>
        </w:rPr>
        <w:t>、评价工作开展</w:t>
      </w:r>
      <w:bookmarkEnd w:id="6"/>
    </w:p>
    <w:p>
      <w:pPr>
        <w:pStyle w:val="3"/>
        <w:ind w:firstLine="640"/>
      </w:pPr>
      <w:bookmarkStart w:id="7" w:name="_Toc25592817"/>
      <w:bookmarkStart w:id="8" w:name="_Toc24231"/>
      <w:r>
        <w:rPr>
          <w:rFonts w:hint="eastAsia"/>
        </w:rPr>
        <w:t>（一）绩效评价目的</w:t>
      </w:r>
      <w:bookmarkEnd w:id="7"/>
      <w:bookmarkEnd w:id="8"/>
    </w:p>
    <w:p>
      <w:pPr>
        <w:ind w:firstLine="640"/>
      </w:pPr>
      <w:r>
        <w:rPr>
          <w:rFonts w:hint="eastAsia"/>
        </w:rPr>
        <w:t>部门整体支出绩效评价是围绕部门职能，考察部门人、财、物资源与部门职能匹配情况，从更加宏观的层面把握单位（部门）的部门职能履行情况，从整体支出效益分析中更加精确地查找问题，进而有的放矢地进行改进。</w:t>
      </w:r>
    </w:p>
    <w:p>
      <w:pPr>
        <w:ind w:firstLine="640"/>
      </w:pPr>
      <w:r>
        <w:rPr>
          <w:rFonts w:hint="eastAsia"/>
        </w:rPr>
        <w:t>201</w:t>
      </w:r>
      <w:r>
        <w:rPr>
          <w:rFonts w:hint="eastAsia"/>
          <w:lang w:val="en-US" w:eastAsia="zh-CN"/>
        </w:rPr>
        <w:t>9</w:t>
      </w:r>
      <w:r>
        <w:t>年度</w:t>
      </w:r>
      <w:r>
        <w:rPr>
          <w:rFonts w:hint="eastAsia"/>
          <w:lang w:val="en-US" w:eastAsia="zh-CN"/>
        </w:rPr>
        <w:t>山亭区住建局部门</w:t>
      </w:r>
      <w:r>
        <w:t>整体支出绩效评价，旨在通过收集</w:t>
      </w:r>
      <w:r>
        <w:rPr>
          <w:rFonts w:hint="eastAsia"/>
        </w:rPr>
        <w:t>投入</w:t>
      </w:r>
      <w:r>
        <w:t>、</w:t>
      </w:r>
      <w:r>
        <w:rPr>
          <w:rFonts w:hint="eastAsia"/>
        </w:rPr>
        <w:t>过程</w:t>
      </w:r>
      <w:r>
        <w:t>、</w:t>
      </w:r>
      <w:r>
        <w:rPr>
          <w:rFonts w:hint="eastAsia"/>
        </w:rPr>
        <w:t>产出、效果</w:t>
      </w:r>
      <w:r>
        <w:t>等信息，分析</w:t>
      </w:r>
      <w:r>
        <w:rPr>
          <w:rFonts w:hint="eastAsia"/>
          <w:lang w:val="en-US" w:eastAsia="zh-CN"/>
        </w:rPr>
        <w:t>山亭区住建局</w:t>
      </w:r>
      <w:r>
        <w:t>的部门基本支出、</w:t>
      </w:r>
      <w:r>
        <w:rPr>
          <w:rFonts w:hint="eastAsia"/>
        </w:rPr>
        <w:t>项目</w:t>
      </w:r>
      <w:r>
        <w:t>支出对部门基本运转及部门职能履行的保障作用，总结经验做法，找出资金使用和管理中的薄弱环节，提出改进建议，提高财政资金的使用效率。</w:t>
      </w:r>
    </w:p>
    <w:p>
      <w:pPr>
        <w:pStyle w:val="3"/>
        <w:bidi w:val="0"/>
        <w:rPr>
          <w:rFonts w:hint="eastAsia"/>
          <w:lang w:val="en-US" w:eastAsia="zh-CN"/>
        </w:rPr>
      </w:pPr>
      <w:bookmarkStart w:id="9" w:name="_Toc9009"/>
      <w:r>
        <w:rPr>
          <w:rFonts w:hint="eastAsia"/>
          <w:lang w:eastAsia="zh-CN"/>
        </w:rPr>
        <w:t>（</w:t>
      </w:r>
      <w:r>
        <w:rPr>
          <w:rFonts w:hint="eastAsia"/>
          <w:lang w:val="en-US" w:eastAsia="zh-CN"/>
        </w:rPr>
        <w:t>二</w:t>
      </w:r>
      <w:r>
        <w:rPr>
          <w:rFonts w:hint="eastAsia"/>
          <w:lang w:eastAsia="zh-CN"/>
        </w:rPr>
        <w:t>）</w:t>
      </w:r>
      <w:r>
        <w:rPr>
          <w:rFonts w:hint="eastAsia"/>
          <w:lang w:val="en-US" w:eastAsia="zh-CN"/>
        </w:rPr>
        <w:t>评价原则</w:t>
      </w:r>
      <w:bookmarkEnd w:id="9"/>
    </w:p>
    <w:p>
      <w:pPr>
        <w:ind w:firstLine="640"/>
        <w:rPr>
          <w:rFonts w:hAnsi="宋体" w:cs="Arial"/>
          <w:szCs w:val="32"/>
        </w:rPr>
      </w:pPr>
      <w:r>
        <w:rPr>
          <w:rFonts w:hint="eastAsia" w:hAnsi="宋体" w:cs="Arial"/>
          <w:szCs w:val="32"/>
          <w:lang w:val="en-US" w:eastAsia="zh-CN"/>
        </w:rPr>
        <w:t>1、</w:t>
      </w:r>
      <w:r>
        <w:rPr>
          <w:rFonts w:hint="eastAsia" w:hAnsi="宋体" w:cs="Arial"/>
          <w:szCs w:val="32"/>
        </w:rPr>
        <w:t xml:space="preserve">科学规范原则。绩效评价应当严格执行规定的程序，按照科学可行的要求，采用定量与定性分析相结合的方法。  </w:t>
      </w:r>
    </w:p>
    <w:p>
      <w:pPr>
        <w:ind w:firstLine="640"/>
        <w:rPr>
          <w:rFonts w:hAnsi="宋体" w:cs="Arial"/>
          <w:szCs w:val="32"/>
        </w:rPr>
      </w:pPr>
      <w:r>
        <w:rPr>
          <w:rFonts w:hint="eastAsia" w:hAnsi="宋体" w:cs="Arial"/>
          <w:szCs w:val="32"/>
          <w:lang w:val="en-US" w:eastAsia="zh-CN"/>
        </w:rPr>
        <w:t>2、</w:t>
      </w:r>
      <w:r>
        <w:rPr>
          <w:rFonts w:hint="eastAsia" w:hAnsi="宋体" w:cs="Arial"/>
          <w:szCs w:val="32"/>
        </w:rPr>
        <w:t xml:space="preserve">公正公开原则。绩效评价应当符合真实、客观、公正的要求，依法公开并接受监督。  </w:t>
      </w:r>
    </w:p>
    <w:p>
      <w:pPr>
        <w:ind w:firstLine="640"/>
        <w:rPr>
          <w:rFonts w:hint="eastAsia" w:hAnsi="宋体" w:cs="Arial"/>
          <w:szCs w:val="32"/>
        </w:rPr>
      </w:pPr>
      <w:r>
        <w:rPr>
          <w:rFonts w:hint="eastAsia" w:hAnsi="宋体" w:cs="Arial"/>
          <w:szCs w:val="32"/>
          <w:lang w:val="en-US" w:eastAsia="zh-CN"/>
        </w:rPr>
        <w:t>3、</w:t>
      </w:r>
      <w:r>
        <w:rPr>
          <w:rFonts w:hint="eastAsia" w:hAnsi="宋体" w:cs="Arial"/>
          <w:szCs w:val="32"/>
        </w:rPr>
        <w:t xml:space="preserve">绩效相关原则。绩效评价应当针对具体支出及其产出绩效进行，评价结果应当清晰反映支出和产出绩效之间的紧密对应关系。  </w:t>
      </w:r>
    </w:p>
    <w:p>
      <w:pPr>
        <w:pStyle w:val="3"/>
        <w:bidi w:val="0"/>
        <w:rPr>
          <w:rFonts w:hint="eastAsia"/>
          <w:lang w:val="en-US" w:eastAsia="zh-CN"/>
        </w:rPr>
      </w:pPr>
      <w:bookmarkStart w:id="10" w:name="_Toc18050"/>
      <w:r>
        <w:rPr>
          <w:rFonts w:hint="eastAsia"/>
          <w:lang w:eastAsia="zh-CN"/>
        </w:rPr>
        <w:t>（</w:t>
      </w:r>
      <w:r>
        <w:rPr>
          <w:rFonts w:hint="eastAsia"/>
          <w:lang w:val="en-US" w:eastAsia="zh-CN"/>
        </w:rPr>
        <w:t>三</w:t>
      </w:r>
      <w:r>
        <w:rPr>
          <w:rFonts w:hint="eastAsia"/>
          <w:lang w:eastAsia="zh-CN"/>
        </w:rPr>
        <w:t>）</w:t>
      </w:r>
      <w:r>
        <w:rPr>
          <w:rFonts w:hint="eastAsia"/>
          <w:lang w:val="en-US" w:eastAsia="zh-CN"/>
        </w:rPr>
        <w:t>评价方法</w:t>
      </w:r>
      <w:bookmarkEnd w:id="10"/>
    </w:p>
    <w:p>
      <w:pPr>
        <w:ind w:firstLine="640"/>
        <w:rPr>
          <w:szCs w:val="28"/>
        </w:rPr>
      </w:pPr>
      <w:r>
        <w:rPr>
          <w:rFonts w:hint="eastAsia"/>
          <w:szCs w:val="28"/>
        </w:rPr>
        <w:t>绩效评价方法主要</w:t>
      </w:r>
      <w:r>
        <w:rPr>
          <w:rFonts w:hint="eastAsia"/>
          <w:szCs w:val="28"/>
          <w:lang w:val="en-US" w:eastAsia="zh-CN"/>
        </w:rPr>
        <w:t>有</w:t>
      </w:r>
      <w:r>
        <w:rPr>
          <w:rFonts w:hint="eastAsia"/>
          <w:szCs w:val="28"/>
        </w:rPr>
        <w:t>成本效益分析法、比较法、因素分析法、最低成本法、公众评判法</w:t>
      </w:r>
      <w:r>
        <w:rPr>
          <w:rFonts w:hint="eastAsia"/>
          <w:szCs w:val="28"/>
          <w:lang w:eastAsia="zh-CN"/>
        </w:rPr>
        <w:t>、</w:t>
      </w:r>
      <w:r>
        <w:rPr>
          <w:rFonts w:hint="eastAsia"/>
          <w:szCs w:val="28"/>
          <w:lang w:val="en-US" w:eastAsia="zh-CN"/>
        </w:rPr>
        <w:t>标杆管理法</w:t>
      </w:r>
      <w:r>
        <w:rPr>
          <w:rFonts w:hint="eastAsia"/>
          <w:szCs w:val="28"/>
        </w:rPr>
        <w:t>等。</w:t>
      </w:r>
    </w:p>
    <w:p>
      <w:pPr>
        <w:ind w:firstLine="640"/>
        <w:rPr>
          <w:szCs w:val="28"/>
        </w:rPr>
      </w:pPr>
      <w:r>
        <w:rPr>
          <w:rFonts w:hint="eastAsia"/>
          <w:szCs w:val="28"/>
        </w:rPr>
        <w:t>本次绩效评价采用了比较法和公众评判法。一，通过对绩效目标与实施效果、历史与当期情况作比较，综合分析绩效目标的实现程度。二，通过</w:t>
      </w:r>
      <w:r>
        <w:rPr>
          <w:rFonts w:hint="eastAsia"/>
          <w:szCs w:val="28"/>
          <w:lang w:val="en-US" w:eastAsia="zh-CN"/>
        </w:rPr>
        <w:t>对各股室负责人进行访谈，向</w:t>
      </w:r>
      <w:r>
        <w:rPr>
          <w:rFonts w:hint="eastAsia"/>
          <w:szCs w:val="28"/>
        </w:rPr>
        <w:t>财务专家、行业专家、公共管理类专家进行</w:t>
      </w:r>
      <w:r>
        <w:rPr>
          <w:rFonts w:hint="eastAsia"/>
          <w:szCs w:val="28"/>
          <w:lang w:val="en-US" w:eastAsia="zh-CN"/>
        </w:rPr>
        <w:t>咨询</w:t>
      </w:r>
      <w:r>
        <w:rPr>
          <w:rFonts w:hint="eastAsia"/>
          <w:szCs w:val="28"/>
        </w:rPr>
        <w:t>，评价绩效目标的实现程度。</w:t>
      </w:r>
    </w:p>
    <w:p>
      <w:pPr>
        <w:pStyle w:val="3"/>
        <w:bidi w:val="0"/>
        <w:rPr>
          <w:rFonts w:hint="eastAsia"/>
          <w:lang w:val="en-US" w:eastAsia="zh-CN"/>
        </w:rPr>
      </w:pPr>
      <w:bookmarkStart w:id="11" w:name="_Toc14837"/>
      <w:r>
        <w:rPr>
          <w:rFonts w:hint="eastAsia"/>
          <w:lang w:val="en-US" w:eastAsia="zh-CN"/>
        </w:rPr>
        <w:t>（四）工作程序</w:t>
      </w:r>
      <w:bookmarkEnd w:id="11"/>
    </w:p>
    <w:p>
      <w:pPr>
        <w:ind w:firstLine="640"/>
        <w:rPr>
          <w:rFonts w:ascii="Calibri" w:hAnsi="Calibri" w:cs="Times New Roman"/>
          <w:szCs w:val="32"/>
        </w:rPr>
      </w:pPr>
      <w:r>
        <w:rPr>
          <w:rFonts w:hint="eastAsia" w:hAnsi="Calibri" w:cs="Times New Roman"/>
          <w:szCs w:val="32"/>
        </w:rPr>
        <w:t>本次绩效评价主要分为前期准备、组织实施、综合分析、撰写报告、归集档案五个阶段。</w:t>
      </w:r>
    </w:p>
    <w:p>
      <w:pPr>
        <w:pStyle w:val="4"/>
        <w:ind w:firstLine="640"/>
      </w:pPr>
      <w:bookmarkStart w:id="12" w:name="_Toc8696"/>
      <w:r>
        <w:rPr>
          <w:rFonts w:hint="eastAsia"/>
        </w:rPr>
        <w:t>1、前期准备</w:t>
      </w:r>
      <w:bookmarkEnd w:id="12"/>
    </w:p>
    <w:p>
      <w:pPr>
        <w:ind w:firstLine="640"/>
      </w:pPr>
      <w:r>
        <w:rPr>
          <w:rFonts w:hint="eastAsia"/>
        </w:rPr>
        <w:t>（1）成立评价工作组。我公司充分考虑人员结构、业务能力素质、利益关系回避、成员稳定性等因素，成立由相关行业的专业人员组成的评价工作组。工作组成员专业结构及业务能力必须满足评价工作需要。</w:t>
      </w:r>
    </w:p>
    <w:p>
      <w:pPr>
        <w:ind w:firstLine="640"/>
      </w:pPr>
      <w:r>
        <w:rPr>
          <w:rFonts w:hint="eastAsia"/>
        </w:rPr>
        <w:t>（</w:t>
      </w:r>
      <w:r>
        <w:rPr>
          <w:rFonts w:hint="eastAsia"/>
          <w:lang w:val="en-US" w:eastAsia="zh-CN"/>
        </w:rPr>
        <w:t>2</w:t>
      </w:r>
      <w:r>
        <w:rPr>
          <w:rFonts w:hint="eastAsia"/>
        </w:rPr>
        <w:t>）梳理绩效目标，明确资料清单。我公司根据部门基本情况，协助预算部门梳理部门整体支出绩效目标，作为绩效运行评价的依据。列明部门需提交的资料清单，并明确项目执行和绩效情况报告格式以及其他需要部门配合的事项。</w:t>
      </w:r>
    </w:p>
    <w:p>
      <w:pPr>
        <w:pStyle w:val="4"/>
        <w:ind w:firstLine="640"/>
      </w:pPr>
      <w:bookmarkStart w:id="13" w:name="_Toc16533"/>
      <w:r>
        <w:rPr>
          <w:rFonts w:hint="eastAsia"/>
        </w:rPr>
        <w:t>2、组织实施</w:t>
      </w:r>
      <w:bookmarkEnd w:id="13"/>
    </w:p>
    <w:p>
      <w:pPr>
        <w:ind w:firstLine="640"/>
      </w:pPr>
      <w:r>
        <w:rPr>
          <w:rFonts w:hint="eastAsia"/>
        </w:rPr>
        <w:t>（1）了解部门总体情况，提出现场评价意见。对部门报送的基础数据和相关资料进行核实和全面分析，提出现场评价的具体意见，组织现场评价。</w:t>
      </w:r>
    </w:p>
    <w:p>
      <w:pPr>
        <w:ind w:firstLine="640"/>
      </w:pPr>
      <w:r>
        <w:rPr>
          <w:rFonts w:hint="eastAsia"/>
        </w:rPr>
        <w:t>（2）现场评价。主要包括：</w:t>
      </w:r>
    </w:p>
    <w:p>
      <w:pPr>
        <w:ind w:firstLine="640"/>
      </w:pPr>
      <w:r>
        <w:rPr>
          <w:rFonts w:hint="eastAsia"/>
        </w:rPr>
        <w:t>①听取情况介绍。听取部门对评价对象的目标设定及完成程度，组织管理制度建立健全及落实情况，预算支出执行情况，财务管理状况，资产管理情况，部门履职情况及履职效益等介绍。</w:t>
      </w:r>
    </w:p>
    <w:p>
      <w:pPr>
        <w:ind w:firstLine="640"/>
      </w:pPr>
      <w:r>
        <w:rPr>
          <w:rFonts w:hint="eastAsia"/>
        </w:rPr>
        <w:t>②访谈。</w:t>
      </w:r>
      <w:r>
        <w:rPr>
          <w:rFonts w:hint="eastAsia"/>
          <w:lang w:eastAsia="zh-CN"/>
        </w:rPr>
        <w:t>评价工作组</w:t>
      </w:r>
      <w:r>
        <w:rPr>
          <w:rFonts w:hint="eastAsia"/>
        </w:rPr>
        <w:t>对各业务</w:t>
      </w:r>
      <w:r>
        <w:rPr>
          <w:rFonts w:hint="eastAsia"/>
          <w:lang w:val="en-US" w:eastAsia="zh-CN"/>
        </w:rPr>
        <w:t>股</w:t>
      </w:r>
      <w:r>
        <w:rPr>
          <w:rFonts w:hint="eastAsia"/>
        </w:rPr>
        <w:t>室相关负责人进行访谈，了解</w:t>
      </w:r>
      <w:r>
        <w:rPr>
          <w:rFonts w:hint="eastAsia"/>
          <w:lang w:val="en-US" w:eastAsia="zh-CN"/>
        </w:rPr>
        <w:t>各股室职能及</w:t>
      </w:r>
      <w:r>
        <w:rPr>
          <w:rFonts w:hint="eastAsia"/>
        </w:rPr>
        <w:t>201</w:t>
      </w:r>
      <w:r>
        <w:rPr>
          <w:rFonts w:hint="eastAsia"/>
          <w:lang w:val="en-US" w:eastAsia="zh-CN"/>
        </w:rPr>
        <w:t>9</w:t>
      </w:r>
      <w:r>
        <w:rPr>
          <w:rFonts w:hint="eastAsia"/>
        </w:rPr>
        <w:t>年工作开展情况。</w:t>
      </w:r>
    </w:p>
    <w:p>
      <w:pPr>
        <w:ind w:firstLine="640"/>
      </w:pPr>
      <w:r>
        <w:rPr>
          <w:rFonts w:hint="eastAsia"/>
        </w:rPr>
        <w:t>③数据核查。根据部门填报的数据，围绕建立和健全制度情况、制度和管理责任落实情况、资金使用情况、部门履职情况及履职效益，通过查阅相关资料等手段，对部门数据进行检查和核实。</w:t>
      </w:r>
    </w:p>
    <w:p>
      <w:pPr>
        <w:pStyle w:val="4"/>
        <w:ind w:firstLine="640"/>
      </w:pPr>
      <w:bookmarkStart w:id="14" w:name="_Toc26232"/>
      <w:r>
        <w:rPr>
          <w:rFonts w:hint="eastAsia"/>
        </w:rPr>
        <w:t>3、综合评价</w:t>
      </w:r>
      <w:bookmarkEnd w:id="14"/>
    </w:p>
    <w:p>
      <w:pPr>
        <w:ind w:firstLine="640"/>
      </w:pPr>
      <w:r>
        <w:rPr>
          <w:rFonts w:hint="eastAsia"/>
        </w:rPr>
        <w:t>（1）汇总整理绩效评价工作底稿。对现场评价工作底稿、相关资料进行整理，形成系统、完整的评价资料体系。</w:t>
      </w:r>
    </w:p>
    <w:p>
      <w:pPr>
        <w:ind w:firstLine="640"/>
      </w:pPr>
      <w:r>
        <w:rPr>
          <w:rFonts w:hint="eastAsia"/>
        </w:rPr>
        <w:t>（2）实施评价指标分析。对部门资料、数据进行分析，汇总、计算部门整体绩效结果，对照绩效目标或事先设定的标准进行分析，对部门绩效完成情况进行说明，给出相关原因分析。</w:t>
      </w:r>
    </w:p>
    <w:p>
      <w:pPr>
        <w:ind w:firstLine="640"/>
      </w:pPr>
      <w:r>
        <w:rPr>
          <w:rFonts w:hint="eastAsia"/>
        </w:rPr>
        <w:t>（</w:t>
      </w:r>
      <w:r>
        <w:rPr>
          <w:rFonts w:hint="eastAsia"/>
          <w:lang w:val="en-US" w:eastAsia="zh-CN"/>
        </w:rPr>
        <w:t>3</w:t>
      </w:r>
      <w:r>
        <w:rPr>
          <w:rFonts w:hint="eastAsia"/>
        </w:rPr>
        <w:t>）形成绩效评价问题清单。根据指标体系框架，详列项目评价中发现的问题。</w:t>
      </w:r>
    </w:p>
    <w:p>
      <w:pPr>
        <w:ind w:firstLine="640"/>
      </w:pPr>
      <w:r>
        <w:rPr>
          <w:rFonts w:hint="eastAsia"/>
        </w:rPr>
        <w:t>（</w:t>
      </w:r>
      <w:r>
        <w:rPr>
          <w:rFonts w:hint="eastAsia"/>
          <w:lang w:val="en-US" w:eastAsia="zh-CN"/>
        </w:rPr>
        <w:t>4</w:t>
      </w:r>
      <w:r>
        <w:rPr>
          <w:rFonts w:hint="eastAsia"/>
        </w:rPr>
        <w:t>）形成绩效评价结果。</w:t>
      </w:r>
      <w:r>
        <w:rPr>
          <w:rFonts w:hint="eastAsia"/>
          <w:lang w:eastAsia="zh-CN"/>
        </w:rPr>
        <w:t>评价工作组</w:t>
      </w:r>
      <w:r>
        <w:rPr>
          <w:rFonts w:hint="eastAsia"/>
        </w:rPr>
        <w:t>在进行全面分析后形成初步分析结论，由项目经理召开综合评价会议，本着客观、公正、准确的原则，对部门绩效情况进行综合评分，针对评价发现的问题提出意见建议，形成综合绩效评价结果。评价结果包括综合评分和评级，一般分为四个级别：90分(含)-100分为优；80分(含)-90分为良；60分(含)-80分为中；0（含）-60分为差。</w:t>
      </w:r>
    </w:p>
    <w:p>
      <w:pPr>
        <w:pStyle w:val="4"/>
        <w:ind w:firstLine="640"/>
      </w:pPr>
      <w:bookmarkStart w:id="15" w:name="_Toc26447"/>
      <w:r>
        <w:rPr>
          <w:rFonts w:hint="eastAsia"/>
        </w:rPr>
        <w:t>4、撰写与提交绩效评价报告</w:t>
      </w:r>
      <w:bookmarkEnd w:id="15"/>
    </w:p>
    <w:p>
      <w:pPr>
        <w:ind w:firstLine="640"/>
      </w:pPr>
      <w:r>
        <w:rPr>
          <w:rFonts w:hint="eastAsia"/>
        </w:rPr>
        <w:t>（1）撰写报告。我公司要按照规定要求和文本格式撰写评价报告，并做到数据真实准确、依据充分、分析透彻、结论准确。</w:t>
      </w:r>
    </w:p>
    <w:p>
      <w:pPr>
        <w:ind w:firstLine="640"/>
      </w:pPr>
      <w:r>
        <w:rPr>
          <w:rFonts w:hint="eastAsia"/>
        </w:rPr>
        <w:t>（2）提交报告。评价报告初稿撰写完成后，送</w:t>
      </w:r>
      <w:r>
        <w:rPr>
          <w:rFonts w:hint="eastAsia"/>
          <w:lang w:val="en-US" w:eastAsia="zh-CN"/>
        </w:rPr>
        <w:t>山亭区住建局</w:t>
      </w:r>
      <w:r>
        <w:rPr>
          <w:rFonts w:hint="eastAsia"/>
        </w:rPr>
        <w:t>就文本的真实性、完整性征询书面修改意见。我公司根据</w:t>
      </w:r>
      <w:r>
        <w:rPr>
          <w:rFonts w:hint="eastAsia"/>
          <w:lang w:val="en-US" w:eastAsia="zh-CN"/>
        </w:rPr>
        <w:t>山亭区住建局</w:t>
      </w:r>
      <w:r>
        <w:rPr>
          <w:rFonts w:hint="eastAsia"/>
        </w:rPr>
        <w:t>意见对评价报告进行修改和完善，在规定时间内将报告修改情况及评价报告终稿提交</w:t>
      </w:r>
      <w:r>
        <w:rPr>
          <w:rFonts w:hint="eastAsia"/>
          <w:lang w:val="en-US" w:eastAsia="zh-CN"/>
        </w:rPr>
        <w:t>山亭区住建局</w:t>
      </w:r>
      <w:r>
        <w:rPr>
          <w:rFonts w:hint="eastAsia"/>
        </w:rPr>
        <w:t>。</w:t>
      </w:r>
    </w:p>
    <w:p>
      <w:pPr>
        <w:pStyle w:val="3"/>
        <w:bidi w:val="0"/>
        <w:rPr>
          <w:rFonts w:hint="eastAsia"/>
          <w:lang w:val="en-US" w:eastAsia="zh-CN"/>
        </w:rPr>
      </w:pPr>
      <w:bookmarkStart w:id="16" w:name="_Toc30427"/>
      <w:r>
        <w:rPr>
          <w:rFonts w:hint="eastAsia"/>
          <w:lang w:val="en-US" w:eastAsia="zh-CN"/>
        </w:rPr>
        <w:t>（五）人员及分工</w:t>
      </w:r>
      <w:bookmarkEnd w:id="16"/>
    </w:p>
    <w:p>
      <w:pPr>
        <w:ind w:firstLine="640"/>
      </w:pPr>
      <w:r>
        <w:rPr>
          <w:rFonts w:hint="eastAsia"/>
        </w:rPr>
        <w:t>为确保能够按时保质完成本项目的绩效评价工作，及时响应</w:t>
      </w:r>
      <w:r>
        <w:rPr>
          <w:rFonts w:hint="eastAsia"/>
          <w:lang w:val="en-US" w:eastAsia="zh-CN"/>
        </w:rPr>
        <w:t>山亭区住建局</w:t>
      </w:r>
      <w:r>
        <w:rPr>
          <w:rFonts w:hint="eastAsia"/>
        </w:rPr>
        <w:t>的需求，我公司拟安排</w:t>
      </w:r>
      <w:r>
        <w:rPr>
          <w:rFonts w:hint="eastAsia"/>
          <w:lang w:val="en-US" w:eastAsia="zh-CN"/>
        </w:rPr>
        <w:t>4</w:t>
      </w:r>
      <w:r>
        <w:rPr>
          <w:rFonts w:hint="eastAsia"/>
        </w:rPr>
        <w:t>名工作人员进行评价工作，其中每一名工作人员都具有丰富的绩效评价工作经验，具体人员及分工详见表3-1。</w:t>
      </w:r>
    </w:p>
    <w:p>
      <w:pPr>
        <w:pStyle w:val="5"/>
        <w:bidi w:val="0"/>
        <w:jc w:val="center"/>
      </w:pPr>
      <w:r>
        <w:rPr>
          <w:rFonts w:hint="eastAsia"/>
        </w:rPr>
        <w:t>表3-1：实施本项目团队人员一览表</w:t>
      </w:r>
    </w:p>
    <w:tbl>
      <w:tblPr>
        <w:tblStyle w:val="12"/>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134"/>
        <w:gridCol w:w="2021"/>
        <w:gridCol w:w="1950"/>
        <w:gridCol w:w="3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17"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
                <w:sz w:val="24"/>
                <w:szCs w:val="24"/>
              </w:rPr>
            </w:pPr>
            <w:r>
              <w:rPr>
                <w:rFonts w:hint="eastAsia"/>
                <w:b/>
                <w:sz w:val="24"/>
                <w:szCs w:val="24"/>
              </w:rPr>
              <w:t>序号</w:t>
            </w:r>
          </w:p>
        </w:tc>
        <w:tc>
          <w:tcPr>
            <w:tcW w:w="1134"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
                <w:sz w:val="24"/>
                <w:szCs w:val="24"/>
              </w:rPr>
            </w:pPr>
            <w:r>
              <w:rPr>
                <w:rFonts w:hint="eastAsia"/>
                <w:b/>
                <w:sz w:val="24"/>
                <w:szCs w:val="24"/>
              </w:rPr>
              <w:t>姓名</w:t>
            </w:r>
          </w:p>
        </w:tc>
        <w:tc>
          <w:tcPr>
            <w:tcW w:w="2021"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
                <w:sz w:val="24"/>
                <w:szCs w:val="24"/>
              </w:rPr>
            </w:pPr>
            <w:r>
              <w:rPr>
                <w:rFonts w:hint="eastAsia"/>
                <w:b/>
                <w:sz w:val="24"/>
                <w:szCs w:val="24"/>
              </w:rPr>
              <w:t>职称/专业</w:t>
            </w:r>
          </w:p>
        </w:tc>
        <w:tc>
          <w:tcPr>
            <w:tcW w:w="1950"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
                <w:sz w:val="24"/>
                <w:szCs w:val="24"/>
              </w:rPr>
            </w:pPr>
            <w:r>
              <w:rPr>
                <w:rFonts w:hint="eastAsia"/>
                <w:b/>
                <w:sz w:val="24"/>
                <w:szCs w:val="24"/>
              </w:rPr>
              <w:t>本项目拟任职务</w:t>
            </w:r>
          </w:p>
        </w:tc>
        <w:tc>
          <w:tcPr>
            <w:tcW w:w="3592" w:type="dxa"/>
            <w:shd w:val="clear" w:color="auto" w:fill="A5A5A5" w:themeFill="background1" w:themeFillShade="A6"/>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
                <w:sz w:val="24"/>
                <w:szCs w:val="24"/>
              </w:rPr>
            </w:pPr>
            <w:r>
              <w:rPr>
                <w:rFonts w:hint="eastAsia"/>
                <w:b/>
                <w:sz w:val="24"/>
                <w:szCs w:val="24"/>
              </w:rPr>
              <w:t>人员分工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817"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Cs/>
                <w:sz w:val="24"/>
                <w:szCs w:val="24"/>
              </w:rPr>
            </w:pPr>
            <w:r>
              <w:rPr>
                <w:rFonts w:hint="eastAsia"/>
                <w:bCs/>
                <w:sz w:val="24"/>
                <w:szCs w:val="24"/>
              </w:rPr>
              <w:t>1</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Cs/>
                <w:sz w:val="24"/>
                <w:szCs w:val="24"/>
              </w:rPr>
            </w:pPr>
            <w:r>
              <w:rPr>
                <w:rFonts w:hint="eastAsia"/>
                <w:bCs/>
                <w:sz w:val="24"/>
                <w:szCs w:val="24"/>
              </w:rPr>
              <w:t>杨忠杰</w:t>
            </w:r>
          </w:p>
        </w:tc>
        <w:tc>
          <w:tcPr>
            <w:tcW w:w="2021"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Cs/>
                <w:sz w:val="24"/>
                <w:szCs w:val="24"/>
              </w:rPr>
            </w:pPr>
            <w:r>
              <w:rPr>
                <w:rFonts w:hint="eastAsia"/>
                <w:bCs/>
                <w:sz w:val="24"/>
                <w:szCs w:val="24"/>
                <w:lang w:val="en-US" w:eastAsia="zh-CN"/>
              </w:rPr>
              <w:t>高级</w:t>
            </w:r>
            <w:r>
              <w:rPr>
                <w:rFonts w:hint="eastAsia"/>
                <w:bCs/>
                <w:sz w:val="24"/>
                <w:szCs w:val="24"/>
              </w:rPr>
              <w:t>经济师</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Cs/>
                <w:sz w:val="24"/>
                <w:szCs w:val="24"/>
              </w:rPr>
            </w:pPr>
            <w:r>
              <w:rPr>
                <w:rFonts w:hint="eastAsia"/>
                <w:bCs/>
                <w:sz w:val="24"/>
                <w:szCs w:val="24"/>
              </w:rPr>
              <w:t>项目负责人</w:t>
            </w:r>
          </w:p>
        </w:tc>
        <w:tc>
          <w:tcPr>
            <w:tcW w:w="3592" w:type="dxa"/>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Cs/>
                <w:sz w:val="24"/>
                <w:szCs w:val="24"/>
              </w:rPr>
            </w:pPr>
            <w:r>
              <w:rPr>
                <w:rFonts w:hint="eastAsia"/>
                <w:bCs/>
                <w:sz w:val="24"/>
                <w:szCs w:val="24"/>
              </w:rPr>
              <w:t>负责项目总的把控及最终成果文件审核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
                <w:bCs/>
                <w:sz w:val="24"/>
                <w:szCs w:val="24"/>
              </w:rPr>
            </w:pPr>
            <w:r>
              <w:rPr>
                <w:rFonts w:hint="eastAsia"/>
                <w:bCs/>
                <w:sz w:val="24"/>
                <w:szCs w:val="24"/>
              </w:rPr>
              <w:t>2</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
                <w:bCs/>
                <w:sz w:val="24"/>
                <w:szCs w:val="24"/>
              </w:rPr>
            </w:pPr>
            <w:r>
              <w:rPr>
                <w:rFonts w:hint="eastAsia"/>
                <w:bCs/>
                <w:sz w:val="24"/>
                <w:szCs w:val="24"/>
              </w:rPr>
              <w:t>崔艺馨</w:t>
            </w:r>
          </w:p>
        </w:tc>
        <w:tc>
          <w:tcPr>
            <w:tcW w:w="2021"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
                <w:bCs/>
                <w:sz w:val="24"/>
                <w:szCs w:val="24"/>
              </w:rPr>
            </w:pPr>
            <w:r>
              <w:rPr>
                <w:rFonts w:hint="eastAsia"/>
                <w:bCs/>
                <w:sz w:val="24"/>
                <w:szCs w:val="24"/>
              </w:rPr>
              <w:t>工程管理</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
                <w:bCs/>
                <w:sz w:val="24"/>
                <w:szCs w:val="24"/>
              </w:rPr>
            </w:pPr>
            <w:r>
              <w:rPr>
                <w:rFonts w:hint="eastAsia"/>
                <w:bCs/>
                <w:sz w:val="24"/>
                <w:szCs w:val="24"/>
              </w:rPr>
              <w:t>项目经理</w:t>
            </w:r>
          </w:p>
        </w:tc>
        <w:tc>
          <w:tcPr>
            <w:tcW w:w="3592" w:type="dxa"/>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Cs/>
                <w:sz w:val="24"/>
                <w:szCs w:val="24"/>
              </w:rPr>
            </w:pPr>
            <w:r>
              <w:rPr>
                <w:rFonts w:hint="eastAsia"/>
                <w:bCs/>
                <w:sz w:val="24"/>
                <w:szCs w:val="24"/>
              </w:rPr>
              <w:t>负责领导项目组成员完成工作方案、现场评价、报告撰写等工作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
                <w:bCs/>
                <w:sz w:val="24"/>
                <w:szCs w:val="24"/>
              </w:rPr>
            </w:pPr>
            <w:r>
              <w:rPr>
                <w:rFonts w:hint="eastAsia"/>
                <w:bCs/>
                <w:sz w:val="24"/>
                <w:szCs w:val="24"/>
              </w:rPr>
              <w:t>3</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
                <w:bCs/>
                <w:sz w:val="24"/>
                <w:szCs w:val="24"/>
              </w:rPr>
            </w:pPr>
            <w:r>
              <w:rPr>
                <w:rFonts w:hint="eastAsia"/>
                <w:bCs/>
                <w:sz w:val="24"/>
                <w:szCs w:val="24"/>
              </w:rPr>
              <w:t>卢海燕</w:t>
            </w:r>
          </w:p>
        </w:tc>
        <w:tc>
          <w:tcPr>
            <w:tcW w:w="2021"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
                <w:bCs/>
                <w:sz w:val="24"/>
                <w:szCs w:val="24"/>
              </w:rPr>
            </w:pPr>
            <w:r>
              <w:rPr>
                <w:rFonts w:hint="eastAsia"/>
                <w:bCs/>
                <w:sz w:val="24"/>
                <w:szCs w:val="24"/>
              </w:rPr>
              <w:t>金融/城市管理</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
                <w:bCs/>
                <w:sz w:val="24"/>
                <w:szCs w:val="24"/>
              </w:rPr>
            </w:pPr>
            <w:r>
              <w:rPr>
                <w:rFonts w:hint="eastAsia"/>
                <w:bCs/>
                <w:sz w:val="24"/>
                <w:szCs w:val="24"/>
              </w:rPr>
              <w:t>项目组成员</w:t>
            </w:r>
          </w:p>
        </w:tc>
        <w:tc>
          <w:tcPr>
            <w:tcW w:w="3592" w:type="dxa"/>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Cs/>
                <w:sz w:val="24"/>
                <w:szCs w:val="24"/>
              </w:rPr>
            </w:pPr>
            <w:r>
              <w:rPr>
                <w:rFonts w:hint="eastAsia"/>
                <w:bCs/>
                <w:sz w:val="24"/>
                <w:szCs w:val="24"/>
              </w:rPr>
              <w:t>协助项目经理完成相关工作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
                <w:bCs/>
                <w:sz w:val="24"/>
                <w:szCs w:val="24"/>
              </w:rPr>
            </w:pPr>
            <w:r>
              <w:rPr>
                <w:rFonts w:hint="eastAsia"/>
                <w:bCs/>
                <w:sz w:val="24"/>
                <w:szCs w:val="24"/>
              </w:rPr>
              <w:t>4</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
                <w:bCs/>
                <w:sz w:val="24"/>
                <w:szCs w:val="24"/>
              </w:rPr>
            </w:pPr>
            <w:r>
              <w:rPr>
                <w:rFonts w:hint="eastAsia"/>
                <w:bCs/>
                <w:sz w:val="24"/>
                <w:szCs w:val="24"/>
              </w:rPr>
              <w:t>朱宏亮</w:t>
            </w:r>
          </w:p>
        </w:tc>
        <w:tc>
          <w:tcPr>
            <w:tcW w:w="2021"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
                <w:bCs/>
                <w:sz w:val="24"/>
                <w:szCs w:val="24"/>
              </w:rPr>
            </w:pPr>
            <w:r>
              <w:rPr>
                <w:rFonts w:hint="eastAsia"/>
                <w:bCs/>
                <w:sz w:val="24"/>
                <w:szCs w:val="24"/>
              </w:rPr>
              <w:t>旅游管理</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
                <w:bCs/>
                <w:sz w:val="24"/>
                <w:szCs w:val="24"/>
              </w:rPr>
            </w:pPr>
            <w:r>
              <w:rPr>
                <w:rFonts w:hint="eastAsia"/>
                <w:bCs/>
                <w:sz w:val="24"/>
                <w:szCs w:val="24"/>
              </w:rPr>
              <w:t>项目组成员</w:t>
            </w:r>
          </w:p>
        </w:tc>
        <w:tc>
          <w:tcPr>
            <w:tcW w:w="3592" w:type="dxa"/>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bCs/>
                <w:sz w:val="24"/>
                <w:szCs w:val="24"/>
              </w:rPr>
            </w:pPr>
            <w:r>
              <w:rPr>
                <w:rFonts w:hint="eastAsia"/>
                <w:bCs/>
                <w:sz w:val="24"/>
                <w:szCs w:val="24"/>
              </w:rPr>
              <w:t>协助项目经理完成相关工作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eastAsia="仿宋_GB2312"/>
                <w:bCs/>
                <w:sz w:val="24"/>
                <w:szCs w:val="24"/>
                <w:lang w:val="en-US" w:eastAsia="zh-CN"/>
              </w:rPr>
            </w:pPr>
            <w:r>
              <w:rPr>
                <w:rFonts w:hint="eastAsia"/>
                <w:bCs/>
                <w:sz w:val="24"/>
                <w:szCs w:val="24"/>
                <w:lang w:val="en-US" w:eastAsia="zh-CN"/>
              </w:rPr>
              <w:t>5</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eastAsia="仿宋_GB2312"/>
                <w:bCs/>
                <w:sz w:val="24"/>
                <w:szCs w:val="24"/>
                <w:lang w:val="en-US" w:eastAsia="zh-CN"/>
              </w:rPr>
            </w:pPr>
            <w:r>
              <w:rPr>
                <w:rFonts w:hint="eastAsia"/>
                <w:bCs/>
                <w:sz w:val="24"/>
                <w:szCs w:val="24"/>
                <w:lang w:val="en-US" w:eastAsia="zh-CN"/>
              </w:rPr>
              <w:t>张增武</w:t>
            </w:r>
          </w:p>
        </w:tc>
        <w:tc>
          <w:tcPr>
            <w:tcW w:w="2021"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eastAsia="仿宋_GB2312"/>
                <w:bCs/>
                <w:sz w:val="24"/>
                <w:szCs w:val="24"/>
                <w:lang w:val="en-US" w:eastAsia="zh-CN"/>
              </w:rPr>
            </w:pPr>
            <w:r>
              <w:rPr>
                <w:rFonts w:hint="eastAsia"/>
                <w:bCs/>
                <w:sz w:val="24"/>
                <w:szCs w:val="24"/>
                <w:lang w:val="en-US" w:eastAsia="zh-CN"/>
              </w:rPr>
              <w:t>高级经济师</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eastAsia="仿宋_GB2312"/>
                <w:bCs/>
                <w:sz w:val="24"/>
                <w:szCs w:val="24"/>
                <w:lang w:val="en-US" w:eastAsia="zh-CN"/>
              </w:rPr>
            </w:pPr>
            <w:r>
              <w:rPr>
                <w:rFonts w:hint="eastAsia"/>
                <w:bCs/>
                <w:sz w:val="24"/>
                <w:szCs w:val="24"/>
                <w:lang w:val="en-US" w:eastAsia="zh-CN"/>
              </w:rPr>
              <w:t>外聘专家</w:t>
            </w:r>
          </w:p>
        </w:tc>
        <w:tc>
          <w:tcPr>
            <w:tcW w:w="3592" w:type="dxa"/>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eastAsia="仿宋_GB2312"/>
                <w:bCs/>
                <w:sz w:val="24"/>
                <w:szCs w:val="24"/>
                <w:lang w:val="en-US" w:eastAsia="zh-CN"/>
              </w:rPr>
            </w:pPr>
            <w:r>
              <w:rPr>
                <w:rFonts w:hint="eastAsia"/>
                <w:bCs/>
                <w:sz w:val="24"/>
                <w:szCs w:val="24"/>
                <w:lang w:val="en-US" w:eastAsia="zh-CN"/>
              </w:rPr>
              <w:t>为评价工作组提供住建行业咨询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eastAsia="仿宋_GB2312"/>
                <w:bCs/>
                <w:sz w:val="24"/>
                <w:szCs w:val="24"/>
                <w:lang w:val="en-US" w:eastAsia="zh-CN"/>
              </w:rPr>
            </w:pPr>
            <w:r>
              <w:rPr>
                <w:rFonts w:hint="eastAsia"/>
                <w:bCs/>
                <w:sz w:val="24"/>
                <w:szCs w:val="24"/>
                <w:lang w:val="en-US" w:eastAsia="zh-CN"/>
              </w:rPr>
              <w:t>6</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eastAsia="仿宋_GB2312"/>
                <w:bCs/>
                <w:sz w:val="24"/>
                <w:szCs w:val="24"/>
                <w:lang w:val="en-US" w:eastAsia="zh-CN"/>
              </w:rPr>
            </w:pPr>
            <w:r>
              <w:rPr>
                <w:rFonts w:hint="eastAsia"/>
                <w:bCs/>
                <w:sz w:val="24"/>
                <w:szCs w:val="24"/>
                <w:lang w:val="en-US" w:eastAsia="zh-CN"/>
              </w:rPr>
              <w:t>刘晓琳</w:t>
            </w:r>
          </w:p>
        </w:tc>
        <w:tc>
          <w:tcPr>
            <w:tcW w:w="2021"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eastAsia="仿宋_GB2312"/>
                <w:bCs/>
                <w:sz w:val="24"/>
                <w:szCs w:val="24"/>
                <w:lang w:val="en-US" w:eastAsia="zh-CN"/>
              </w:rPr>
            </w:pPr>
            <w:r>
              <w:rPr>
                <w:rFonts w:hint="eastAsia"/>
                <w:bCs/>
                <w:sz w:val="24"/>
                <w:szCs w:val="24"/>
                <w:lang w:val="en-US" w:eastAsia="zh-CN"/>
              </w:rPr>
              <w:t>高级经济师</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bCs/>
                <w:sz w:val="24"/>
                <w:szCs w:val="24"/>
              </w:rPr>
            </w:pPr>
            <w:r>
              <w:rPr>
                <w:rFonts w:hint="eastAsia"/>
                <w:bCs/>
                <w:sz w:val="24"/>
                <w:szCs w:val="24"/>
                <w:lang w:val="en-US" w:eastAsia="zh-CN"/>
              </w:rPr>
              <w:t>外聘专家</w:t>
            </w:r>
          </w:p>
        </w:tc>
        <w:tc>
          <w:tcPr>
            <w:tcW w:w="3592" w:type="dxa"/>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bCs/>
                <w:sz w:val="24"/>
                <w:szCs w:val="24"/>
              </w:rPr>
            </w:pPr>
            <w:r>
              <w:rPr>
                <w:rFonts w:hint="eastAsia"/>
                <w:bCs/>
                <w:sz w:val="24"/>
                <w:szCs w:val="24"/>
                <w:lang w:val="en-US" w:eastAsia="zh-CN"/>
              </w:rPr>
              <w:t>为评价工作组提供住建行业咨询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bCs/>
                <w:sz w:val="24"/>
                <w:szCs w:val="24"/>
                <w:lang w:val="en-US" w:eastAsia="zh-CN"/>
              </w:rPr>
            </w:pPr>
            <w:r>
              <w:rPr>
                <w:rFonts w:hint="eastAsia"/>
                <w:bCs/>
                <w:sz w:val="24"/>
                <w:szCs w:val="24"/>
                <w:lang w:val="en-US" w:eastAsia="zh-CN"/>
              </w:rPr>
              <w:t>10</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eastAsia="仿宋_GB2312"/>
                <w:bCs/>
                <w:sz w:val="24"/>
                <w:szCs w:val="24"/>
                <w:lang w:val="en-US" w:eastAsia="zh-CN"/>
              </w:rPr>
            </w:pPr>
            <w:r>
              <w:rPr>
                <w:rFonts w:hint="eastAsia"/>
                <w:bCs/>
                <w:sz w:val="24"/>
                <w:szCs w:val="24"/>
                <w:lang w:val="en-US" w:eastAsia="zh-CN"/>
              </w:rPr>
              <w:t>付志明</w:t>
            </w:r>
          </w:p>
        </w:tc>
        <w:tc>
          <w:tcPr>
            <w:tcW w:w="2021"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default" w:eastAsia="仿宋_GB2312"/>
                <w:bCs/>
                <w:sz w:val="24"/>
                <w:szCs w:val="24"/>
                <w:lang w:val="en-US" w:eastAsia="zh-CN"/>
              </w:rPr>
            </w:pPr>
            <w:r>
              <w:rPr>
                <w:rFonts w:hint="eastAsia"/>
                <w:bCs/>
                <w:sz w:val="24"/>
                <w:szCs w:val="24"/>
                <w:lang w:val="en-US" w:eastAsia="zh-CN"/>
              </w:rPr>
              <w:t>副教授/公共管理</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bCs/>
                <w:sz w:val="24"/>
                <w:szCs w:val="24"/>
              </w:rPr>
            </w:pPr>
            <w:r>
              <w:rPr>
                <w:rFonts w:hint="eastAsia"/>
                <w:bCs/>
                <w:sz w:val="24"/>
                <w:szCs w:val="24"/>
                <w:lang w:val="en-US" w:eastAsia="zh-CN"/>
              </w:rPr>
              <w:t>外聘专家</w:t>
            </w:r>
          </w:p>
        </w:tc>
        <w:tc>
          <w:tcPr>
            <w:tcW w:w="3592" w:type="dxa"/>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bCs/>
                <w:sz w:val="24"/>
                <w:szCs w:val="24"/>
              </w:rPr>
            </w:pPr>
            <w:r>
              <w:rPr>
                <w:rFonts w:hint="eastAsia"/>
                <w:bCs/>
                <w:sz w:val="24"/>
                <w:szCs w:val="24"/>
                <w:lang w:val="en-US" w:eastAsia="zh-CN"/>
              </w:rPr>
              <w:t>为评价工作组提供公共管理咨询</w:t>
            </w:r>
          </w:p>
        </w:tc>
      </w:tr>
    </w:tbl>
    <w:p>
      <w:pPr>
        <w:pStyle w:val="2"/>
        <w:bidi w:val="0"/>
        <w:rPr>
          <w:rFonts w:hint="eastAsia"/>
          <w:lang w:val="en-US" w:eastAsia="zh-CN"/>
        </w:rPr>
      </w:pPr>
      <w:bookmarkStart w:id="17" w:name="_Toc11288"/>
      <w:r>
        <w:rPr>
          <w:rFonts w:hint="eastAsia"/>
          <w:lang w:val="en-US" w:eastAsia="zh-CN"/>
        </w:rPr>
        <w:t>四、指标体系</w:t>
      </w:r>
      <w:bookmarkEnd w:id="17"/>
    </w:p>
    <w:p>
      <w:pPr>
        <w:pStyle w:val="4"/>
        <w:ind w:firstLine="640"/>
      </w:pPr>
      <w:bookmarkStart w:id="18" w:name="_Toc18516"/>
      <w:r>
        <w:rPr>
          <w:rFonts w:hint="eastAsia"/>
        </w:rPr>
        <w:t>1、指标设计思路、依据</w:t>
      </w:r>
      <w:bookmarkEnd w:id="18"/>
    </w:p>
    <w:p>
      <w:pPr>
        <w:ind w:firstLine="640"/>
        <w:rPr>
          <w:rFonts w:cs="Arial"/>
        </w:rPr>
      </w:pPr>
      <w:r>
        <w:rPr>
          <w:rFonts w:hint="eastAsia"/>
        </w:rPr>
        <w:t>本次评价对象为</w:t>
      </w:r>
      <w:r>
        <w:rPr>
          <w:rFonts w:hint="eastAsia" w:cs="仿宋_GB2312"/>
          <w:color w:val="000000" w:themeColor="text1"/>
          <w:lang w:val="en-US" w:eastAsia="zh-CN"/>
          <w14:textFill>
            <w14:solidFill>
              <w14:schemeClr w14:val="tx1"/>
            </w14:solidFill>
          </w14:textFill>
        </w:rPr>
        <w:t>山亭区住建局</w:t>
      </w:r>
      <w:r>
        <w:rPr>
          <w:rFonts w:hint="eastAsia" w:cs="仿宋_GB2312"/>
          <w:color w:val="000000" w:themeColor="text1"/>
          <w14:textFill>
            <w14:solidFill>
              <w14:schemeClr w14:val="tx1"/>
            </w14:solidFill>
          </w14:textFill>
        </w:rPr>
        <w:t>201</w:t>
      </w:r>
      <w:r>
        <w:rPr>
          <w:rFonts w:hint="eastAsia" w:cs="仿宋_GB2312"/>
          <w:color w:val="000000" w:themeColor="text1"/>
          <w:lang w:val="en-US" w:eastAsia="zh-CN"/>
          <w14:textFill>
            <w14:solidFill>
              <w14:schemeClr w14:val="tx1"/>
            </w14:solidFill>
          </w14:textFill>
        </w:rPr>
        <w:t>9</w:t>
      </w:r>
      <w:r>
        <w:rPr>
          <w:rFonts w:hint="eastAsia" w:cs="仿宋_GB2312"/>
          <w:color w:val="000000" w:themeColor="text1"/>
          <w14:textFill>
            <w14:solidFill>
              <w14:schemeClr w14:val="tx1"/>
            </w14:solidFill>
          </w14:textFill>
        </w:rPr>
        <w:t>年部门整体支出涉及的资金</w:t>
      </w:r>
      <w:r>
        <w:rPr>
          <w:rFonts w:hint="eastAsia"/>
        </w:rPr>
        <w:t>，所以本次指标设计依据关于印发《预算绩效评价指标体系框架》的通知（财预〔2013〕53号）中“部门整体支出绩效评价共性指标体系框架”</w:t>
      </w:r>
      <w:r>
        <w:rPr>
          <w:rFonts w:hint="eastAsia"/>
          <w:lang w:eastAsia="zh-CN"/>
        </w:rPr>
        <w:t>、关于上报2019年度《项目绩效自评报告》和《部门整体支出绩效评价报告》的通知（山财绩〔2020〕2号）</w:t>
      </w:r>
      <w:r>
        <w:rPr>
          <w:rFonts w:hint="eastAsia"/>
        </w:rPr>
        <w:t>进行设计</w:t>
      </w:r>
      <w:r>
        <w:rPr>
          <w:rFonts w:hint="eastAsia" w:cs="Arial"/>
        </w:rPr>
        <w:t>，结合</w:t>
      </w:r>
      <w:r>
        <w:rPr>
          <w:rFonts w:hint="eastAsia" w:cs="Arial"/>
          <w:lang w:val="en-US" w:eastAsia="zh-CN"/>
        </w:rPr>
        <w:t>山亭区住建局</w:t>
      </w:r>
      <w:r>
        <w:rPr>
          <w:rFonts w:hint="eastAsia" w:cs="Arial"/>
        </w:rPr>
        <w:t>实际情况进一步细化而成。个性指标由</w:t>
      </w:r>
      <w:r>
        <w:rPr>
          <w:rFonts w:hint="eastAsia" w:cs="Arial"/>
          <w:lang w:eastAsia="zh-CN"/>
        </w:rPr>
        <w:t>评价工作组</w:t>
      </w:r>
      <w:r>
        <w:rPr>
          <w:rFonts w:hint="eastAsia" w:cs="Arial"/>
        </w:rPr>
        <w:t>根据部门实际情况，参照已有评价办法，在共性指标体系框架内进一步细化设置。</w:t>
      </w:r>
    </w:p>
    <w:p>
      <w:pPr>
        <w:pStyle w:val="4"/>
        <w:ind w:firstLine="640"/>
      </w:pPr>
      <w:bookmarkStart w:id="19" w:name="_Toc11439"/>
      <w:r>
        <w:rPr>
          <w:rFonts w:hint="eastAsia" w:hAnsi="仿宋"/>
          <w:lang w:val="en-US" w:eastAsia="zh-CN"/>
        </w:rPr>
        <w:t>2</w:t>
      </w:r>
      <w:r>
        <w:rPr>
          <w:rFonts w:hint="eastAsia"/>
        </w:rPr>
        <w:t>、评价标准</w:t>
      </w:r>
      <w:bookmarkEnd w:id="19"/>
    </w:p>
    <w:p>
      <w:pPr>
        <w:ind w:firstLine="640"/>
        <w:rPr>
          <w:rFonts w:hint="eastAsia"/>
        </w:rPr>
      </w:pPr>
      <w:r>
        <w:rPr>
          <w:rFonts w:hint="eastAsia"/>
        </w:rPr>
        <w:t>绩效评价的评价标准主要分为</w:t>
      </w:r>
      <w:r>
        <w:rPr>
          <w:rFonts w:hint="eastAsia"/>
          <w:lang w:eastAsia="zh-CN"/>
        </w:rPr>
        <w:t>：</w:t>
      </w:r>
      <w:r>
        <w:rPr>
          <w:rFonts w:hint="eastAsia"/>
        </w:rPr>
        <w:t>（1）计划标准，是指以预先制定的目标、计划、预算、定额等数据作为评价的标准。（2）行业标准，是指参照国家公布的行业指标数据制定的评价标准。（3）历史标准，是指参照同类指标的历史数据制定的评价标准。本次评价标准主要采用</w:t>
      </w:r>
      <w:r>
        <w:rPr>
          <w:rFonts w:hint="eastAsia"/>
          <w:lang w:val="en-US" w:eastAsia="zh-CN"/>
        </w:rPr>
        <w:t>了</w:t>
      </w:r>
      <w:r>
        <w:rPr>
          <w:rFonts w:hint="eastAsia"/>
        </w:rPr>
        <w:t>历史标准和计划标准。</w:t>
      </w:r>
    </w:p>
    <w:p>
      <w:pPr>
        <w:pStyle w:val="15"/>
        <w:ind w:firstLine="643"/>
        <w:rPr>
          <w:color w:val="auto"/>
        </w:rPr>
      </w:pPr>
      <w:r>
        <w:rPr>
          <w:rFonts w:hint="eastAsia" w:ascii="仿宋_GB2312" w:hAnsi="仿宋_GB2312" w:eastAsia="仿宋_GB2312" w:cs="仿宋_GB2312"/>
          <w:lang w:val="en-US" w:eastAsia="zh-CN"/>
        </w:rPr>
        <w:t>3、</w:t>
      </w:r>
      <w:r>
        <w:rPr>
          <w:rFonts w:hint="eastAsia" w:ascii="仿宋_GB2312" w:hAnsi="仿宋_GB2312" w:eastAsia="仿宋_GB2312" w:cs="仿宋_GB2312"/>
          <w:color w:val="auto"/>
        </w:rPr>
        <w:t>绩效评</w:t>
      </w:r>
      <w:r>
        <w:rPr>
          <w:rFonts w:hint="eastAsia" w:ascii="仿宋_GB2312" w:hAnsi="仿宋_GB2312" w:cs="仿宋_GB2312"/>
          <w:color w:val="auto"/>
        </w:rPr>
        <w:t>价结果划分等级标准</w:t>
      </w:r>
    </w:p>
    <w:p>
      <w:pPr>
        <w:bidi w:val="0"/>
        <w:rPr>
          <w:color w:val="auto"/>
        </w:rPr>
      </w:pPr>
      <w:r>
        <w:rPr>
          <w:rFonts w:hint="eastAsia"/>
          <w:color w:val="auto"/>
        </w:rPr>
        <w:t>本次绩效评价</w:t>
      </w:r>
      <w:r>
        <w:rPr>
          <w:rFonts w:hint="eastAsia"/>
          <w:color w:val="auto"/>
          <w:lang w:val="en-US" w:eastAsia="zh-CN"/>
        </w:rPr>
        <w:t>依据综合得分，划</w:t>
      </w:r>
      <w:r>
        <w:rPr>
          <w:rFonts w:hint="eastAsia"/>
          <w:color w:val="auto"/>
        </w:rPr>
        <w:t>分为4个等级：</w:t>
      </w:r>
    </w:p>
    <w:p>
      <w:pPr>
        <w:ind w:firstLine="640"/>
        <w:rPr>
          <w:color w:val="auto"/>
        </w:rPr>
      </w:pPr>
      <w:r>
        <w:rPr>
          <w:rFonts w:hint="eastAsia"/>
          <w:color w:val="auto"/>
        </w:rPr>
        <w:t>综合得分在90-100分（含90分）为优；</w:t>
      </w:r>
    </w:p>
    <w:p>
      <w:pPr>
        <w:bidi w:val="0"/>
        <w:rPr>
          <w:color w:val="auto"/>
        </w:rPr>
      </w:pPr>
      <w:r>
        <w:rPr>
          <w:rFonts w:hint="eastAsia"/>
          <w:color w:val="auto"/>
        </w:rPr>
        <w:t>综合得分在80-90分（含80分）为良；</w:t>
      </w:r>
    </w:p>
    <w:p>
      <w:pPr>
        <w:ind w:firstLine="640"/>
        <w:rPr>
          <w:color w:val="auto"/>
        </w:rPr>
      </w:pPr>
      <w:r>
        <w:rPr>
          <w:rFonts w:hint="eastAsia"/>
          <w:color w:val="auto"/>
        </w:rPr>
        <w:t>综合得分在60-80分（含60分）为中；</w:t>
      </w:r>
    </w:p>
    <w:p>
      <w:pPr>
        <w:bidi w:val="0"/>
        <w:rPr>
          <w:color w:val="auto"/>
        </w:rPr>
      </w:pPr>
      <w:r>
        <w:rPr>
          <w:rFonts w:hint="eastAsia"/>
          <w:color w:val="auto"/>
        </w:rPr>
        <w:t>综合得分在60分以下为差。</w:t>
      </w:r>
    </w:p>
    <w:p>
      <w:pPr>
        <w:pStyle w:val="4"/>
        <w:bidi w:val="0"/>
        <w:rPr>
          <w:rFonts w:hint="eastAsia"/>
          <w:lang w:val="en-US" w:eastAsia="zh-CN"/>
        </w:rPr>
      </w:pPr>
      <w:r>
        <w:rPr>
          <w:rFonts w:hint="eastAsia"/>
          <w:lang w:val="en-US" w:eastAsia="zh-CN"/>
        </w:rPr>
        <w:t>4、指标体系</w:t>
      </w:r>
    </w:p>
    <w:p>
      <w:pPr>
        <w:rPr>
          <w:rFonts w:hint="eastAsia"/>
          <w:lang w:val="en-US" w:eastAsia="zh-CN"/>
        </w:rPr>
      </w:pPr>
      <w:r>
        <w:rPr>
          <w:rFonts w:hint="eastAsia"/>
          <w:lang w:val="en-US" w:eastAsia="zh-CN"/>
        </w:rPr>
        <w:t>具体指标体系详见附件1。</w:t>
      </w:r>
    </w:p>
    <w:p>
      <w:pPr>
        <w:pStyle w:val="2"/>
        <w:bidi w:val="0"/>
        <w:rPr>
          <w:rFonts w:hint="eastAsia"/>
          <w:lang w:val="en-US" w:eastAsia="zh-CN"/>
        </w:rPr>
      </w:pPr>
      <w:bookmarkStart w:id="20" w:name="_Toc29576"/>
      <w:r>
        <w:rPr>
          <w:rFonts w:hint="eastAsia"/>
          <w:lang w:val="en-US" w:eastAsia="zh-CN"/>
        </w:rPr>
        <w:t>五</w:t>
      </w:r>
      <w:r>
        <w:rPr>
          <w:rFonts w:hint="eastAsia"/>
        </w:rPr>
        <w:t>、评价结论</w:t>
      </w:r>
      <w:r>
        <w:rPr>
          <w:rFonts w:hint="eastAsia"/>
          <w:lang w:val="en-US" w:eastAsia="zh-CN"/>
        </w:rPr>
        <w:t>及分析</w:t>
      </w:r>
      <w:bookmarkEnd w:id="20"/>
    </w:p>
    <w:p>
      <w:pPr>
        <w:pStyle w:val="3"/>
        <w:bidi w:val="0"/>
        <w:rPr>
          <w:rFonts w:hint="default"/>
          <w:lang w:val="en-US" w:eastAsia="zh-CN"/>
        </w:rPr>
      </w:pPr>
      <w:bookmarkStart w:id="21" w:name="_Toc9973"/>
      <w:r>
        <w:rPr>
          <w:rFonts w:hint="eastAsia"/>
          <w:lang w:val="en-US" w:eastAsia="zh-CN"/>
        </w:rPr>
        <w:t>（一）整体评价结论</w:t>
      </w:r>
      <w:bookmarkEnd w:id="21"/>
    </w:p>
    <w:p>
      <w:pPr>
        <w:ind w:firstLine="640"/>
        <w:rPr>
          <w:rFonts w:hint="eastAsia" w:eastAsia="仿宋_GB2312"/>
          <w:lang w:eastAsia="zh-CN"/>
        </w:rPr>
      </w:pPr>
      <w:r>
        <w:rPr>
          <w:rFonts w:hint="eastAsia"/>
          <w:lang w:eastAsia="zh-CN"/>
        </w:rPr>
        <w:t>评价工作组</w:t>
      </w:r>
      <w:r>
        <w:rPr>
          <w:rFonts w:hint="eastAsia"/>
        </w:rPr>
        <w:t>运用制定的评价指标体系及评分标准，通过数据采集、访谈及资料核查等方式，对</w:t>
      </w:r>
      <w:r>
        <w:rPr>
          <w:rFonts w:hint="eastAsia"/>
          <w:lang w:val="en-US" w:eastAsia="zh-CN"/>
        </w:rPr>
        <w:t>山亭区住建局</w:t>
      </w:r>
      <w:r>
        <w:rPr>
          <w:rFonts w:hint="eastAsia"/>
        </w:rPr>
        <w:t>201</w:t>
      </w:r>
      <w:r>
        <w:rPr>
          <w:rFonts w:hint="eastAsia"/>
          <w:lang w:val="en-US" w:eastAsia="zh-CN"/>
        </w:rPr>
        <w:t>9</w:t>
      </w:r>
      <w:r>
        <w:rPr>
          <w:rFonts w:hint="eastAsia"/>
        </w:rPr>
        <w:t>年部门整体支出绩效评价项目进行客观、公正地评价，最终</w:t>
      </w:r>
      <w:r>
        <w:rPr>
          <w:rFonts w:hint="eastAsia"/>
          <w:lang w:val="en-US" w:eastAsia="zh-CN"/>
        </w:rPr>
        <w:t>评价</w:t>
      </w:r>
      <w:r>
        <w:rPr>
          <w:rFonts w:hint="eastAsia"/>
        </w:rPr>
        <w:t>结果：总得分</w:t>
      </w:r>
      <w:r>
        <w:rPr>
          <w:rFonts w:hint="eastAsia"/>
          <w:lang w:val="en-US" w:eastAsia="zh-CN"/>
        </w:rPr>
        <w:t>90.1</w:t>
      </w:r>
      <w:r>
        <w:rPr>
          <w:rFonts w:hint="eastAsia"/>
        </w:rPr>
        <w:t>分，评价等级为</w:t>
      </w:r>
      <w:r>
        <w:rPr>
          <w:rFonts w:hint="eastAsia"/>
          <w:lang w:val="en-US" w:eastAsia="zh-CN"/>
        </w:rPr>
        <w:t>优</w:t>
      </w:r>
      <w:r>
        <w:rPr>
          <w:rFonts w:hint="eastAsia"/>
        </w:rPr>
        <w:t>。综合得分情况详见表5-1</w:t>
      </w:r>
      <w:r>
        <w:rPr>
          <w:rFonts w:hint="eastAsia"/>
          <w:lang w:eastAsia="zh-CN"/>
        </w:rPr>
        <w:t>，</w:t>
      </w:r>
      <w:r>
        <w:rPr>
          <w:rFonts w:hint="eastAsia"/>
          <w:lang w:val="en-US" w:eastAsia="zh-CN"/>
        </w:rPr>
        <w:t>具体得分情况表见附件2</w:t>
      </w:r>
      <w:r>
        <w:rPr>
          <w:rFonts w:hint="eastAsia"/>
          <w:lang w:eastAsia="zh-CN"/>
        </w:rPr>
        <w:t>。</w:t>
      </w:r>
    </w:p>
    <w:p>
      <w:pPr>
        <w:pStyle w:val="5"/>
        <w:bidi w:val="0"/>
        <w:jc w:val="center"/>
      </w:pPr>
      <w:r>
        <w:t>表</w:t>
      </w:r>
      <w:r>
        <w:rPr>
          <w:rFonts w:hint="eastAsia"/>
          <w:lang w:val="en-US" w:eastAsia="zh-CN"/>
        </w:rPr>
        <w:t>5</w:t>
      </w:r>
      <w:r>
        <w:t>-1</w:t>
      </w:r>
      <w:r>
        <w:rPr>
          <w:rFonts w:hint="eastAsia"/>
        </w:rPr>
        <w:t>：</w:t>
      </w:r>
      <w:r>
        <w:rPr>
          <w:rFonts w:hint="eastAsia"/>
          <w:lang w:val="en-US" w:eastAsia="zh-CN"/>
        </w:rPr>
        <w:t>山亭区住建局</w:t>
      </w:r>
      <w:r>
        <w:rPr>
          <w:rFonts w:hint="eastAsia"/>
        </w:rPr>
        <w:t>201</w:t>
      </w:r>
      <w:r>
        <w:rPr>
          <w:rFonts w:hint="eastAsia"/>
          <w:lang w:val="en-US" w:eastAsia="zh-CN"/>
        </w:rPr>
        <w:t>9</w:t>
      </w:r>
      <w:r>
        <w:rPr>
          <w:rFonts w:hint="eastAsia"/>
        </w:rPr>
        <w:t>年部门整体支出绩效评价</w:t>
      </w:r>
      <w:r>
        <w:t>综合得分情况表</w:t>
      </w:r>
    </w:p>
    <w:tbl>
      <w:tblPr>
        <w:tblStyle w:val="11"/>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417"/>
        <w:gridCol w:w="1418"/>
        <w:gridCol w:w="1559"/>
        <w:gridCol w:w="155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1555" w:type="dxa"/>
            <w:shd w:val="clear" w:color="000000" w:fill="A6A6A6"/>
            <w:vAlign w:val="center"/>
          </w:tcPr>
          <w:p>
            <w:pPr>
              <w:keepNext w:val="0"/>
              <w:keepLines w:val="0"/>
              <w:pageBreakBefore w:val="0"/>
              <w:widowControl/>
              <w:kinsoku/>
              <w:wordWrap/>
              <w:overflowPunct/>
              <w:topLinePunct w:val="0"/>
              <w:autoSpaceDE/>
              <w:autoSpaceDN/>
              <w:bidi w:val="0"/>
              <w:adjustRightInd/>
              <w:snapToGrid/>
              <w:spacing w:line="580" w:lineRule="exact"/>
              <w:ind w:firstLine="0" w:firstLineChars="0"/>
              <w:jc w:val="center"/>
              <w:textAlignment w:val="auto"/>
              <w:rPr>
                <w:rFonts w:ascii="Times New Roman" w:hAnsi="Times New Roman" w:cs="Times New Roman"/>
                <w:b/>
                <w:bCs/>
                <w:kern w:val="0"/>
                <w:sz w:val="24"/>
                <w:szCs w:val="24"/>
              </w:rPr>
            </w:pPr>
            <w:r>
              <w:rPr>
                <w:rFonts w:ascii="Times New Roman" w:hAnsi="Times New Roman" w:cs="Times New Roman"/>
                <w:b/>
                <w:bCs/>
                <w:kern w:val="0"/>
                <w:sz w:val="24"/>
                <w:szCs w:val="24"/>
              </w:rPr>
              <w:t>指标</w:t>
            </w:r>
          </w:p>
        </w:tc>
        <w:tc>
          <w:tcPr>
            <w:tcW w:w="1417" w:type="dxa"/>
            <w:shd w:val="clear" w:color="000000" w:fill="A6A6A6"/>
            <w:vAlign w:val="center"/>
          </w:tcPr>
          <w:p>
            <w:pPr>
              <w:keepNext w:val="0"/>
              <w:keepLines w:val="0"/>
              <w:pageBreakBefore w:val="0"/>
              <w:widowControl/>
              <w:kinsoku/>
              <w:wordWrap/>
              <w:overflowPunct/>
              <w:topLinePunct w:val="0"/>
              <w:autoSpaceDE/>
              <w:autoSpaceDN/>
              <w:bidi w:val="0"/>
              <w:adjustRightInd/>
              <w:snapToGrid/>
              <w:spacing w:line="580" w:lineRule="exact"/>
              <w:ind w:firstLine="0" w:firstLineChars="0"/>
              <w:jc w:val="center"/>
              <w:textAlignment w:val="auto"/>
              <w:rPr>
                <w:rFonts w:ascii="Times New Roman" w:hAnsi="Times New Roman" w:cs="Times New Roman"/>
                <w:b/>
                <w:bCs/>
                <w:kern w:val="0"/>
                <w:sz w:val="24"/>
                <w:szCs w:val="24"/>
              </w:rPr>
            </w:pPr>
            <w:r>
              <w:rPr>
                <w:rFonts w:hint="eastAsia" w:ascii="Times New Roman" w:hAnsi="Times New Roman" w:cs="Times New Roman"/>
                <w:b/>
                <w:bCs/>
                <w:kern w:val="0"/>
                <w:sz w:val="24"/>
                <w:szCs w:val="24"/>
              </w:rPr>
              <w:t>投入</w:t>
            </w:r>
          </w:p>
        </w:tc>
        <w:tc>
          <w:tcPr>
            <w:tcW w:w="1418" w:type="dxa"/>
            <w:shd w:val="clear" w:color="000000" w:fill="A6A6A6"/>
            <w:vAlign w:val="center"/>
          </w:tcPr>
          <w:p>
            <w:pPr>
              <w:keepNext w:val="0"/>
              <w:keepLines w:val="0"/>
              <w:pageBreakBefore w:val="0"/>
              <w:widowControl/>
              <w:kinsoku/>
              <w:wordWrap/>
              <w:overflowPunct/>
              <w:topLinePunct w:val="0"/>
              <w:autoSpaceDE/>
              <w:autoSpaceDN/>
              <w:bidi w:val="0"/>
              <w:adjustRightInd/>
              <w:snapToGrid/>
              <w:spacing w:line="580" w:lineRule="exact"/>
              <w:ind w:firstLine="0" w:firstLineChars="0"/>
              <w:jc w:val="center"/>
              <w:textAlignment w:val="auto"/>
              <w:rPr>
                <w:rFonts w:ascii="Times New Roman" w:hAnsi="Times New Roman" w:cs="Times New Roman"/>
                <w:b/>
                <w:bCs/>
                <w:kern w:val="0"/>
                <w:sz w:val="24"/>
                <w:szCs w:val="24"/>
              </w:rPr>
            </w:pPr>
            <w:r>
              <w:rPr>
                <w:rFonts w:hint="eastAsia" w:ascii="Times New Roman" w:hAnsi="Times New Roman" w:cs="Times New Roman"/>
                <w:b/>
                <w:bCs/>
                <w:kern w:val="0"/>
                <w:sz w:val="24"/>
                <w:szCs w:val="24"/>
              </w:rPr>
              <w:t>过程</w:t>
            </w:r>
          </w:p>
        </w:tc>
        <w:tc>
          <w:tcPr>
            <w:tcW w:w="1559" w:type="dxa"/>
            <w:shd w:val="clear" w:color="000000" w:fill="A6A6A6"/>
            <w:vAlign w:val="center"/>
          </w:tcPr>
          <w:p>
            <w:pPr>
              <w:keepNext w:val="0"/>
              <w:keepLines w:val="0"/>
              <w:pageBreakBefore w:val="0"/>
              <w:widowControl/>
              <w:kinsoku/>
              <w:wordWrap/>
              <w:overflowPunct/>
              <w:topLinePunct w:val="0"/>
              <w:autoSpaceDE/>
              <w:autoSpaceDN/>
              <w:bidi w:val="0"/>
              <w:adjustRightInd/>
              <w:snapToGrid/>
              <w:spacing w:line="580" w:lineRule="exact"/>
              <w:ind w:firstLine="0" w:firstLineChars="0"/>
              <w:jc w:val="center"/>
              <w:textAlignment w:val="auto"/>
              <w:rPr>
                <w:rFonts w:ascii="Times New Roman" w:hAnsi="Times New Roman" w:cs="Times New Roman"/>
                <w:b/>
                <w:bCs/>
                <w:kern w:val="0"/>
                <w:sz w:val="24"/>
                <w:szCs w:val="24"/>
              </w:rPr>
            </w:pPr>
            <w:r>
              <w:rPr>
                <w:rFonts w:hint="eastAsia" w:ascii="Times New Roman" w:hAnsi="Times New Roman" w:cs="Times New Roman"/>
                <w:b/>
                <w:bCs/>
                <w:kern w:val="0"/>
                <w:sz w:val="24"/>
                <w:szCs w:val="24"/>
              </w:rPr>
              <w:t>产出</w:t>
            </w:r>
          </w:p>
        </w:tc>
        <w:tc>
          <w:tcPr>
            <w:tcW w:w="1559" w:type="dxa"/>
            <w:shd w:val="clear" w:color="000000" w:fill="A6A6A6"/>
          </w:tcPr>
          <w:p>
            <w:pPr>
              <w:keepNext w:val="0"/>
              <w:keepLines w:val="0"/>
              <w:pageBreakBefore w:val="0"/>
              <w:widowControl/>
              <w:kinsoku/>
              <w:wordWrap/>
              <w:overflowPunct/>
              <w:topLinePunct w:val="0"/>
              <w:autoSpaceDE/>
              <w:autoSpaceDN/>
              <w:bidi w:val="0"/>
              <w:adjustRightInd/>
              <w:snapToGrid/>
              <w:spacing w:line="580" w:lineRule="exact"/>
              <w:ind w:firstLine="0" w:firstLineChars="0"/>
              <w:jc w:val="center"/>
              <w:textAlignment w:val="auto"/>
              <w:rPr>
                <w:rFonts w:ascii="Times New Roman" w:hAnsi="Times New Roman" w:cs="Times New Roman"/>
                <w:b/>
                <w:bCs/>
                <w:kern w:val="0"/>
                <w:sz w:val="24"/>
                <w:szCs w:val="24"/>
              </w:rPr>
            </w:pPr>
            <w:r>
              <w:rPr>
                <w:rFonts w:hint="eastAsia" w:ascii="Times New Roman" w:hAnsi="Times New Roman" w:cs="Times New Roman"/>
                <w:b/>
                <w:bCs/>
                <w:kern w:val="0"/>
                <w:sz w:val="24"/>
                <w:szCs w:val="24"/>
              </w:rPr>
              <w:t>效果</w:t>
            </w:r>
          </w:p>
        </w:tc>
        <w:tc>
          <w:tcPr>
            <w:tcW w:w="1559" w:type="dxa"/>
            <w:shd w:val="clear" w:color="000000" w:fill="A6A6A6"/>
            <w:vAlign w:val="center"/>
          </w:tcPr>
          <w:p>
            <w:pPr>
              <w:keepNext w:val="0"/>
              <w:keepLines w:val="0"/>
              <w:pageBreakBefore w:val="0"/>
              <w:widowControl/>
              <w:kinsoku/>
              <w:wordWrap/>
              <w:overflowPunct/>
              <w:topLinePunct w:val="0"/>
              <w:autoSpaceDE/>
              <w:autoSpaceDN/>
              <w:bidi w:val="0"/>
              <w:adjustRightInd/>
              <w:snapToGrid/>
              <w:spacing w:line="580" w:lineRule="exact"/>
              <w:ind w:firstLine="0" w:firstLineChars="0"/>
              <w:jc w:val="center"/>
              <w:textAlignment w:val="auto"/>
              <w:rPr>
                <w:rFonts w:ascii="Times New Roman" w:hAnsi="Times New Roman" w:cs="Times New Roman"/>
                <w:b/>
                <w:bCs/>
                <w:kern w:val="0"/>
                <w:sz w:val="24"/>
                <w:szCs w:val="24"/>
              </w:rPr>
            </w:pPr>
            <w:r>
              <w:rPr>
                <w:rFonts w:ascii="Times New Roman" w:hAnsi="Times New Roman" w:cs="Times New Roman"/>
                <w:b/>
                <w:bCs/>
                <w:kern w:val="0"/>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5" w:type="dxa"/>
            <w:vAlign w:val="center"/>
          </w:tcPr>
          <w:p>
            <w:pPr>
              <w:keepNext w:val="0"/>
              <w:keepLines w:val="0"/>
              <w:pageBreakBefore w:val="0"/>
              <w:widowControl/>
              <w:kinsoku/>
              <w:wordWrap/>
              <w:overflowPunct/>
              <w:topLinePunct w:val="0"/>
              <w:autoSpaceDE/>
              <w:autoSpaceDN/>
              <w:bidi w:val="0"/>
              <w:adjustRightInd/>
              <w:snapToGrid/>
              <w:spacing w:line="580" w:lineRule="exact"/>
              <w:ind w:firstLine="0" w:firstLineChars="0"/>
              <w:jc w:val="center"/>
              <w:textAlignment w:val="auto"/>
              <w:rPr>
                <w:rFonts w:ascii="Times New Roman" w:hAnsi="Times New Roman" w:cs="Times New Roman"/>
                <w:kern w:val="0"/>
                <w:sz w:val="24"/>
                <w:szCs w:val="24"/>
              </w:rPr>
            </w:pPr>
            <w:r>
              <w:rPr>
                <w:rFonts w:ascii="Times New Roman" w:hAnsi="Times New Roman" w:cs="Times New Roman"/>
                <w:kern w:val="0"/>
                <w:sz w:val="24"/>
                <w:szCs w:val="24"/>
              </w:rPr>
              <w:t>权重</w:t>
            </w:r>
          </w:p>
        </w:tc>
        <w:tc>
          <w:tcPr>
            <w:tcW w:w="1417" w:type="dxa"/>
            <w:vAlign w:val="center"/>
          </w:tcPr>
          <w:p>
            <w:pPr>
              <w:bidi w:val="0"/>
              <w:jc w:val="both"/>
              <w:rPr>
                <w:rFonts w:hint="default"/>
                <w:sz w:val="24"/>
                <w:szCs w:val="24"/>
                <w:lang w:val="en-US" w:eastAsia="zh-CN"/>
              </w:rPr>
            </w:pPr>
            <w:r>
              <w:rPr>
                <w:rFonts w:hint="eastAsia"/>
                <w:sz w:val="24"/>
                <w:szCs w:val="24"/>
                <w:lang w:val="en-US" w:eastAsia="zh-CN"/>
              </w:rPr>
              <w:t>12</w:t>
            </w:r>
          </w:p>
        </w:tc>
        <w:tc>
          <w:tcPr>
            <w:tcW w:w="1418" w:type="dxa"/>
            <w:vAlign w:val="center"/>
          </w:tcPr>
          <w:p>
            <w:pPr>
              <w:bidi w:val="0"/>
              <w:jc w:val="both"/>
              <w:rPr>
                <w:rFonts w:hint="default"/>
                <w:sz w:val="24"/>
                <w:szCs w:val="24"/>
                <w:lang w:val="en-US" w:eastAsia="zh-CN"/>
              </w:rPr>
            </w:pPr>
            <w:r>
              <w:rPr>
                <w:rFonts w:hint="eastAsia"/>
                <w:sz w:val="24"/>
                <w:szCs w:val="24"/>
                <w:lang w:val="en-US" w:eastAsia="zh-CN"/>
              </w:rPr>
              <w:t>23</w:t>
            </w:r>
          </w:p>
        </w:tc>
        <w:tc>
          <w:tcPr>
            <w:tcW w:w="1559" w:type="dxa"/>
            <w:vAlign w:val="center"/>
          </w:tcPr>
          <w:p>
            <w:pPr>
              <w:bidi w:val="0"/>
              <w:jc w:val="both"/>
              <w:rPr>
                <w:rFonts w:hint="default"/>
                <w:sz w:val="24"/>
                <w:szCs w:val="24"/>
                <w:lang w:val="en-US" w:eastAsia="zh-CN"/>
              </w:rPr>
            </w:pPr>
            <w:r>
              <w:rPr>
                <w:rFonts w:hint="eastAsia"/>
                <w:sz w:val="24"/>
                <w:szCs w:val="24"/>
                <w:lang w:val="en-US" w:eastAsia="zh-CN"/>
              </w:rPr>
              <w:t>32</w:t>
            </w:r>
          </w:p>
        </w:tc>
        <w:tc>
          <w:tcPr>
            <w:tcW w:w="1559" w:type="dxa"/>
          </w:tcPr>
          <w:p>
            <w:pPr>
              <w:bidi w:val="0"/>
              <w:jc w:val="both"/>
              <w:rPr>
                <w:rFonts w:hint="default"/>
                <w:sz w:val="24"/>
                <w:szCs w:val="24"/>
                <w:lang w:val="en-US" w:eastAsia="zh-CN"/>
              </w:rPr>
            </w:pPr>
            <w:r>
              <w:rPr>
                <w:rFonts w:hint="eastAsia"/>
                <w:sz w:val="24"/>
                <w:szCs w:val="24"/>
                <w:lang w:val="en-US" w:eastAsia="zh-CN"/>
              </w:rPr>
              <w:t>33</w:t>
            </w:r>
          </w:p>
        </w:tc>
        <w:tc>
          <w:tcPr>
            <w:tcW w:w="1559" w:type="dxa"/>
            <w:vAlign w:val="center"/>
          </w:tcPr>
          <w:p>
            <w:pPr>
              <w:bidi w:val="0"/>
              <w:jc w:val="both"/>
              <w:rPr>
                <w:rFonts w:hint="default" w:eastAsia="仿宋_GB2312"/>
                <w:sz w:val="24"/>
                <w:szCs w:val="24"/>
                <w:lang w:val="en-US" w:eastAsia="zh-CN"/>
              </w:rPr>
            </w:pPr>
            <w:r>
              <w:rPr>
                <w:rFonts w:hint="eastAsia"/>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5" w:type="dxa"/>
            <w:vAlign w:val="center"/>
          </w:tcPr>
          <w:p>
            <w:pPr>
              <w:keepNext w:val="0"/>
              <w:keepLines w:val="0"/>
              <w:pageBreakBefore w:val="0"/>
              <w:widowControl/>
              <w:kinsoku/>
              <w:wordWrap/>
              <w:overflowPunct/>
              <w:topLinePunct w:val="0"/>
              <w:autoSpaceDE/>
              <w:autoSpaceDN/>
              <w:bidi w:val="0"/>
              <w:adjustRightInd/>
              <w:snapToGrid/>
              <w:spacing w:line="580" w:lineRule="exact"/>
              <w:ind w:firstLine="0" w:firstLineChars="0"/>
              <w:jc w:val="center"/>
              <w:textAlignment w:val="auto"/>
              <w:rPr>
                <w:rFonts w:ascii="Times New Roman" w:hAnsi="Times New Roman" w:cs="Times New Roman"/>
                <w:kern w:val="0"/>
                <w:sz w:val="24"/>
                <w:szCs w:val="24"/>
              </w:rPr>
            </w:pPr>
            <w:r>
              <w:rPr>
                <w:rFonts w:ascii="Times New Roman" w:hAnsi="Times New Roman" w:cs="Times New Roman"/>
                <w:kern w:val="0"/>
                <w:sz w:val="24"/>
                <w:szCs w:val="24"/>
              </w:rPr>
              <w:t>得分</w:t>
            </w:r>
          </w:p>
        </w:tc>
        <w:tc>
          <w:tcPr>
            <w:tcW w:w="1417" w:type="dxa"/>
            <w:vAlign w:val="center"/>
          </w:tcPr>
          <w:p>
            <w:pPr>
              <w:bidi w:val="0"/>
              <w:ind w:left="0" w:leftChars="0" w:firstLine="0" w:firstLineChars="0"/>
              <w:jc w:val="center"/>
              <w:rPr>
                <w:rFonts w:hint="default" w:eastAsia="仿宋_GB2312"/>
                <w:sz w:val="24"/>
                <w:szCs w:val="24"/>
                <w:lang w:val="en-US" w:eastAsia="zh-CN"/>
              </w:rPr>
            </w:pPr>
            <w:r>
              <w:rPr>
                <w:rFonts w:hint="eastAsia"/>
                <w:sz w:val="24"/>
                <w:szCs w:val="24"/>
                <w:lang w:val="en-US" w:eastAsia="zh-CN"/>
              </w:rPr>
              <w:t>7.5</w:t>
            </w:r>
          </w:p>
        </w:tc>
        <w:tc>
          <w:tcPr>
            <w:tcW w:w="1418" w:type="dxa"/>
            <w:vAlign w:val="center"/>
          </w:tcPr>
          <w:p>
            <w:pPr>
              <w:bidi w:val="0"/>
              <w:ind w:left="0" w:leftChars="0" w:firstLine="0" w:firstLineChars="0"/>
              <w:jc w:val="center"/>
              <w:rPr>
                <w:rFonts w:hint="default" w:eastAsia="仿宋_GB2312"/>
                <w:sz w:val="24"/>
                <w:szCs w:val="24"/>
                <w:lang w:val="en-US" w:eastAsia="zh-CN"/>
              </w:rPr>
            </w:pPr>
            <w:r>
              <w:rPr>
                <w:rFonts w:hint="eastAsia"/>
                <w:sz w:val="24"/>
                <w:szCs w:val="24"/>
                <w:lang w:val="en-US" w:eastAsia="zh-CN"/>
              </w:rPr>
              <w:t>19.6</w:t>
            </w:r>
          </w:p>
        </w:tc>
        <w:tc>
          <w:tcPr>
            <w:tcW w:w="1559" w:type="dxa"/>
            <w:vAlign w:val="center"/>
          </w:tcPr>
          <w:p>
            <w:pPr>
              <w:bidi w:val="0"/>
              <w:ind w:left="0" w:leftChars="0" w:firstLine="0" w:firstLineChars="0"/>
              <w:jc w:val="center"/>
              <w:rPr>
                <w:rFonts w:hint="default" w:eastAsia="仿宋_GB2312"/>
                <w:sz w:val="24"/>
                <w:szCs w:val="24"/>
                <w:lang w:val="en-US" w:eastAsia="zh-CN"/>
              </w:rPr>
            </w:pPr>
            <w:r>
              <w:rPr>
                <w:rFonts w:hint="eastAsia"/>
                <w:sz w:val="24"/>
                <w:szCs w:val="24"/>
                <w:lang w:val="en-US" w:eastAsia="zh-CN"/>
              </w:rPr>
              <w:t>32</w:t>
            </w:r>
          </w:p>
        </w:tc>
        <w:tc>
          <w:tcPr>
            <w:tcW w:w="1559" w:type="dxa"/>
          </w:tcPr>
          <w:p>
            <w:pPr>
              <w:bidi w:val="0"/>
              <w:jc w:val="both"/>
              <w:rPr>
                <w:rFonts w:hint="default" w:eastAsia="仿宋_GB2312"/>
                <w:sz w:val="24"/>
                <w:szCs w:val="24"/>
                <w:lang w:val="en-US" w:eastAsia="zh-CN"/>
              </w:rPr>
            </w:pPr>
            <w:r>
              <w:rPr>
                <w:rFonts w:hint="eastAsia"/>
                <w:sz w:val="24"/>
                <w:szCs w:val="24"/>
                <w:lang w:val="en-US" w:eastAsia="zh-CN"/>
              </w:rPr>
              <w:t>31</w:t>
            </w:r>
          </w:p>
        </w:tc>
        <w:tc>
          <w:tcPr>
            <w:tcW w:w="1559" w:type="dxa"/>
            <w:vAlign w:val="center"/>
          </w:tcPr>
          <w:p>
            <w:pPr>
              <w:bidi w:val="0"/>
              <w:ind w:left="0" w:leftChars="0" w:firstLine="0" w:firstLineChars="0"/>
              <w:jc w:val="center"/>
              <w:rPr>
                <w:rFonts w:hint="default" w:eastAsia="仿宋_GB2312"/>
                <w:sz w:val="24"/>
                <w:szCs w:val="24"/>
                <w:lang w:val="en-US" w:eastAsia="zh-CN"/>
              </w:rPr>
            </w:pPr>
            <w:r>
              <w:rPr>
                <w:rFonts w:hint="eastAsia"/>
                <w:sz w:val="24"/>
                <w:szCs w:val="24"/>
                <w:lang w:val="en-US" w:eastAsia="zh-CN"/>
              </w:rPr>
              <w:t>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55" w:type="dxa"/>
            <w:vAlign w:val="center"/>
          </w:tcPr>
          <w:p>
            <w:pPr>
              <w:keepNext w:val="0"/>
              <w:keepLines w:val="0"/>
              <w:pageBreakBefore w:val="0"/>
              <w:widowControl/>
              <w:kinsoku/>
              <w:wordWrap/>
              <w:overflowPunct/>
              <w:topLinePunct w:val="0"/>
              <w:autoSpaceDE/>
              <w:autoSpaceDN/>
              <w:bidi w:val="0"/>
              <w:adjustRightInd/>
              <w:snapToGrid/>
              <w:spacing w:line="580" w:lineRule="exact"/>
              <w:ind w:firstLine="0" w:firstLineChars="0"/>
              <w:jc w:val="center"/>
              <w:textAlignment w:val="auto"/>
              <w:rPr>
                <w:rFonts w:ascii="Times New Roman" w:hAnsi="Times New Roman" w:cs="Times New Roman"/>
                <w:kern w:val="0"/>
                <w:sz w:val="24"/>
                <w:szCs w:val="24"/>
              </w:rPr>
            </w:pPr>
            <w:r>
              <w:rPr>
                <w:rFonts w:ascii="Times New Roman" w:hAnsi="Times New Roman" w:cs="Times New Roman"/>
                <w:kern w:val="0"/>
                <w:sz w:val="24"/>
                <w:szCs w:val="24"/>
              </w:rPr>
              <w:t>得分率</w:t>
            </w:r>
          </w:p>
        </w:tc>
        <w:tc>
          <w:tcPr>
            <w:tcW w:w="1417" w:type="dxa"/>
            <w:vAlign w:val="center"/>
          </w:tcPr>
          <w:p>
            <w:pPr>
              <w:bidi w:val="0"/>
              <w:ind w:left="0" w:leftChars="0" w:firstLine="0" w:firstLineChars="0"/>
              <w:jc w:val="center"/>
              <w:rPr>
                <w:rFonts w:hint="default" w:eastAsia="仿宋_GB2312"/>
                <w:sz w:val="24"/>
                <w:szCs w:val="24"/>
                <w:lang w:val="en-US" w:eastAsia="zh-CN"/>
              </w:rPr>
            </w:pPr>
            <w:r>
              <w:rPr>
                <w:rFonts w:hint="eastAsia"/>
                <w:sz w:val="24"/>
                <w:szCs w:val="24"/>
                <w:lang w:val="en-US" w:eastAsia="zh-CN"/>
              </w:rPr>
              <w:t>62.5%</w:t>
            </w:r>
          </w:p>
        </w:tc>
        <w:tc>
          <w:tcPr>
            <w:tcW w:w="1418" w:type="dxa"/>
            <w:vAlign w:val="center"/>
          </w:tcPr>
          <w:p>
            <w:pPr>
              <w:bidi w:val="0"/>
              <w:ind w:left="0" w:leftChars="0" w:firstLine="0" w:firstLineChars="0"/>
              <w:jc w:val="center"/>
              <w:rPr>
                <w:rFonts w:hint="default" w:eastAsia="仿宋_GB2312"/>
                <w:sz w:val="24"/>
                <w:szCs w:val="24"/>
                <w:lang w:val="en-US" w:eastAsia="zh-CN"/>
              </w:rPr>
            </w:pPr>
            <w:r>
              <w:rPr>
                <w:rFonts w:hint="eastAsia"/>
                <w:sz w:val="24"/>
                <w:szCs w:val="24"/>
                <w:lang w:val="en-US" w:eastAsia="zh-CN"/>
              </w:rPr>
              <w:t>85.22%</w:t>
            </w:r>
          </w:p>
        </w:tc>
        <w:tc>
          <w:tcPr>
            <w:tcW w:w="1559" w:type="dxa"/>
            <w:vAlign w:val="center"/>
          </w:tcPr>
          <w:p>
            <w:pPr>
              <w:bidi w:val="0"/>
              <w:ind w:left="0" w:leftChars="0" w:firstLine="0" w:firstLineChars="0"/>
              <w:jc w:val="center"/>
              <w:rPr>
                <w:rFonts w:hint="default" w:eastAsia="仿宋_GB2312"/>
                <w:sz w:val="24"/>
                <w:szCs w:val="24"/>
                <w:lang w:val="en-US" w:eastAsia="zh-CN"/>
              </w:rPr>
            </w:pPr>
            <w:r>
              <w:rPr>
                <w:rFonts w:hint="eastAsia"/>
                <w:sz w:val="24"/>
                <w:szCs w:val="24"/>
                <w:lang w:val="en-US" w:eastAsia="zh-CN"/>
              </w:rPr>
              <w:t>100%</w:t>
            </w:r>
          </w:p>
        </w:tc>
        <w:tc>
          <w:tcPr>
            <w:tcW w:w="1559" w:type="dxa"/>
          </w:tcPr>
          <w:p>
            <w:pPr>
              <w:bidi w:val="0"/>
              <w:ind w:left="0" w:leftChars="0" w:firstLine="0" w:firstLineChars="0"/>
              <w:jc w:val="center"/>
              <w:rPr>
                <w:rFonts w:hint="default" w:eastAsia="仿宋_GB2312"/>
                <w:sz w:val="24"/>
                <w:szCs w:val="24"/>
                <w:lang w:val="en-US" w:eastAsia="zh-CN"/>
              </w:rPr>
            </w:pPr>
            <w:r>
              <w:rPr>
                <w:rFonts w:hint="eastAsia"/>
                <w:sz w:val="24"/>
                <w:szCs w:val="24"/>
                <w:lang w:val="en-US" w:eastAsia="zh-CN"/>
              </w:rPr>
              <w:t>93.94%</w:t>
            </w:r>
          </w:p>
        </w:tc>
        <w:tc>
          <w:tcPr>
            <w:tcW w:w="1559" w:type="dxa"/>
            <w:vAlign w:val="center"/>
          </w:tcPr>
          <w:p>
            <w:pPr>
              <w:bidi w:val="0"/>
              <w:ind w:left="0" w:leftChars="0" w:firstLine="0" w:firstLineChars="0"/>
              <w:jc w:val="center"/>
              <w:rPr>
                <w:rFonts w:hint="default" w:eastAsia="仿宋_GB2312"/>
                <w:sz w:val="24"/>
                <w:szCs w:val="24"/>
                <w:lang w:val="en-US" w:eastAsia="zh-CN"/>
              </w:rPr>
            </w:pPr>
            <w:r>
              <w:rPr>
                <w:rFonts w:hint="eastAsia"/>
                <w:sz w:val="24"/>
                <w:szCs w:val="24"/>
                <w:lang w:val="en-US" w:eastAsia="zh-CN"/>
              </w:rPr>
              <w:t>90.1%</w:t>
            </w:r>
          </w:p>
        </w:tc>
      </w:tr>
    </w:tbl>
    <w:p>
      <w:pPr>
        <w:pStyle w:val="3"/>
        <w:bidi w:val="0"/>
        <w:rPr>
          <w:rFonts w:hint="eastAsia"/>
          <w:lang w:val="en-US" w:eastAsia="zh-CN"/>
        </w:rPr>
      </w:pPr>
      <w:bookmarkStart w:id="22" w:name="_Toc29156"/>
      <w:r>
        <w:rPr>
          <w:rFonts w:hint="eastAsia"/>
          <w:lang w:val="en-US" w:eastAsia="zh-CN"/>
        </w:rPr>
        <w:t>（二）指标得分分析</w:t>
      </w:r>
      <w:bookmarkEnd w:id="22"/>
    </w:p>
    <w:p>
      <w:pPr>
        <w:ind w:firstLine="640"/>
        <w:rPr>
          <w:rFonts w:hAnsi="仿宋_GB2312" w:cs="仿宋_GB2312"/>
          <w:szCs w:val="32"/>
        </w:rPr>
      </w:pPr>
      <w:r>
        <w:rPr>
          <w:rFonts w:hint="eastAsia" w:hAnsi="仿宋_GB2312" w:cs="仿宋_GB2312"/>
          <w:szCs w:val="32"/>
        </w:rPr>
        <w:t>依据绩效评价指标体系，分别从投入、过程、产出、效果四个方面进行分析。</w:t>
      </w:r>
    </w:p>
    <w:p>
      <w:pPr>
        <w:pStyle w:val="4"/>
        <w:bidi w:val="0"/>
      </w:pPr>
      <w:r>
        <w:rPr>
          <w:rFonts w:hint="eastAsia"/>
          <w:lang w:val="en-US" w:eastAsia="zh-CN"/>
        </w:rPr>
        <w:t>1、</w:t>
      </w:r>
      <w:r>
        <w:rPr>
          <w:rFonts w:hint="eastAsia"/>
        </w:rPr>
        <w:t>投入</w:t>
      </w:r>
    </w:p>
    <w:p>
      <w:pPr>
        <w:ind w:firstLine="640"/>
        <w:rPr>
          <w:rFonts w:hAnsi="仿宋_GB2312" w:cs="仿宋_GB2312"/>
          <w:szCs w:val="32"/>
        </w:rPr>
      </w:pPr>
      <w:r>
        <w:rPr>
          <w:rFonts w:hint="eastAsia" w:hAnsi="仿宋_GB2312" w:cs="仿宋_GB2312"/>
          <w:szCs w:val="32"/>
        </w:rPr>
        <w:t>投入部分指标从部门职能、目标设定、预算配置三方面进行考察，指标分值1</w:t>
      </w:r>
      <w:r>
        <w:rPr>
          <w:rFonts w:hint="eastAsia" w:cs="仿宋_GB2312"/>
          <w:szCs w:val="32"/>
          <w:lang w:val="en-US" w:eastAsia="zh-CN"/>
        </w:rPr>
        <w:t>2</w:t>
      </w:r>
      <w:r>
        <w:rPr>
          <w:rFonts w:hAnsi="仿宋_GB2312" w:cs="仿宋_GB2312"/>
          <w:szCs w:val="32"/>
        </w:rPr>
        <w:t>分，实际得分</w:t>
      </w:r>
      <w:r>
        <w:rPr>
          <w:rFonts w:hint="eastAsia" w:cs="仿宋_GB2312"/>
          <w:szCs w:val="32"/>
          <w:lang w:val="en-US" w:eastAsia="zh-CN"/>
        </w:rPr>
        <w:t>7.5</w:t>
      </w:r>
      <w:r>
        <w:rPr>
          <w:rFonts w:hAnsi="仿宋_GB2312" w:cs="仿宋_GB2312"/>
          <w:szCs w:val="32"/>
        </w:rPr>
        <w:t>分。指标得分情况</w:t>
      </w:r>
      <w:r>
        <w:rPr>
          <w:rFonts w:hint="eastAsia" w:hAnsi="仿宋_GB2312" w:cs="仿宋_GB2312"/>
          <w:szCs w:val="32"/>
        </w:rPr>
        <w:t>详见表</w:t>
      </w:r>
      <w:r>
        <w:rPr>
          <w:rFonts w:hint="eastAsia" w:cs="仿宋_GB2312"/>
          <w:szCs w:val="32"/>
          <w:lang w:val="en-US" w:eastAsia="zh-CN"/>
        </w:rPr>
        <w:t>5-2</w:t>
      </w:r>
      <w:r>
        <w:rPr>
          <w:rFonts w:hint="eastAsia" w:hAnsi="仿宋_GB2312" w:cs="仿宋_GB2312"/>
          <w:szCs w:val="32"/>
        </w:rPr>
        <w:t>。</w:t>
      </w:r>
    </w:p>
    <w:p>
      <w:pPr>
        <w:pStyle w:val="5"/>
        <w:pageBreakBefore w:val="0"/>
        <w:widowControl w:val="0"/>
        <w:kinsoku/>
        <w:wordWrap/>
        <w:overflowPunct/>
        <w:topLinePunct w:val="0"/>
        <w:autoSpaceDE/>
        <w:autoSpaceDN/>
        <w:bidi w:val="0"/>
        <w:adjustRightInd/>
        <w:snapToGrid/>
        <w:spacing w:line="480" w:lineRule="exact"/>
        <w:jc w:val="center"/>
        <w:textAlignment w:val="auto"/>
        <w:rPr>
          <w:rFonts w:hint="eastAsia" w:eastAsia="仿宋_GB2312"/>
          <w:lang w:val="en-US" w:eastAsia="zh-CN"/>
        </w:rPr>
      </w:pPr>
      <w:r>
        <w:rPr>
          <w:rFonts w:hint="eastAsia"/>
        </w:rPr>
        <w:t>表</w:t>
      </w:r>
      <w:r>
        <w:rPr>
          <w:rFonts w:hint="eastAsia"/>
          <w:lang w:val="en-US" w:eastAsia="zh-CN"/>
        </w:rPr>
        <w:t>5-2</w:t>
      </w:r>
      <w:r>
        <w:rPr>
          <w:rFonts w:hint="eastAsia"/>
        </w:rPr>
        <w:t xml:space="preserve">: </w:t>
      </w:r>
      <w:r>
        <w:rPr>
          <w:rFonts w:hint="eastAsia"/>
          <w:lang w:val="en-US" w:eastAsia="zh-CN"/>
        </w:rPr>
        <w:t>山</w:t>
      </w:r>
      <w:r>
        <w:rPr>
          <w:rFonts w:hint="eastAsia"/>
        </w:rPr>
        <w:t>亭区住建局201</w:t>
      </w:r>
      <w:r>
        <w:rPr>
          <w:rFonts w:hint="eastAsia"/>
          <w:lang w:val="en-US" w:eastAsia="zh-CN"/>
        </w:rPr>
        <w:t>9</w:t>
      </w:r>
      <w:r>
        <w:rPr>
          <w:rFonts w:hint="eastAsia"/>
        </w:rPr>
        <w:t>年部门整体支出绩效评价投入指标</w:t>
      </w:r>
      <w:r>
        <w:rPr>
          <w:rFonts w:hint="eastAsia"/>
          <w:lang w:val="en-US" w:eastAsia="zh-CN"/>
        </w:rPr>
        <w:t>得分表</w:t>
      </w:r>
    </w:p>
    <w:tbl>
      <w:tblPr>
        <w:tblStyle w:val="12"/>
        <w:tblW w:w="8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417"/>
        <w:gridCol w:w="1418"/>
        <w:gridCol w:w="2638"/>
        <w:gridCol w:w="978"/>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93"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sz w:val="24"/>
                <w:szCs w:val="24"/>
              </w:rPr>
            </w:pPr>
            <w:r>
              <w:rPr>
                <w:rFonts w:hint="eastAsia"/>
                <w:b/>
                <w:sz w:val="24"/>
                <w:szCs w:val="24"/>
              </w:rPr>
              <w:t>序号</w:t>
            </w:r>
          </w:p>
        </w:tc>
        <w:tc>
          <w:tcPr>
            <w:tcW w:w="1417"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sz w:val="24"/>
                <w:szCs w:val="24"/>
              </w:rPr>
            </w:pPr>
            <w:r>
              <w:rPr>
                <w:rFonts w:hint="eastAsia"/>
                <w:b/>
                <w:sz w:val="24"/>
                <w:szCs w:val="24"/>
              </w:rPr>
              <w:t>一级指标</w:t>
            </w:r>
          </w:p>
        </w:tc>
        <w:tc>
          <w:tcPr>
            <w:tcW w:w="1418"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sz w:val="24"/>
                <w:szCs w:val="24"/>
              </w:rPr>
            </w:pPr>
            <w:r>
              <w:rPr>
                <w:rFonts w:hint="eastAsia"/>
                <w:b/>
                <w:sz w:val="24"/>
                <w:szCs w:val="24"/>
              </w:rPr>
              <w:t>二级指标</w:t>
            </w:r>
          </w:p>
        </w:tc>
        <w:tc>
          <w:tcPr>
            <w:tcW w:w="2638"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sz w:val="24"/>
                <w:szCs w:val="24"/>
              </w:rPr>
            </w:pPr>
            <w:r>
              <w:rPr>
                <w:rFonts w:hint="eastAsia"/>
                <w:b/>
                <w:sz w:val="24"/>
                <w:szCs w:val="24"/>
              </w:rPr>
              <w:t>三级指标</w:t>
            </w:r>
          </w:p>
        </w:tc>
        <w:tc>
          <w:tcPr>
            <w:tcW w:w="978"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sz w:val="24"/>
                <w:szCs w:val="24"/>
              </w:rPr>
            </w:pPr>
            <w:r>
              <w:rPr>
                <w:rFonts w:hint="eastAsia"/>
                <w:b/>
                <w:sz w:val="24"/>
                <w:szCs w:val="24"/>
              </w:rPr>
              <w:t>分值</w:t>
            </w:r>
          </w:p>
        </w:tc>
        <w:tc>
          <w:tcPr>
            <w:tcW w:w="920"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sz w:val="24"/>
                <w:szCs w:val="24"/>
              </w:rPr>
            </w:pPr>
            <w:r>
              <w:rPr>
                <w:rFonts w:hint="eastAsia"/>
                <w:b/>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1</w:t>
            </w:r>
          </w:p>
        </w:tc>
        <w:tc>
          <w:tcPr>
            <w:tcW w:w="1417"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sz w:val="24"/>
                <w:szCs w:val="24"/>
              </w:rPr>
            </w:pPr>
            <w:r>
              <w:rPr>
                <w:rFonts w:hint="eastAsia"/>
                <w:b/>
                <w:sz w:val="24"/>
                <w:szCs w:val="24"/>
              </w:rPr>
              <w:t>投入</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sz w:val="24"/>
                <w:szCs w:val="24"/>
              </w:rPr>
            </w:pPr>
            <w:r>
              <w:rPr>
                <w:rFonts w:hint="eastAsia"/>
                <w:b/>
                <w:sz w:val="24"/>
                <w:szCs w:val="24"/>
              </w:rPr>
              <w:t>部门职能</w:t>
            </w:r>
          </w:p>
        </w:tc>
        <w:tc>
          <w:tcPr>
            <w:tcW w:w="263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部门职能明确性</w:t>
            </w:r>
          </w:p>
        </w:tc>
        <w:tc>
          <w:tcPr>
            <w:tcW w:w="9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eastAsia="仿宋_GB2312"/>
                <w:sz w:val="24"/>
                <w:szCs w:val="24"/>
                <w:lang w:eastAsia="zh-CN"/>
              </w:rPr>
            </w:pPr>
            <w:r>
              <w:rPr>
                <w:rFonts w:hint="eastAsia"/>
                <w:sz w:val="24"/>
                <w:szCs w:val="24"/>
                <w:lang w:val="en-US" w:eastAsia="zh-CN"/>
              </w:rPr>
              <w:t>4</w:t>
            </w:r>
          </w:p>
        </w:tc>
        <w:tc>
          <w:tcPr>
            <w:tcW w:w="92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eastAsia="仿宋_GB2312"/>
                <w:sz w:val="24"/>
                <w:szCs w:val="24"/>
                <w:lang w:val="en-US" w:eastAsia="zh-CN"/>
              </w:rPr>
            </w:pPr>
            <w:r>
              <w:rPr>
                <w:rFonts w:hint="eastAsia"/>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3</w:t>
            </w:r>
          </w:p>
        </w:tc>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sz w:val="24"/>
                <w:szCs w:val="24"/>
              </w:rPr>
            </w:pPr>
            <w:r>
              <w:rPr>
                <w:rFonts w:hint="eastAsia"/>
                <w:b/>
                <w:sz w:val="24"/>
                <w:szCs w:val="24"/>
              </w:rPr>
              <w:t>目标设定</w:t>
            </w:r>
          </w:p>
        </w:tc>
        <w:tc>
          <w:tcPr>
            <w:tcW w:w="263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绩效目标合理性</w:t>
            </w:r>
          </w:p>
        </w:tc>
        <w:tc>
          <w:tcPr>
            <w:tcW w:w="9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eastAsia="仿宋_GB2312"/>
                <w:sz w:val="24"/>
                <w:szCs w:val="24"/>
                <w:lang w:eastAsia="zh-CN"/>
              </w:rPr>
            </w:pPr>
            <w:r>
              <w:rPr>
                <w:rFonts w:hint="eastAsia"/>
                <w:sz w:val="24"/>
                <w:szCs w:val="24"/>
                <w:lang w:val="en-US" w:eastAsia="zh-CN"/>
              </w:rPr>
              <w:t>1</w:t>
            </w:r>
          </w:p>
        </w:tc>
        <w:tc>
          <w:tcPr>
            <w:tcW w:w="92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eastAsia="仿宋_GB2312"/>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4</w:t>
            </w:r>
          </w:p>
        </w:tc>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263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绩效指标明确性</w:t>
            </w:r>
          </w:p>
        </w:tc>
        <w:tc>
          <w:tcPr>
            <w:tcW w:w="9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eastAsia="仿宋_GB2312"/>
                <w:sz w:val="24"/>
                <w:szCs w:val="24"/>
                <w:lang w:eastAsia="zh-CN"/>
              </w:rPr>
            </w:pPr>
            <w:r>
              <w:rPr>
                <w:rFonts w:hint="eastAsia"/>
                <w:sz w:val="24"/>
                <w:szCs w:val="24"/>
                <w:lang w:val="en-US" w:eastAsia="zh-CN"/>
              </w:rPr>
              <w:t>1</w:t>
            </w:r>
          </w:p>
        </w:tc>
        <w:tc>
          <w:tcPr>
            <w:tcW w:w="92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eastAsia="仿宋_GB2312"/>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5</w:t>
            </w:r>
          </w:p>
        </w:tc>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sz w:val="24"/>
                <w:szCs w:val="24"/>
              </w:rPr>
            </w:pPr>
            <w:r>
              <w:rPr>
                <w:rFonts w:hint="eastAsia"/>
                <w:b/>
                <w:sz w:val="24"/>
                <w:szCs w:val="24"/>
              </w:rPr>
              <w:t>预算配置</w:t>
            </w:r>
          </w:p>
        </w:tc>
        <w:tc>
          <w:tcPr>
            <w:tcW w:w="263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预算编制合理性</w:t>
            </w:r>
          </w:p>
        </w:tc>
        <w:tc>
          <w:tcPr>
            <w:tcW w:w="9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eastAsia="仿宋_GB2312"/>
                <w:sz w:val="24"/>
                <w:szCs w:val="24"/>
                <w:lang w:eastAsia="zh-CN"/>
              </w:rPr>
            </w:pPr>
            <w:r>
              <w:rPr>
                <w:rFonts w:hint="eastAsia"/>
                <w:sz w:val="24"/>
                <w:szCs w:val="24"/>
                <w:lang w:val="en-US" w:eastAsia="zh-CN"/>
              </w:rPr>
              <w:t>2</w:t>
            </w:r>
          </w:p>
        </w:tc>
        <w:tc>
          <w:tcPr>
            <w:tcW w:w="92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eastAsia="仿宋_GB2312"/>
                <w:sz w:val="24"/>
                <w:szCs w:val="24"/>
                <w:lang w:val="en-US" w:eastAsia="zh-CN"/>
              </w:rPr>
            </w:pPr>
            <w:r>
              <w:rPr>
                <w:rFonts w:hint="eastAsia"/>
                <w:sz w:val="24"/>
                <w:szCs w:val="24"/>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6</w:t>
            </w:r>
          </w:p>
        </w:tc>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263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eastAsia="仿宋_GB2312"/>
                <w:sz w:val="24"/>
                <w:szCs w:val="24"/>
                <w:lang w:val="en-US" w:eastAsia="zh-CN"/>
              </w:rPr>
            </w:pPr>
            <w:r>
              <w:rPr>
                <w:rFonts w:hint="eastAsia"/>
                <w:sz w:val="24"/>
                <w:szCs w:val="24"/>
                <w:lang w:val="en-US" w:eastAsia="zh-CN"/>
              </w:rPr>
              <w:t>在职人员控制率</w:t>
            </w:r>
          </w:p>
        </w:tc>
        <w:tc>
          <w:tcPr>
            <w:tcW w:w="9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2</w:t>
            </w:r>
          </w:p>
        </w:tc>
        <w:tc>
          <w:tcPr>
            <w:tcW w:w="92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eastAsia="仿宋_GB2312"/>
                <w:sz w:val="24"/>
                <w:szCs w:val="24"/>
                <w:lang w:val="en-US" w:eastAsia="zh-CN"/>
              </w:rPr>
            </w:pPr>
            <w:r>
              <w:rPr>
                <w:rFonts w:hint="eastAsia"/>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7</w:t>
            </w:r>
          </w:p>
        </w:tc>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263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eastAsia="仿宋_GB2312"/>
                <w:sz w:val="24"/>
                <w:szCs w:val="24"/>
                <w:lang w:val="en-US" w:eastAsia="zh-CN"/>
              </w:rPr>
            </w:pPr>
            <w:r>
              <w:rPr>
                <w:rFonts w:hint="eastAsia"/>
                <w:sz w:val="24"/>
                <w:szCs w:val="24"/>
              </w:rPr>
              <w:t>“三公”经费</w:t>
            </w:r>
            <w:r>
              <w:rPr>
                <w:rFonts w:hint="eastAsia"/>
                <w:sz w:val="24"/>
                <w:szCs w:val="24"/>
                <w:lang w:val="en-US" w:eastAsia="zh-CN"/>
              </w:rPr>
              <w:t>变动率</w:t>
            </w:r>
          </w:p>
        </w:tc>
        <w:tc>
          <w:tcPr>
            <w:tcW w:w="9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2</w:t>
            </w:r>
          </w:p>
        </w:tc>
        <w:tc>
          <w:tcPr>
            <w:tcW w:w="92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eastAsia="仿宋_GB2312"/>
                <w:sz w:val="24"/>
                <w:szCs w:val="24"/>
                <w:lang w:val="en-US" w:eastAsia="zh-CN"/>
              </w:rPr>
            </w:pPr>
            <w:r>
              <w:rPr>
                <w:rFonts w:hint="eastAsia"/>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66" w:type="dxa"/>
            <w:gridSpan w:val="4"/>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eastAsia="仿宋_GB2312"/>
                <w:sz w:val="24"/>
                <w:szCs w:val="24"/>
                <w:lang w:val="en-US" w:eastAsia="zh-CN"/>
              </w:rPr>
            </w:pPr>
            <w:r>
              <w:rPr>
                <w:rFonts w:hint="eastAsia"/>
                <w:sz w:val="24"/>
                <w:szCs w:val="24"/>
                <w:lang w:val="en-US" w:eastAsia="zh-CN"/>
              </w:rPr>
              <w:t>合计</w:t>
            </w:r>
          </w:p>
        </w:tc>
        <w:tc>
          <w:tcPr>
            <w:tcW w:w="9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eastAsia="仿宋_GB2312"/>
                <w:sz w:val="24"/>
                <w:szCs w:val="24"/>
                <w:lang w:val="en-US" w:eastAsia="zh-CN"/>
              </w:rPr>
            </w:pPr>
            <w:r>
              <w:rPr>
                <w:rFonts w:hint="eastAsia"/>
                <w:sz w:val="24"/>
                <w:szCs w:val="24"/>
                <w:lang w:val="en-US" w:eastAsia="zh-CN"/>
              </w:rPr>
              <w:t>13</w:t>
            </w:r>
          </w:p>
        </w:tc>
        <w:tc>
          <w:tcPr>
            <w:tcW w:w="92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eastAsia="仿宋_GB2312"/>
                <w:sz w:val="24"/>
                <w:szCs w:val="24"/>
                <w:lang w:val="en-US" w:eastAsia="zh-CN"/>
              </w:rPr>
            </w:pPr>
            <w:r>
              <w:rPr>
                <w:rFonts w:hint="eastAsia"/>
                <w:sz w:val="24"/>
                <w:szCs w:val="24"/>
                <w:lang w:val="en-US" w:eastAsia="zh-CN"/>
              </w:rPr>
              <w:t>7.5</w:t>
            </w:r>
          </w:p>
        </w:tc>
      </w:tr>
    </w:tbl>
    <w:p>
      <w:pPr>
        <w:ind w:firstLine="643"/>
        <w:rPr>
          <w:rFonts w:hAnsi="仿宋_GB2312" w:cs="仿宋_GB2312"/>
          <w:szCs w:val="32"/>
        </w:rPr>
      </w:pPr>
      <w:r>
        <w:rPr>
          <w:rFonts w:hint="eastAsia" w:hAnsi="仿宋_GB2312" w:cs="仿宋_GB2312"/>
          <w:b/>
          <w:szCs w:val="32"/>
        </w:rPr>
        <w:t>关于“部门职能明确性”指标</w:t>
      </w:r>
      <w:r>
        <w:rPr>
          <w:rFonts w:hint="eastAsia" w:cs="仿宋_GB2312"/>
          <w:b/>
          <w:szCs w:val="32"/>
          <w:lang w:eastAsia="zh-CN"/>
        </w:rPr>
        <w:t>：</w:t>
      </w:r>
      <w:r>
        <w:rPr>
          <w:rFonts w:hint="eastAsia" w:hAnsi="仿宋_GB2312" w:cs="仿宋_GB2312"/>
          <w:szCs w:val="32"/>
        </w:rPr>
        <w:t>根据三定方案，</w:t>
      </w:r>
      <w:r>
        <w:rPr>
          <w:rFonts w:hint="eastAsia" w:cs="仿宋_GB2312"/>
          <w:szCs w:val="32"/>
          <w:lang w:val="en-US" w:eastAsia="zh-CN"/>
        </w:rPr>
        <w:t>山亭区住建局职能明确。据评价工作组了解和访谈，局现内设机构职能划分明确并且不存在职责上的重合，但是实际内设机构数量与三定方案中规定的机构数量不一致。</w:t>
      </w:r>
      <w:r>
        <w:rPr>
          <w:rFonts w:hint="eastAsia" w:hAnsi="仿宋_GB2312" w:cs="仿宋_GB2312"/>
          <w:szCs w:val="32"/>
          <w:lang w:val="en-US" w:eastAsia="zh-CN"/>
        </w:rPr>
        <w:t>根据评分标准</w:t>
      </w:r>
      <w:r>
        <w:rPr>
          <w:rFonts w:hint="eastAsia" w:hAnsi="仿宋_GB2312" w:cs="仿宋_GB2312"/>
          <w:szCs w:val="32"/>
        </w:rPr>
        <w:t>，</w:t>
      </w:r>
      <w:r>
        <w:rPr>
          <w:rFonts w:hint="eastAsia" w:hAnsi="仿宋_GB2312" w:cs="仿宋_GB2312"/>
          <w:b w:val="0"/>
          <w:bCs/>
          <w:szCs w:val="32"/>
        </w:rPr>
        <w:t>“部门职能明确性”指</w:t>
      </w:r>
      <w:r>
        <w:rPr>
          <w:rFonts w:hint="eastAsia" w:hAnsi="仿宋_GB2312" w:cs="仿宋_GB2312"/>
          <w:szCs w:val="32"/>
        </w:rPr>
        <w:t>标得</w:t>
      </w:r>
      <w:r>
        <w:rPr>
          <w:rFonts w:hint="eastAsia" w:cs="仿宋_GB2312"/>
          <w:szCs w:val="32"/>
          <w:lang w:val="en-US" w:eastAsia="zh-CN"/>
        </w:rPr>
        <w:t>3</w:t>
      </w:r>
      <w:r>
        <w:rPr>
          <w:rFonts w:hint="eastAsia" w:hAnsi="仿宋_GB2312" w:cs="仿宋_GB2312"/>
          <w:szCs w:val="32"/>
        </w:rPr>
        <w:t>分</w:t>
      </w:r>
      <w:r>
        <w:rPr>
          <w:rFonts w:hint="eastAsia" w:cs="仿宋_GB2312"/>
          <w:szCs w:val="32"/>
          <w:lang w:eastAsia="zh-CN"/>
        </w:rPr>
        <w:t>，</w:t>
      </w:r>
      <w:r>
        <w:rPr>
          <w:rFonts w:hint="eastAsia" w:cs="仿宋_GB2312"/>
          <w:szCs w:val="32"/>
          <w:lang w:val="en-US" w:eastAsia="zh-CN"/>
        </w:rPr>
        <w:t>扣1分</w:t>
      </w:r>
      <w:r>
        <w:rPr>
          <w:rFonts w:hint="eastAsia" w:hAnsi="仿宋_GB2312" w:cs="仿宋_GB2312"/>
          <w:szCs w:val="32"/>
        </w:rPr>
        <w:t>。</w:t>
      </w:r>
    </w:p>
    <w:p>
      <w:pPr>
        <w:ind w:firstLine="643"/>
        <w:rPr>
          <w:rFonts w:hAnsi="仿宋_GB2312" w:cs="仿宋_GB2312"/>
          <w:b w:val="0"/>
          <w:bCs/>
          <w:szCs w:val="32"/>
        </w:rPr>
      </w:pPr>
      <w:r>
        <w:rPr>
          <w:rFonts w:hint="eastAsia" w:hAnsi="仿宋_GB2312" w:cs="仿宋_GB2312"/>
          <w:b/>
          <w:szCs w:val="32"/>
        </w:rPr>
        <w:t>关于“绩效目标合理性”和“绩效指标明确性”指标</w:t>
      </w:r>
      <w:r>
        <w:rPr>
          <w:rFonts w:hint="eastAsia" w:cs="仿宋_GB2312"/>
          <w:b/>
          <w:szCs w:val="32"/>
          <w:lang w:eastAsia="zh-CN"/>
        </w:rPr>
        <w:t>：</w:t>
      </w:r>
      <w:r>
        <w:rPr>
          <w:rFonts w:hint="eastAsia" w:cs="仿宋_GB2312"/>
          <w:szCs w:val="32"/>
          <w:lang w:val="en-US" w:eastAsia="zh-CN"/>
        </w:rPr>
        <w:t>山亭区住建局</w:t>
      </w:r>
      <w:r>
        <w:rPr>
          <w:rFonts w:hint="eastAsia" w:hAnsi="仿宋_GB2312" w:cs="仿宋_GB2312"/>
          <w:szCs w:val="32"/>
          <w:lang w:val="en-US" w:eastAsia="zh-CN"/>
        </w:rPr>
        <w:t>201</w:t>
      </w:r>
      <w:r>
        <w:rPr>
          <w:rFonts w:hint="eastAsia" w:cs="仿宋_GB2312"/>
          <w:szCs w:val="32"/>
          <w:lang w:val="en-US" w:eastAsia="zh-CN"/>
        </w:rPr>
        <w:t>9</w:t>
      </w:r>
      <w:r>
        <w:rPr>
          <w:rFonts w:hint="eastAsia" w:hAnsi="仿宋_GB2312" w:cs="仿宋_GB2312"/>
          <w:szCs w:val="32"/>
          <w:lang w:val="en-US" w:eastAsia="zh-CN"/>
        </w:rPr>
        <w:t>年</w:t>
      </w:r>
      <w:r>
        <w:rPr>
          <w:rFonts w:hint="eastAsia" w:hAnsi="仿宋_GB2312" w:cs="仿宋_GB2312"/>
          <w:szCs w:val="32"/>
        </w:rPr>
        <w:t>未设置部门整体支出绩效目标，</w:t>
      </w:r>
      <w:r>
        <w:rPr>
          <w:rFonts w:hint="eastAsia" w:hAnsi="仿宋_GB2312" w:cs="仿宋_GB2312"/>
          <w:szCs w:val="32"/>
          <w:lang w:val="en-US" w:eastAsia="zh-CN"/>
        </w:rPr>
        <w:t>根据评分标准，</w:t>
      </w:r>
      <w:r>
        <w:rPr>
          <w:rFonts w:hint="eastAsia" w:hAnsi="仿宋_GB2312" w:cs="仿宋_GB2312"/>
          <w:b w:val="0"/>
          <w:bCs/>
          <w:szCs w:val="32"/>
        </w:rPr>
        <w:t>“绩效目标合理性”和“绩效指标明确性”指标</w:t>
      </w:r>
      <w:r>
        <w:rPr>
          <w:rFonts w:hint="eastAsia" w:cs="仿宋_GB2312"/>
          <w:b w:val="0"/>
          <w:bCs/>
          <w:szCs w:val="32"/>
          <w:lang w:val="en-US" w:eastAsia="zh-CN"/>
        </w:rPr>
        <w:t>均</w:t>
      </w:r>
      <w:r>
        <w:rPr>
          <w:rFonts w:hint="eastAsia" w:hAnsi="仿宋_GB2312" w:cs="仿宋_GB2312"/>
          <w:b w:val="0"/>
          <w:bCs/>
          <w:szCs w:val="32"/>
        </w:rPr>
        <w:t>得0分</w:t>
      </w:r>
      <w:r>
        <w:rPr>
          <w:rFonts w:hint="eastAsia" w:cs="仿宋_GB2312"/>
          <w:b w:val="0"/>
          <w:bCs/>
          <w:szCs w:val="32"/>
          <w:lang w:eastAsia="zh-CN"/>
        </w:rPr>
        <w:t>，</w:t>
      </w:r>
      <w:r>
        <w:rPr>
          <w:rFonts w:hint="eastAsia" w:cs="仿宋_GB2312"/>
          <w:b w:val="0"/>
          <w:bCs/>
          <w:szCs w:val="32"/>
          <w:lang w:val="en-US" w:eastAsia="zh-CN"/>
        </w:rPr>
        <w:t>分别扣1分</w:t>
      </w:r>
      <w:r>
        <w:rPr>
          <w:rFonts w:hint="eastAsia" w:hAnsi="仿宋_GB2312" w:cs="仿宋_GB2312"/>
          <w:b w:val="0"/>
          <w:bCs/>
          <w:szCs w:val="32"/>
        </w:rPr>
        <w:t>。</w:t>
      </w:r>
    </w:p>
    <w:p>
      <w:pPr>
        <w:ind w:firstLine="643"/>
        <w:rPr>
          <w:rFonts w:hAnsi="仿宋_GB2312" w:cs="仿宋_GB2312"/>
          <w:szCs w:val="32"/>
        </w:rPr>
      </w:pPr>
      <w:r>
        <w:rPr>
          <w:rFonts w:hint="eastAsia" w:hAnsi="仿宋_GB2312" w:cs="仿宋_GB2312"/>
          <w:b/>
          <w:szCs w:val="32"/>
        </w:rPr>
        <w:t>关于“预算编制合理性”指标</w:t>
      </w:r>
      <w:r>
        <w:rPr>
          <w:rFonts w:hint="eastAsia" w:cs="仿宋_GB2312"/>
          <w:b/>
          <w:szCs w:val="32"/>
          <w:lang w:eastAsia="zh-CN"/>
        </w:rPr>
        <w:t>：</w:t>
      </w:r>
      <w:r>
        <w:rPr>
          <w:rFonts w:hint="eastAsia" w:cs="仿宋_GB2312"/>
          <w:b w:val="0"/>
          <w:bCs/>
          <w:szCs w:val="32"/>
          <w:lang w:val="en-US" w:eastAsia="zh-CN"/>
        </w:rPr>
        <w:t>2019年山亭区住建局预算编制流程清晰、机制健全，但预算编制不够完整，未将2018年结转资金、2019年上级资金以及2019年政府性基金收入列入预算；政府采购预算数为0，但是实际执行数为4.01万元；项目支出3000万元预算数的子项目列示不够清晰，无法与绩效目标相匹配。</w:t>
      </w:r>
      <w:r>
        <w:rPr>
          <w:rFonts w:hint="eastAsia" w:hAnsi="仿宋_GB2312" w:cs="仿宋_GB2312"/>
          <w:b w:val="0"/>
          <w:bCs/>
          <w:szCs w:val="32"/>
          <w:lang w:val="en-US" w:eastAsia="zh-CN"/>
        </w:rPr>
        <w:t>根据评分标准</w:t>
      </w:r>
      <w:r>
        <w:rPr>
          <w:rFonts w:hint="eastAsia" w:hAnsi="仿宋_GB2312" w:cs="仿宋_GB2312"/>
          <w:b w:val="0"/>
          <w:bCs/>
          <w:szCs w:val="32"/>
        </w:rPr>
        <w:t>，“预算编制合理性”指标得0.5分</w:t>
      </w:r>
      <w:r>
        <w:rPr>
          <w:rFonts w:hint="eastAsia" w:cs="仿宋_GB2312"/>
          <w:b w:val="0"/>
          <w:bCs/>
          <w:szCs w:val="32"/>
          <w:lang w:eastAsia="zh-CN"/>
        </w:rPr>
        <w:t>，</w:t>
      </w:r>
      <w:r>
        <w:rPr>
          <w:rFonts w:hint="eastAsia" w:cs="仿宋_GB2312"/>
          <w:b w:val="0"/>
          <w:bCs/>
          <w:szCs w:val="32"/>
          <w:lang w:val="en-US" w:eastAsia="zh-CN"/>
        </w:rPr>
        <w:t>扣1.5分</w:t>
      </w:r>
      <w:r>
        <w:rPr>
          <w:rFonts w:hint="eastAsia" w:hAnsi="仿宋_GB2312" w:cs="仿宋_GB2312"/>
          <w:b w:val="0"/>
          <w:bCs/>
          <w:szCs w:val="32"/>
        </w:rPr>
        <w:t>。</w:t>
      </w:r>
    </w:p>
    <w:p>
      <w:pPr>
        <w:ind w:firstLine="643"/>
        <w:rPr>
          <w:rFonts w:hint="default" w:hAnsi="仿宋_GB2312" w:eastAsia="仿宋_GB2312" w:cs="仿宋_GB2312"/>
          <w:b w:val="0"/>
          <w:bCs/>
          <w:szCs w:val="32"/>
          <w:lang w:val="en-US" w:eastAsia="zh-CN"/>
        </w:rPr>
      </w:pPr>
      <w:r>
        <w:rPr>
          <w:rFonts w:hint="eastAsia" w:cs="仿宋_GB2312"/>
          <w:b/>
          <w:szCs w:val="32"/>
          <w:lang w:val="en-US" w:eastAsia="zh-CN"/>
        </w:rPr>
        <w:t>关于“在职人员控制率”指标：</w:t>
      </w:r>
      <w:r>
        <w:rPr>
          <w:rFonts w:hint="eastAsia" w:cs="仿宋_GB2312"/>
          <w:b w:val="0"/>
          <w:bCs/>
          <w:szCs w:val="32"/>
          <w:lang w:val="en-US" w:eastAsia="zh-CN"/>
        </w:rPr>
        <w:t>三定方案中规定的山亭区行政编制数15人，2019年行政编实际在职人数11人，在职人员控制率小于100%。根据评分标准，“在职人员控制率”指标得指标满分值2分。</w:t>
      </w:r>
    </w:p>
    <w:p>
      <w:pPr>
        <w:ind w:firstLine="643"/>
        <w:rPr>
          <w:rFonts w:hAnsi="仿宋_GB2312" w:cs="仿宋_GB2312"/>
          <w:szCs w:val="32"/>
        </w:rPr>
      </w:pPr>
      <w:r>
        <w:rPr>
          <w:rFonts w:hint="eastAsia" w:hAnsi="仿宋_GB2312" w:cs="仿宋_GB2312"/>
          <w:b/>
          <w:szCs w:val="32"/>
        </w:rPr>
        <w:t>关于“‘三公’经费</w:t>
      </w:r>
      <w:r>
        <w:rPr>
          <w:rFonts w:hint="eastAsia" w:cs="仿宋_GB2312"/>
          <w:b/>
          <w:szCs w:val="32"/>
          <w:lang w:val="en-US" w:eastAsia="zh-CN"/>
        </w:rPr>
        <w:t>变动率</w:t>
      </w:r>
      <w:r>
        <w:rPr>
          <w:rFonts w:hint="eastAsia" w:hAnsi="仿宋_GB2312" w:cs="仿宋_GB2312"/>
          <w:b/>
          <w:szCs w:val="32"/>
        </w:rPr>
        <w:t>”指标</w:t>
      </w:r>
      <w:r>
        <w:rPr>
          <w:rFonts w:hint="eastAsia" w:cs="仿宋_GB2312"/>
          <w:b/>
          <w:szCs w:val="32"/>
          <w:lang w:eastAsia="zh-CN"/>
        </w:rPr>
        <w:t>：</w:t>
      </w:r>
      <w:r>
        <w:rPr>
          <w:rFonts w:hint="eastAsia" w:hAnsi="仿宋_GB2312" w:cs="仿宋_GB2312"/>
          <w:szCs w:val="32"/>
        </w:rPr>
        <w:t>根据统计，201</w:t>
      </w:r>
      <w:r>
        <w:rPr>
          <w:rFonts w:hint="eastAsia" w:cs="仿宋_GB2312"/>
          <w:szCs w:val="32"/>
          <w:lang w:val="en-US" w:eastAsia="zh-CN"/>
        </w:rPr>
        <w:t>8</w:t>
      </w:r>
      <w:r>
        <w:rPr>
          <w:rFonts w:hint="eastAsia" w:hAnsi="仿宋_GB2312" w:cs="仿宋_GB2312"/>
          <w:szCs w:val="32"/>
        </w:rPr>
        <w:t>年</w:t>
      </w:r>
      <w:r>
        <w:rPr>
          <w:rFonts w:hint="eastAsia" w:cs="仿宋_GB2312"/>
          <w:szCs w:val="32"/>
          <w:lang w:val="en-US" w:eastAsia="zh-CN"/>
        </w:rPr>
        <w:t>山亭区住建局“三公”</w:t>
      </w:r>
      <w:r>
        <w:rPr>
          <w:rFonts w:hint="eastAsia" w:hAnsi="仿宋_GB2312" w:cs="仿宋_GB2312"/>
          <w:szCs w:val="32"/>
        </w:rPr>
        <w:t>经费预算</w:t>
      </w:r>
      <w:r>
        <w:rPr>
          <w:rFonts w:hint="eastAsia" w:cs="仿宋_GB2312"/>
          <w:szCs w:val="32"/>
          <w:lang w:val="en-US" w:eastAsia="zh-CN"/>
        </w:rPr>
        <w:t>2万</w:t>
      </w:r>
      <w:r>
        <w:rPr>
          <w:rFonts w:hint="eastAsia" w:hAnsi="仿宋_GB2312" w:cs="仿宋_GB2312"/>
          <w:szCs w:val="32"/>
        </w:rPr>
        <w:t>元，</w:t>
      </w:r>
      <w:r>
        <w:rPr>
          <w:rFonts w:hint="eastAsia" w:cs="仿宋_GB2312"/>
          <w:szCs w:val="32"/>
          <w:lang w:val="en-US" w:eastAsia="zh-CN"/>
        </w:rPr>
        <w:t>2019年山亭区住建局“三公”</w:t>
      </w:r>
      <w:r>
        <w:rPr>
          <w:rFonts w:hint="eastAsia" w:hAnsi="仿宋_GB2312" w:cs="仿宋_GB2312"/>
          <w:szCs w:val="32"/>
        </w:rPr>
        <w:t>经费预算</w:t>
      </w:r>
      <w:r>
        <w:rPr>
          <w:rFonts w:hint="eastAsia" w:cs="仿宋_GB2312"/>
          <w:szCs w:val="32"/>
          <w:lang w:val="en-US" w:eastAsia="zh-CN"/>
        </w:rPr>
        <w:t>2万</w:t>
      </w:r>
      <w:r>
        <w:rPr>
          <w:rFonts w:hint="eastAsia" w:hAnsi="仿宋_GB2312" w:cs="仿宋_GB2312"/>
          <w:szCs w:val="32"/>
        </w:rPr>
        <w:t>元</w:t>
      </w:r>
      <w:r>
        <w:rPr>
          <w:rFonts w:hint="eastAsia" w:cs="仿宋_GB2312"/>
          <w:szCs w:val="32"/>
          <w:lang w:eastAsia="zh-CN"/>
        </w:rPr>
        <w:t>，“</w:t>
      </w:r>
      <w:r>
        <w:rPr>
          <w:rFonts w:hint="eastAsia" w:cs="仿宋_GB2312"/>
          <w:szCs w:val="32"/>
          <w:lang w:val="en-US" w:eastAsia="zh-CN"/>
        </w:rPr>
        <w:t>三公</w:t>
      </w:r>
      <w:r>
        <w:rPr>
          <w:rFonts w:hint="eastAsia" w:cs="仿宋_GB2312"/>
          <w:szCs w:val="32"/>
          <w:lang w:eastAsia="zh-CN"/>
        </w:rPr>
        <w:t>”</w:t>
      </w:r>
      <w:r>
        <w:rPr>
          <w:rFonts w:hint="eastAsia" w:hAnsi="仿宋_GB2312" w:cs="仿宋_GB2312"/>
          <w:szCs w:val="32"/>
        </w:rPr>
        <w:t>经费</w:t>
      </w:r>
      <w:r>
        <w:rPr>
          <w:rFonts w:hint="eastAsia" w:cs="仿宋_GB2312"/>
          <w:szCs w:val="32"/>
          <w:lang w:val="en-US" w:eastAsia="zh-CN"/>
        </w:rPr>
        <w:t>没有变动。</w:t>
      </w:r>
      <w:r>
        <w:rPr>
          <w:rFonts w:hint="eastAsia" w:hAnsi="仿宋_GB2312" w:cs="仿宋_GB2312"/>
          <w:szCs w:val="32"/>
          <w:lang w:val="en-US" w:eastAsia="zh-CN"/>
        </w:rPr>
        <w:t>根据评分标准</w:t>
      </w:r>
      <w:r>
        <w:rPr>
          <w:rFonts w:hint="eastAsia" w:hAnsi="仿宋_GB2312" w:cs="仿宋_GB2312"/>
          <w:szCs w:val="32"/>
        </w:rPr>
        <w:t>，本指标得</w:t>
      </w:r>
      <w:r>
        <w:rPr>
          <w:rFonts w:hint="eastAsia" w:hAnsi="仿宋_GB2312" w:cs="仿宋_GB2312"/>
          <w:szCs w:val="32"/>
          <w:lang w:val="en-US" w:eastAsia="zh-CN"/>
        </w:rPr>
        <w:t>指标满分值2</w:t>
      </w:r>
      <w:r>
        <w:rPr>
          <w:rFonts w:hint="eastAsia" w:hAnsi="仿宋_GB2312" w:cs="仿宋_GB2312"/>
          <w:szCs w:val="32"/>
        </w:rPr>
        <w:t>分。</w:t>
      </w:r>
    </w:p>
    <w:p>
      <w:pPr>
        <w:pStyle w:val="4"/>
        <w:bidi w:val="0"/>
      </w:pPr>
      <w:r>
        <w:rPr>
          <w:rFonts w:hint="eastAsia"/>
        </w:rPr>
        <w:t>2、过程</w:t>
      </w:r>
    </w:p>
    <w:p>
      <w:pPr>
        <w:ind w:firstLine="640"/>
        <w:rPr>
          <w:rFonts w:hAnsi="仿宋_GB2312" w:cs="仿宋_GB2312"/>
          <w:szCs w:val="32"/>
        </w:rPr>
      </w:pPr>
      <w:r>
        <w:rPr>
          <w:rFonts w:hint="eastAsia" w:hAnsi="仿宋_GB2312" w:cs="仿宋_GB2312"/>
          <w:szCs w:val="32"/>
        </w:rPr>
        <w:t>过程部分指标从预算执行、预算管理、资产管理、档案管理、部门专项工作管理</w:t>
      </w:r>
      <w:r>
        <w:rPr>
          <w:rFonts w:hint="eastAsia" w:cs="仿宋_GB2312"/>
          <w:szCs w:val="32"/>
          <w:lang w:val="en-US" w:eastAsia="zh-CN"/>
        </w:rPr>
        <w:t>五</w:t>
      </w:r>
      <w:r>
        <w:rPr>
          <w:rFonts w:hint="eastAsia" w:hAnsi="仿宋_GB2312" w:cs="仿宋_GB2312"/>
          <w:szCs w:val="32"/>
        </w:rPr>
        <w:t>方面进行考察，指标分值</w:t>
      </w:r>
      <w:r>
        <w:rPr>
          <w:rFonts w:hint="eastAsia" w:cs="仿宋_GB2312"/>
          <w:szCs w:val="32"/>
          <w:lang w:val="en-US" w:eastAsia="zh-CN"/>
        </w:rPr>
        <w:t>23</w:t>
      </w:r>
      <w:r>
        <w:rPr>
          <w:rFonts w:hAnsi="仿宋_GB2312" w:cs="仿宋_GB2312"/>
          <w:szCs w:val="32"/>
        </w:rPr>
        <w:t>分，实际得分</w:t>
      </w:r>
      <w:r>
        <w:rPr>
          <w:rFonts w:hint="eastAsia" w:cs="仿宋_GB2312"/>
          <w:szCs w:val="32"/>
          <w:lang w:val="en-US" w:eastAsia="zh-CN"/>
        </w:rPr>
        <w:t>19.6</w:t>
      </w:r>
      <w:r>
        <w:rPr>
          <w:rFonts w:hAnsi="仿宋_GB2312" w:cs="仿宋_GB2312"/>
          <w:szCs w:val="32"/>
        </w:rPr>
        <w:t>分。指标得分情况</w:t>
      </w:r>
      <w:r>
        <w:rPr>
          <w:rFonts w:hint="eastAsia" w:hAnsi="仿宋_GB2312" w:cs="仿宋_GB2312"/>
          <w:szCs w:val="32"/>
        </w:rPr>
        <w:t>详见表</w:t>
      </w:r>
      <w:r>
        <w:rPr>
          <w:rFonts w:hint="eastAsia" w:cs="仿宋_GB2312"/>
          <w:szCs w:val="32"/>
          <w:lang w:val="en-US" w:eastAsia="zh-CN"/>
        </w:rPr>
        <w:t>5-3</w:t>
      </w:r>
      <w:r>
        <w:rPr>
          <w:rFonts w:hint="eastAsia" w:hAnsi="仿宋_GB2312" w:cs="仿宋_GB2312"/>
          <w:szCs w:val="32"/>
        </w:rPr>
        <w:t>。</w:t>
      </w:r>
    </w:p>
    <w:p>
      <w:pPr>
        <w:pStyle w:val="5"/>
        <w:bidi w:val="0"/>
        <w:rPr>
          <w:rFonts w:hint="eastAsia"/>
          <w:lang w:val="en-US" w:eastAsia="zh-CN"/>
        </w:rPr>
      </w:pPr>
      <w:r>
        <w:rPr>
          <w:rFonts w:hint="eastAsia"/>
        </w:rPr>
        <w:t>表</w:t>
      </w:r>
      <w:r>
        <w:rPr>
          <w:rFonts w:hint="eastAsia"/>
          <w:lang w:val="en-US" w:eastAsia="zh-CN"/>
        </w:rPr>
        <w:t>5-3</w:t>
      </w:r>
      <w:r>
        <w:rPr>
          <w:rFonts w:hint="eastAsia"/>
        </w:rPr>
        <w:t xml:space="preserve">: </w:t>
      </w:r>
      <w:r>
        <w:rPr>
          <w:rFonts w:hint="eastAsia"/>
          <w:lang w:val="en-US" w:eastAsia="zh-CN"/>
        </w:rPr>
        <w:t>山</w:t>
      </w:r>
      <w:r>
        <w:rPr>
          <w:rFonts w:hint="eastAsia"/>
        </w:rPr>
        <w:t>亭区住建局201</w:t>
      </w:r>
      <w:r>
        <w:rPr>
          <w:rFonts w:hint="eastAsia"/>
          <w:lang w:val="en-US" w:eastAsia="zh-CN"/>
        </w:rPr>
        <w:t>9</w:t>
      </w:r>
      <w:r>
        <w:rPr>
          <w:rFonts w:hint="eastAsia"/>
        </w:rPr>
        <w:t>年部门整体支出绩效评价</w:t>
      </w:r>
      <w:r>
        <w:rPr>
          <w:rFonts w:hint="eastAsia"/>
          <w:lang w:val="en-US" w:eastAsia="zh-CN"/>
        </w:rPr>
        <w:t>过程</w:t>
      </w:r>
      <w:r>
        <w:rPr>
          <w:rFonts w:hint="eastAsia"/>
        </w:rPr>
        <w:t>指标</w:t>
      </w:r>
      <w:r>
        <w:rPr>
          <w:rFonts w:hint="eastAsia"/>
          <w:lang w:val="en-US" w:eastAsia="zh-CN"/>
        </w:rPr>
        <w:t>得分表</w:t>
      </w:r>
    </w:p>
    <w:tbl>
      <w:tblPr>
        <w:tblStyle w:val="12"/>
        <w:tblW w:w="88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389"/>
        <w:gridCol w:w="1418"/>
        <w:gridCol w:w="3133"/>
        <w:gridCol w:w="1078"/>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15"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bCs w:val="0"/>
                <w:sz w:val="24"/>
                <w:szCs w:val="24"/>
              </w:rPr>
            </w:pPr>
            <w:r>
              <w:rPr>
                <w:rFonts w:hint="eastAsia"/>
                <w:b/>
                <w:bCs w:val="0"/>
                <w:sz w:val="24"/>
                <w:szCs w:val="24"/>
              </w:rPr>
              <w:t>序号</w:t>
            </w:r>
          </w:p>
        </w:tc>
        <w:tc>
          <w:tcPr>
            <w:tcW w:w="1389"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bCs w:val="0"/>
                <w:sz w:val="24"/>
                <w:szCs w:val="24"/>
              </w:rPr>
            </w:pPr>
            <w:r>
              <w:rPr>
                <w:rFonts w:hint="eastAsia"/>
                <w:b/>
                <w:bCs w:val="0"/>
                <w:sz w:val="24"/>
                <w:szCs w:val="24"/>
              </w:rPr>
              <w:t>一级指标</w:t>
            </w:r>
          </w:p>
        </w:tc>
        <w:tc>
          <w:tcPr>
            <w:tcW w:w="1418"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bCs w:val="0"/>
                <w:sz w:val="24"/>
                <w:szCs w:val="24"/>
              </w:rPr>
            </w:pPr>
            <w:r>
              <w:rPr>
                <w:rFonts w:hint="eastAsia"/>
                <w:b/>
                <w:bCs w:val="0"/>
                <w:sz w:val="24"/>
                <w:szCs w:val="24"/>
              </w:rPr>
              <w:t>二级指标</w:t>
            </w:r>
          </w:p>
        </w:tc>
        <w:tc>
          <w:tcPr>
            <w:tcW w:w="3133"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bCs w:val="0"/>
                <w:sz w:val="24"/>
                <w:szCs w:val="24"/>
              </w:rPr>
            </w:pPr>
            <w:r>
              <w:rPr>
                <w:rFonts w:hint="eastAsia"/>
                <w:b/>
                <w:bCs w:val="0"/>
                <w:sz w:val="24"/>
                <w:szCs w:val="24"/>
              </w:rPr>
              <w:t>三级指标</w:t>
            </w:r>
          </w:p>
        </w:tc>
        <w:tc>
          <w:tcPr>
            <w:tcW w:w="1078"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bCs w:val="0"/>
                <w:sz w:val="24"/>
                <w:szCs w:val="24"/>
              </w:rPr>
            </w:pPr>
            <w:r>
              <w:rPr>
                <w:rFonts w:hint="eastAsia"/>
                <w:b/>
                <w:bCs w:val="0"/>
                <w:sz w:val="24"/>
                <w:szCs w:val="24"/>
              </w:rPr>
              <w:t>分值</w:t>
            </w:r>
          </w:p>
        </w:tc>
        <w:tc>
          <w:tcPr>
            <w:tcW w:w="1100"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bCs w:val="0"/>
                <w:sz w:val="24"/>
                <w:szCs w:val="24"/>
              </w:rPr>
            </w:pPr>
            <w:r>
              <w:rPr>
                <w:rFonts w:hint="eastAsia"/>
                <w:b/>
                <w:bCs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1</w:t>
            </w:r>
          </w:p>
        </w:tc>
        <w:tc>
          <w:tcPr>
            <w:tcW w:w="1389"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sz w:val="24"/>
                <w:szCs w:val="24"/>
              </w:rPr>
            </w:pPr>
            <w:r>
              <w:rPr>
                <w:rFonts w:hint="eastAsia"/>
                <w:b/>
                <w:sz w:val="24"/>
                <w:szCs w:val="24"/>
              </w:rPr>
              <w:t>过程</w:t>
            </w:r>
          </w:p>
        </w:tc>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sz w:val="24"/>
                <w:szCs w:val="24"/>
              </w:rPr>
            </w:pPr>
            <w:r>
              <w:rPr>
                <w:rFonts w:hint="eastAsia"/>
                <w:b/>
                <w:sz w:val="24"/>
                <w:szCs w:val="24"/>
              </w:rPr>
              <w:t>预算执行</w:t>
            </w:r>
          </w:p>
        </w:tc>
        <w:tc>
          <w:tcPr>
            <w:tcW w:w="313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color w:val="0000FF"/>
                <w:sz w:val="24"/>
                <w:szCs w:val="24"/>
              </w:rPr>
            </w:pPr>
            <w:r>
              <w:rPr>
                <w:rFonts w:hint="eastAsia"/>
                <w:color w:val="0000FF"/>
                <w:sz w:val="24"/>
                <w:szCs w:val="24"/>
              </w:rPr>
              <w:t>基本支出预算执行率</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eastAsia="仿宋_GB2312"/>
                <w:color w:val="0000FF"/>
                <w:sz w:val="24"/>
                <w:szCs w:val="24"/>
                <w:lang w:eastAsia="zh-CN"/>
              </w:rPr>
            </w:pPr>
            <w:r>
              <w:rPr>
                <w:rFonts w:hint="eastAsia"/>
                <w:color w:val="0000FF"/>
                <w:sz w:val="24"/>
                <w:szCs w:val="24"/>
                <w:lang w:val="en-US" w:eastAsia="zh-CN"/>
              </w:rPr>
              <w:t>1</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eastAsia="仿宋_GB2312"/>
                <w:color w:val="0000FF"/>
                <w:sz w:val="24"/>
                <w:szCs w:val="24"/>
                <w:lang w:val="en-US" w:eastAsia="zh-CN"/>
              </w:rPr>
            </w:pPr>
            <w:r>
              <w:rPr>
                <w:rFonts w:hint="eastAsia"/>
                <w:color w:val="0000FF"/>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theme="minorBidi"/>
                <w:kern w:val="2"/>
                <w:sz w:val="24"/>
                <w:szCs w:val="24"/>
                <w:lang w:val="en-US" w:eastAsia="zh-CN" w:bidi="ar-SA"/>
              </w:rPr>
            </w:pPr>
            <w:r>
              <w:rPr>
                <w:rFonts w:hint="eastAsia"/>
                <w:sz w:val="24"/>
                <w:szCs w:val="24"/>
              </w:rPr>
              <w:t>2</w:t>
            </w:r>
          </w:p>
        </w:tc>
        <w:tc>
          <w:tcPr>
            <w:tcW w:w="1389"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b/>
                <w:sz w:val="24"/>
                <w:szCs w:val="24"/>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b/>
                <w:sz w:val="24"/>
                <w:szCs w:val="24"/>
              </w:rPr>
            </w:pPr>
          </w:p>
        </w:tc>
        <w:tc>
          <w:tcPr>
            <w:tcW w:w="313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eastAsia="仿宋_GB2312"/>
                <w:color w:val="0000FF"/>
                <w:sz w:val="24"/>
                <w:szCs w:val="24"/>
                <w:lang w:val="en-US" w:eastAsia="zh-CN"/>
              </w:rPr>
            </w:pPr>
            <w:r>
              <w:rPr>
                <w:rFonts w:hint="eastAsia"/>
                <w:color w:val="0000FF"/>
                <w:sz w:val="24"/>
                <w:szCs w:val="24"/>
                <w:lang w:val="en-US" w:eastAsia="zh-CN"/>
              </w:rPr>
              <w:t>项目支出预算执行率</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eastAsia="仿宋_GB2312"/>
                <w:color w:val="0000FF"/>
                <w:sz w:val="24"/>
                <w:szCs w:val="24"/>
                <w:lang w:val="en-US" w:eastAsia="zh-CN"/>
              </w:rPr>
            </w:pPr>
            <w:r>
              <w:rPr>
                <w:rFonts w:hint="eastAsia"/>
                <w:color w:val="0000FF"/>
                <w:sz w:val="24"/>
                <w:szCs w:val="24"/>
                <w:lang w:val="en-US" w:eastAsia="zh-CN"/>
              </w:rPr>
              <w:t>1</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eastAsia="仿宋_GB2312"/>
                <w:color w:val="0000FF"/>
                <w:sz w:val="24"/>
                <w:szCs w:val="24"/>
                <w:lang w:val="en-US" w:eastAsia="zh-CN"/>
              </w:rPr>
            </w:pPr>
            <w:r>
              <w:rPr>
                <w:rFonts w:hint="eastAsia"/>
                <w:color w:val="0000FF"/>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15"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ascii="仿宋_GB2312" w:hAnsi="仿宋_GB2312" w:eastAsia="仿宋_GB2312" w:cstheme="minorBidi"/>
                <w:kern w:val="2"/>
                <w:sz w:val="24"/>
                <w:szCs w:val="24"/>
                <w:lang w:val="en-US" w:eastAsia="zh-CN" w:bidi="ar-SA"/>
              </w:rPr>
            </w:pPr>
            <w:r>
              <w:rPr>
                <w:rFonts w:hint="eastAsia"/>
                <w:sz w:val="24"/>
                <w:szCs w:val="24"/>
              </w:rPr>
              <w:t>3</w:t>
            </w:r>
          </w:p>
        </w:tc>
        <w:tc>
          <w:tcPr>
            <w:tcW w:w="1389"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560"/>
              <w:jc w:val="center"/>
              <w:textAlignment w:val="auto"/>
              <w:rPr>
                <w:sz w:val="24"/>
                <w:szCs w:val="24"/>
              </w:rPr>
            </w:pPr>
          </w:p>
        </w:tc>
        <w:tc>
          <w:tcPr>
            <w:tcW w:w="313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lang w:eastAsia="zh-CN"/>
              </w:rPr>
              <w:t>“</w:t>
            </w:r>
            <w:r>
              <w:rPr>
                <w:rFonts w:hint="eastAsia"/>
                <w:sz w:val="24"/>
                <w:szCs w:val="24"/>
                <w:lang w:val="en-US" w:eastAsia="zh-CN"/>
              </w:rPr>
              <w:t>三公</w:t>
            </w:r>
            <w:r>
              <w:rPr>
                <w:rFonts w:hint="eastAsia"/>
                <w:sz w:val="24"/>
                <w:szCs w:val="24"/>
                <w:lang w:eastAsia="zh-CN"/>
              </w:rPr>
              <w:t>”</w:t>
            </w:r>
            <w:r>
              <w:rPr>
                <w:rFonts w:hint="eastAsia"/>
                <w:sz w:val="24"/>
                <w:szCs w:val="24"/>
              </w:rPr>
              <w:t>经费控制率</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eastAsia="仿宋_GB2312"/>
                <w:sz w:val="24"/>
                <w:szCs w:val="24"/>
                <w:lang w:val="en-US" w:eastAsia="zh-CN"/>
              </w:rPr>
            </w:pPr>
            <w:r>
              <w:rPr>
                <w:rFonts w:hint="eastAsia"/>
                <w:sz w:val="24"/>
                <w:szCs w:val="24"/>
                <w:lang w:val="en-US" w:eastAsia="zh-CN"/>
              </w:rPr>
              <w:t>1</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eastAsia="仿宋_GB2312"/>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15"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ascii="仿宋_GB2312" w:hAnsi="仿宋_GB2312" w:eastAsia="仿宋_GB2312" w:cstheme="minorBidi"/>
                <w:kern w:val="2"/>
                <w:sz w:val="24"/>
                <w:szCs w:val="24"/>
                <w:lang w:val="en-US" w:eastAsia="zh-CN" w:bidi="ar-SA"/>
              </w:rPr>
            </w:pPr>
            <w:r>
              <w:rPr>
                <w:rFonts w:hint="eastAsia"/>
                <w:sz w:val="24"/>
                <w:szCs w:val="24"/>
              </w:rPr>
              <w:t>4</w:t>
            </w:r>
          </w:p>
        </w:tc>
        <w:tc>
          <w:tcPr>
            <w:tcW w:w="1389"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560"/>
              <w:jc w:val="center"/>
              <w:textAlignment w:val="auto"/>
              <w:rPr>
                <w:sz w:val="24"/>
                <w:szCs w:val="24"/>
              </w:rPr>
            </w:pPr>
          </w:p>
        </w:tc>
        <w:tc>
          <w:tcPr>
            <w:tcW w:w="313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政府采购执行率</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eastAsia="仿宋_GB2312"/>
                <w:sz w:val="24"/>
                <w:szCs w:val="24"/>
                <w:lang w:eastAsia="zh-CN"/>
              </w:rPr>
            </w:pPr>
            <w:r>
              <w:rPr>
                <w:rFonts w:hint="eastAsia"/>
                <w:sz w:val="24"/>
                <w:szCs w:val="24"/>
                <w:lang w:val="en-US" w:eastAsia="zh-CN"/>
              </w:rPr>
              <w:t>2</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eastAsia="仿宋_GB2312"/>
                <w:sz w:val="24"/>
                <w:szCs w:val="24"/>
                <w:lang w:val="en-US" w:eastAsia="zh-CN"/>
              </w:rPr>
            </w:pPr>
            <w:r>
              <w:rPr>
                <w:rFonts w:hint="eastAsia"/>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15"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ascii="仿宋_GB2312" w:hAnsi="仿宋_GB2312" w:eastAsia="仿宋_GB2312" w:cstheme="minorBidi"/>
                <w:kern w:val="2"/>
                <w:sz w:val="24"/>
                <w:szCs w:val="24"/>
                <w:lang w:val="en-US" w:eastAsia="zh-CN" w:bidi="ar-SA"/>
              </w:rPr>
            </w:pPr>
            <w:r>
              <w:rPr>
                <w:rFonts w:hint="eastAsia"/>
                <w:sz w:val="24"/>
                <w:szCs w:val="24"/>
              </w:rPr>
              <w:t>5</w:t>
            </w:r>
          </w:p>
        </w:tc>
        <w:tc>
          <w:tcPr>
            <w:tcW w:w="1389"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b/>
                <w:sz w:val="24"/>
                <w:szCs w:val="24"/>
              </w:rPr>
            </w:pPr>
            <w:r>
              <w:rPr>
                <w:rFonts w:hint="eastAsia"/>
                <w:b/>
                <w:sz w:val="24"/>
                <w:szCs w:val="24"/>
              </w:rPr>
              <w:t>预算管理</w:t>
            </w:r>
          </w:p>
        </w:tc>
        <w:tc>
          <w:tcPr>
            <w:tcW w:w="313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管理制度健全性</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sz w:val="24"/>
                <w:szCs w:val="24"/>
              </w:rPr>
            </w:pPr>
            <w:r>
              <w:rPr>
                <w:rFonts w:hint="eastAsia"/>
                <w:sz w:val="24"/>
                <w:szCs w:val="24"/>
              </w:rPr>
              <w:t>2</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eastAsia="仿宋_GB2312"/>
                <w:sz w:val="24"/>
                <w:szCs w:val="24"/>
                <w:lang w:val="en-US" w:eastAsia="zh-CN"/>
              </w:rPr>
            </w:pPr>
            <w:r>
              <w:rPr>
                <w:rFonts w:hint="eastAsia"/>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15"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6</w:t>
            </w:r>
          </w:p>
        </w:tc>
        <w:tc>
          <w:tcPr>
            <w:tcW w:w="1389"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560"/>
              <w:jc w:val="center"/>
              <w:textAlignment w:val="auto"/>
              <w:rPr>
                <w:sz w:val="24"/>
                <w:szCs w:val="24"/>
              </w:rPr>
            </w:pPr>
          </w:p>
        </w:tc>
        <w:tc>
          <w:tcPr>
            <w:tcW w:w="313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资金使用合规性</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eastAsia="仿宋_GB2312"/>
                <w:sz w:val="24"/>
                <w:szCs w:val="24"/>
                <w:lang w:eastAsia="zh-CN"/>
              </w:rPr>
            </w:pPr>
            <w:r>
              <w:rPr>
                <w:rFonts w:hint="eastAsia"/>
                <w:sz w:val="24"/>
                <w:szCs w:val="24"/>
                <w:lang w:val="en-US" w:eastAsia="zh-CN"/>
              </w:rPr>
              <w:t>3</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eastAsia="仿宋_GB2312"/>
                <w:sz w:val="24"/>
                <w:szCs w:val="24"/>
                <w:lang w:val="en-US" w:eastAsia="zh-CN"/>
              </w:rPr>
            </w:pPr>
            <w:r>
              <w:rPr>
                <w:rFonts w:hint="eastAsia"/>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15"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eastAsia="仿宋_GB2312"/>
                <w:sz w:val="24"/>
                <w:szCs w:val="24"/>
                <w:lang w:val="en-US" w:eastAsia="zh-CN"/>
              </w:rPr>
            </w:pPr>
            <w:r>
              <w:rPr>
                <w:rFonts w:hint="eastAsia"/>
                <w:sz w:val="24"/>
                <w:szCs w:val="24"/>
                <w:lang w:val="en-US" w:eastAsia="zh-CN"/>
              </w:rPr>
              <w:t>7</w:t>
            </w:r>
          </w:p>
        </w:tc>
        <w:tc>
          <w:tcPr>
            <w:tcW w:w="1389"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560"/>
              <w:jc w:val="center"/>
              <w:textAlignment w:val="auto"/>
              <w:rPr>
                <w:sz w:val="24"/>
                <w:szCs w:val="24"/>
              </w:rPr>
            </w:pPr>
          </w:p>
        </w:tc>
        <w:tc>
          <w:tcPr>
            <w:tcW w:w="313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theme="minorBidi"/>
                <w:kern w:val="2"/>
                <w:sz w:val="24"/>
                <w:szCs w:val="24"/>
                <w:lang w:val="en-US" w:eastAsia="zh-CN" w:bidi="ar-SA"/>
              </w:rPr>
            </w:pPr>
            <w:r>
              <w:rPr>
                <w:rFonts w:hint="eastAsia"/>
                <w:sz w:val="24"/>
                <w:szCs w:val="24"/>
              </w:rPr>
              <w:t>预决算信息公开性</w:t>
            </w:r>
          </w:p>
        </w:tc>
        <w:tc>
          <w:tcPr>
            <w:tcW w:w="1078" w:type="dxa"/>
            <w:vAlign w:val="center"/>
          </w:tcPr>
          <w:p>
            <w:pPr>
              <w:keepNext w:val="0"/>
              <w:keepLines w:val="0"/>
              <w:pageBreakBefore w:val="0"/>
              <w:widowControl w:val="0"/>
              <w:tabs>
                <w:tab w:val="left" w:pos="262"/>
                <w:tab w:val="center" w:pos="448"/>
              </w:tabs>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theme="minorBidi"/>
                <w:kern w:val="2"/>
                <w:sz w:val="24"/>
                <w:szCs w:val="24"/>
                <w:lang w:val="en-US" w:eastAsia="zh-CN" w:bidi="ar-SA"/>
              </w:rPr>
            </w:pPr>
            <w:r>
              <w:rPr>
                <w:rFonts w:hint="eastAsia"/>
                <w:sz w:val="24"/>
                <w:szCs w:val="24"/>
                <w:lang w:val="en-US" w:eastAsia="zh-CN"/>
              </w:rPr>
              <w:t>2</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eastAsia="仿宋_GB2312"/>
                <w:sz w:val="24"/>
                <w:szCs w:val="24"/>
                <w:lang w:val="en-US" w:eastAsia="zh-CN"/>
              </w:rPr>
            </w:pPr>
            <w:r>
              <w:rPr>
                <w:rFonts w:hint="eastAsia"/>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15"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ascii="仿宋_GB2312" w:hAnsi="仿宋_GB2312" w:eastAsia="仿宋_GB2312" w:cstheme="minorBidi"/>
                <w:kern w:val="2"/>
                <w:sz w:val="24"/>
                <w:szCs w:val="24"/>
                <w:lang w:val="en-US" w:eastAsia="zh-CN" w:bidi="ar-SA"/>
              </w:rPr>
            </w:pPr>
            <w:r>
              <w:rPr>
                <w:rFonts w:hint="eastAsia"/>
                <w:sz w:val="24"/>
                <w:szCs w:val="24"/>
              </w:rPr>
              <w:t>8</w:t>
            </w:r>
          </w:p>
        </w:tc>
        <w:tc>
          <w:tcPr>
            <w:tcW w:w="1389"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560"/>
              <w:jc w:val="center"/>
              <w:textAlignment w:val="auto"/>
              <w:rPr>
                <w:sz w:val="24"/>
                <w:szCs w:val="24"/>
              </w:rPr>
            </w:pPr>
          </w:p>
        </w:tc>
        <w:tc>
          <w:tcPr>
            <w:tcW w:w="313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政府采购合规性</w:t>
            </w:r>
          </w:p>
        </w:tc>
        <w:tc>
          <w:tcPr>
            <w:tcW w:w="1078" w:type="dxa"/>
            <w:vAlign w:val="center"/>
          </w:tcPr>
          <w:p>
            <w:pPr>
              <w:keepNext w:val="0"/>
              <w:keepLines w:val="0"/>
              <w:pageBreakBefore w:val="0"/>
              <w:widowControl w:val="0"/>
              <w:tabs>
                <w:tab w:val="center" w:pos="388"/>
              </w:tabs>
              <w:kinsoku/>
              <w:wordWrap/>
              <w:overflowPunct/>
              <w:topLinePunct w:val="0"/>
              <w:autoSpaceDE/>
              <w:autoSpaceDN/>
              <w:bidi w:val="0"/>
              <w:adjustRightInd/>
              <w:snapToGrid/>
              <w:spacing w:line="480" w:lineRule="exact"/>
              <w:ind w:left="0" w:leftChars="0" w:firstLine="0" w:firstLineChars="0"/>
              <w:jc w:val="center"/>
              <w:textAlignment w:val="auto"/>
              <w:rPr>
                <w:sz w:val="24"/>
                <w:szCs w:val="24"/>
              </w:rPr>
            </w:pPr>
            <w:r>
              <w:rPr>
                <w:rFonts w:hint="eastAsia"/>
                <w:sz w:val="24"/>
                <w:szCs w:val="24"/>
              </w:rPr>
              <w:t>1</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eastAsia="仿宋_GB2312"/>
                <w:sz w:val="24"/>
                <w:szCs w:val="24"/>
                <w:lang w:val="en-US" w:eastAsia="zh-CN"/>
              </w:rPr>
            </w:pPr>
            <w:r>
              <w:rPr>
                <w:rFonts w:hint="eastAsia"/>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ascii="仿宋_GB2312" w:hAnsi="仿宋_GB2312" w:eastAsia="仿宋_GB2312" w:cstheme="minorBidi"/>
                <w:kern w:val="2"/>
                <w:sz w:val="24"/>
                <w:szCs w:val="24"/>
                <w:lang w:val="en-US" w:eastAsia="zh-CN" w:bidi="ar-SA"/>
              </w:rPr>
            </w:pPr>
            <w:r>
              <w:rPr>
                <w:rFonts w:hint="eastAsia"/>
                <w:sz w:val="24"/>
                <w:szCs w:val="24"/>
              </w:rPr>
              <w:t>9</w:t>
            </w:r>
          </w:p>
        </w:tc>
        <w:tc>
          <w:tcPr>
            <w:tcW w:w="1389"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sz w:val="24"/>
                <w:szCs w:val="24"/>
              </w:rPr>
            </w:pPr>
            <w:r>
              <w:rPr>
                <w:rFonts w:hint="eastAsia"/>
                <w:b/>
                <w:sz w:val="24"/>
                <w:szCs w:val="24"/>
              </w:rPr>
              <w:t>资产管理</w:t>
            </w:r>
          </w:p>
        </w:tc>
        <w:tc>
          <w:tcPr>
            <w:tcW w:w="313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管理制度健全性</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eastAsia="仿宋_GB2312"/>
                <w:sz w:val="24"/>
                <w:szCs w:val="24"/>
                <w:lang w:eastAsia="zh-CN"/>
              </w:rPr>
            </w:pPr>
            <w:r>
              <w:rPr>
                <w:rFonts w:hint="eastAsia"/>
                <w:sz w:val="24"/>
                <w:szCs w:val="24"/>
                <w:lang w:val="en-US" w:eastAsia="zh-CN"/>
              </w:rPr>
              <w:t>1</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eastAsia="仿宋_GB2312"/>
                <w:sz w:val="24"/>
                <w:szCs w:val="24"/>
                <w:lang w:val="en-US" w:eastAsia="zh-CN"/>
              </w:rPr>
            </w:pPr>
            <w:r>
              <w:rPr>
                <w:rFonts w:hint="eastAsia"/>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ascii="仿宋_GB2312" w:hAnsi="仿宋_GB2312" w:eastAsia="仿宋_GB2312" w:cstheme="minorBidi"/>
                <w:kern w:val="2"/>
                <w:sz w:val="24"/>
                <w:szCs w:val="24"/>
                <w:lang w:val="en-US" w:eastAsia="zh-CN" w:bidi="ar-SA"/>
              </w:rPr>
            </w:pPr>
            <w:r>
              <w:rPr>
                <w:rFonts w:hint="eastAsia"/>
                <w:sz w:val="24"/>
                <w:szCs w:val="24"/>
              </w:rPr>
              <w:t>10</w:t>
            </w:r>
          </w:p>
        </w:tc>
        <w:tc>
          <w:tcPr>
            <w:tcW w:w="1389"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sz w:val="24"/>
                <w:szCs w:val="24"/>
              </w:rPr>
            </w:pPr>
          </w:p>
        </w:tc>
        <w:tc>
          <w:tcPr>
            <w:tcW w:w="313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资产管理安全性</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eastAsia="仿宋_GB2312"/>
                <w:sz w:val="24"/>
                <w:szCs w:val="24"/>
                <w:lang w:eastAsia="zh-CN"/>
              </w:rPr>
            </w:pPr>
            <w:r>
              <w:rPr>
                <w:rFonts w:hint="eastAsia"/>
                <w:sz w:val="24"/>
                <w:szCs w:val="24"/>
                <w:lang w:val="en-US" w:eastAsia="zh-CN"/>
              </w:rPr>
              <w:t>2</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eastAsia="仿宋_GB2312"/>
                <w:sz w:val="24"/>
                <w:szCs w:val="24"/>
                <w:lang w:val="en-US" w:eastAsia="zh-CN"/>
              </w:rPr>
            </w:pPr>
            <w:r>
              <w:rPr>
                <w:rFonts w:hint="eastAsia"/>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5"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ascii="仿宋_GB2312" w:hAnsi="仿宋_GB2312" w:eastAsia="仿宋_GB2312" w:cstheme="minorBidi"/>
                <w:kern w:val="2"/>
                <w:sz w:val="24"/>
                <w:szCs w:val="24"/>
                <w:lang w:val="en-US" w:eastAsia="zh-CN" w:bidi="ar-SA"/>
              </w:rPr>
            </w:pPr>
            <w:r>
              <w:rPr>
                <w:rFonts w:hint="eastAsia"/>
                <w:sz w:val="24"/>
                <w:szCs w:val="24"/>
              </w:rPr>
              <w:t>11</w:t>
            </w:r>
          </w:p>
        </w:tc>
        <w:tc>
          <w:tcPr>
            <w:tcW w:w="1389"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sz w:val="24"/>
                <w:szCs w:val="24"/>
              </w:rPr>
            </w:pPr>
          </w:p>
        </w:tc>
        <w:tc>
          <w:tcPr>
            <w:tcW w:w="313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固定资产利用率</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1</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eastAsia="仿宋_GB2312"/>
                <w:sz w:val="24"/>
                <w:szCs w:val="24"/>
                <w:lang w:val="en-US" w:eastAsia="zh-CN"/>
              </w:rPr>
            </w:pPr>
            <w:r>
              <w:rPr>
                <w:rFonts w:hint="eastAsia"/>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eastAsia="仿宋_GB2312"/>
                <w:sz w:val="24"/>
                <w:szCs w:val="24"/>
                <w:lang w:val="en-US" w:eastAsia="zh-CN"/>
              </w:rPr>
            </w:pPr>
            <w:r>
              <w:rPr>
                <w:rFonts w:hint="eastAsia"/>
                <w:sz w:val="24"/>
                <w:szCs w:val="24"/>
                <w:lang w:val="en-US" w:eastAsia="zh-CN"/>
              </w:rPr>
              <w:t>12</w:t>
            </w:r>
          </w:p>
        </w:tc>
        <w:tc>
          <w:tcPr>
            <w:tcW w:w="1389"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313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资产清查有效性</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1</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eastAsia="仿宋_GB2312"/>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eastAsia="仿宋_GB2312"/>
                <w:sz w:val="24"/>
                <w:szCs w:val="24"/>
                <w:lang w:val="en-US" w:eastAsia="zh-CN"/>
              </w:rPr>
            </w:pPr>
            <w:r>
              <w:rPr>
                <w:rFonts w:hint="eastAsia"/>
                <w:sz w:val="24"/>
                <w:szCs w:val="24"/>
                <w:lang w:val="en-US" w:eastAsia="zh-CN"/>
              </w:rPr>
              <w:t>13</w:t>
            </w:r>
          </w:p>
        </w:tc>
        <w:tc>
          <w:tcPr>
            <w:tcW w:w="1389"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bCs/>
                <w:sz w:val="24"/>
                <w:szCs w:val="24"/>
              </w:rPr>
            </w:pPr>
            <w:r>
              <w:rPr>
                <w:rFonts w:hint="eastAsia"/>
                <w:b/>
                <w:bCs/>
                <w:sz w:val="24"/>
                <w:szCs w:val="24"/>
              </w:rPr>
              <w:t>档案管理</w:t>
            </w:r>
          </w:p>
        </w:tc>
        <w:tc>
          <w:tcPr>
            <w:tcW w:w="313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档案管理完备性</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eastAsia="仿宋_GB2312"/>
                <w:sz w:val="24"/>
                <w:szCs w:val="24"/>
                <w:lang w:eastAsia="zh-CN"/>
              </w:rPr>
            </w:pPr>
            <w:r>
              <w:rPr>
                <w:rFonts w:hint="eastAsia"/>
                <w:sz w:val="24"/>
                <w:szCs w:val="24"/>
                <w:lang w:val="en-US" w:eastAsia="zh-CN"/>
              </w:rPr>
              <w:t>1</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eastAsia="仿宋_GB2312"/>
                <w:sz w:val="24"/>
                <w:szCs w:val="24"/>
                <w:lang w:val="en-US" w:eastAsia="zh-CN"/>
              </w:rPr>
            </w:pPr>
            <w:r>
              <w:rPr>
                <w:rFonts w:hint="eastAsia"/>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eastAsia="仿宋_GB2312"/>
                <w:sz w:val="24"/>
                <w:szCs w:val="24"/>
                <w:lang w:val="en-US" w:eastAsia="zh-CN"/>
              </w:rPr>
            </w:pPr>
            <w:r>
              <w:rPr>
                <w:rFonts w:hint="eastAsia"/>
                <w:sz w:val="24"/>
                <w:szCs w:val="24"/>
              </w:rPr>
              <w:t>1</w:t>
            </w:r>
            <w:r>
              <w:rPr>
                <w:rFonts w:hint="eastAsia"/>
                <w:sz w:val="24"/>
                <w:szCs w:val="24"/>
                <w:lang w:val="en-US" w:eastAsia="zh-CN"/>
              </w:rPr>
              <w:t>4</w:t>
            </w:r>
          </w:p>
        </w:tc>
        <w:tc>
          <w:tcPr>
            <w:tcW w:w="1389"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b/>
                <w:bCs/>
                <w:sz w:val="24"/>
                <w:szCs w:val="24"/>
              </w:rPr>
            </w:pPr>
            <w:r>
              <w:rPr>
                <w:rFonts w:hint="eastAsia"/>
                <w:b/>
                <w:bCs/>
                <w:sz w:val="24"/>
                <w:szCs w:val="24"/>
              </w:rPr>
              <w:t>部门专项工作管理</w:t>
            </w:r>
          </w:p>
        </w:tc>
        <w:tc>
          <w:tcPr>
            <w:tcW w:w="313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专项工作管理制度健全性</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2</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eastAsia="仿宋_GB2312"/>
                <w:sz w:val="24"/>
                <w:szCs w:val="24"/>
                <w:lang w:val="en-US" w:eastAsia="zh-CN"/>
              </w:rPr>
            </w:pPr>
            <w:r>
              <w:rPr>
                <w:rFonts w:hint="eastAsia"/>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eastAsia="仿宋_GB2312"/>
                <w:sz w:val="24"/>
                <w:szCs w:val="24"/>
                <w:lang w:val="en-US" w:eastAsia="zh-CN"/>
              </w:rPr>
            </w:pPr>
            <w:r>
              <w:rPr>
                <w:rFonts w:hint="eastAsia"/>
                <w:sz w:val="24"/>
                <w:szCs w:val="24"/>
              </w:rPr>
              <w:t>1</w:t>
            </w:r>
            <w:r>
              <w:rPr>
                <w:rFonts w:hint="eastAsia"/>
                <w:sz w:val="24"/>
                <w:szCs w:val="24"/>
                <w:lang w:val="en-US" w:eastAsia="zh-CN"/>
              </w:rPr>
              <w:t>5</w:t>
            </w:r>
          </w:p>
        </w:tc>
        <w:tc>
          <w:tcPr>
            <w:tcW w:w="1389"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p>
        </w:tc>
        <w:tc>
          <w:tcPr>
            <w:tcW w:w="3133"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专项工作管理实施规范</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sz w:val="24"/>
                <w:szCs w:val="24"/>
              </w:rPr>
            </w:pPr>
            <w:r>
              <w:rPr>
                <w:rFonts w:hint="eastAsia"/>
                <w:sz w:val="24"/>
                <w:szCs w:val="24"/>
              </w:rPr>
              <w:t>2</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eastAsia="仿宋_GB2312"/>
                <w:sz w:val="24"/>
                <w:szCs w:val="24"/>
                <w:lang w:val="en-US" w:eastAsia="zh-CN"/>
              </w:rPr>
            </w:pPr>
            <w:r>
              <w:rPr>
                <w:rFonts w:hint="eastAsia"/>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5" w:type="dxa"/>
            <w:gridSpan w:val="4"/>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eastAsia="仿宋_GB2312"/>
                <w:sz w:val="24"/>
                <w:szCs w:val="24"/>
                <w:lang w:val="en-US" w:eastAsia="zh-CN"/>
              </w:rPr>
            </w:pPr>
            <w:r>
              <w:rPr>
                <w:rFonts w:hint="eastAsia"/>
                <w:sz w:val="24"/>
                <w:szCs w:val="24"/>
                <w:lang w:val="en-US" w:eastAsia="zh-CN"/>
              </w:rPr>
              <w:t>合计</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eastAsia="仿宋_GB2312"/>
                <w:sz w:val="24"/>
                <w:szCs w:val="24"/>
                <w:lang w:val="en-US" w:eastAsia="zh-CN"/>
              </w:rPr>
            </w:pPr>
            <w:r>
              <w:rPr>
                <w:rFonts w:hint="eastAsia"/>
                <w:sz w:val="24"/>
                <w:szCs w:val="24"/>
                <w:lang w:val="en-US" w:eastAsia="zh-CN"/>
              </w:rPr>
              <w:t>23</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eastAsia="仿宋_GB2312"/>
                <w:sz w:val="24"/>
                <w:szCs w:val="24"/>
                <w:lang w:val="en-US" w:eastAsia="zh-CN"/>
              </w:rPr>
            </w:pPr>
            <w:r>
              <w:rPr>
                <w:rFonts w:hint="eastAsia"/>
                <w:sz w:val="24"/>
                <w:szCs w:val="24"/>
                <w:lang w:val="en-US" w:eastAsia="zh-CN"/>
              </w:rPr>
              <w:t>19.6</w:t>
            </w:r>
          </w:p>
        </w:tc>
      </w:tr>
    </w:tbl>
    <w:p>
      <w:pPr>
        <w:ind w:firstLine="643"/>
        <w:rPr>
          <w:rFonts w:hint="default" w:eastAsia="仿宋_GB2312"/>
          <w:b w:val="0"/>
          <w:bCs/>
          <w:color w:val="auto"/>
          <w:lang w:val="en-US" w:eastAsia="zh-CN"/>
        </w:rPr>
      </w:pPr>
      <w:r>
        <w:rPr>
          <w:rFonts w:hint="eastAsia"/>
          <w:b/>
          <w:color w:val="auto"/>
        </w:rPr>
        <w:t>关于“基本支出预算执行率”指标</w:t>
      </w:r>
      <w:r>
        <w:rPr>
          <w:rFonts w:hint="eastAsia"/>
          <w:b/>
          <w:color w:val="auto"/>
          <w:lang w:eastAsia="zh-CN"/>
        </w:rPr>
        <w:t>：</w:t>
      </w:r>
      <w:r>
        <w:rPr>
          <w:rFonts w:hint="eastAsia"/>
          <w:b w:val="0"/>
          <w:bCs/>
          <w:color w:val="auto"/>
          <w:lang w:val="en-US" w:eastAsia="zh-CN"/>
        </w:rPr>
        <w:t>2019年</w:t>
      </w:r>
      <w:r>
        <w:rPr>
          <w:rFonts w:hint="eastAsia"/>
          <w:b w:val="0"/>
          <w:bCs/>
          <w:color w:val="auto"/>
          <w:lang w:eastAsia="zh-CN"/>
        </w:rPr>
        <w:t>本支出预算</w:t>
      </w:r>
      <w:r>
        <w:rPr>
          <w:rFonts w:hint="eastAsia"/>
          <w:b w:val="0"/>
          <w:bCs/>
          <w:color w:val="auto"/>
          <w:lang w:val="en-US" w:eastAsia="zh-CN"/>
        </w:rPr>
        <w:t>数</w:t>
      </w:r>
      <w:r>
        <w:rPr>
          <w:rFonts w:hint="eastAsia"/>
          <w:b w:val="0"/>
          <w:bCs/>
          <w:color w:val="auto"/>
          <w:lang w:eastAsia="zh-CN"/>
        </w:rPr>
        <w:t>170.15万元，实际支出数1408.14万元，支出率827.59%。</w:t>
      </w:r>
      <w:r>
        <w:rPr>
          <w:rFonts w:hint="eastAsia"/>
          <w:b w:val="0"/>
          <w:bCs/>
          <w:color w:val="auto"/>
          <w:lang w:val="en-US" w:eastAsia="zh-CN"/>
        </w:rPr>
        <w:t>根据评分标准，</w:t>
      </w:r>
      <w:r>
        <w:rPr>
          <w:rFonts w:hint="eastAsia"/>
          <w:b w:val="0"/>
          <w:bCs/>
          <w:color w:val="auto"/>
        </w:rPr>
        <w:t>“基本支出预算执行率”指标</w:t>
      </w:r>
      <w:r>
        <w:rPr>
          <w:rFonts w:hint="eastAsia"/>
          <w:b w:val="0"/>
          <w:bCs/>
          <w:color w:val="auto"/>
          <w:lang w:val="en-US" w:eastAsia="zh-CN"/>
        </w:rPr>
        <w:t>得0分，扣1分。</w:t>
      </w:r>
    </w:p>
    <w:p>
      <w:pPr>
        <w:ind w:firstLine="643"/>
        <w:rPr>
          <w:rFonts w:hint="default" w:eastAsia="仿宋_GB2312"/>
          <w:b w:val="0"/>
          <w:bCs/>
          <w:color w:val="auto"/>
          <w:lang w:val="en-US" w:eastAsia="zh-CN"/>
        </w:rPr>
      </w:pPr>
      <w:r>
        <w:rPr>
          <w:rFonts w:hint="eastAsia"/>
          <w:b/>
          <w:color w:val="auto"/>
          <w:lang w:val="en-US" w:eastAsia="zh-CN"/>
        </w:rPr>
        <w:t>关于“项目支出预算执行率”指标：</w:t>
      </w:r>
      <w:r>
        <w:rPr>
          <w:rFonts w:hint="eastAsia"/>
          <w:b w:val="0"/>
          <w:bCs/>
          <w:color w:val="auto"/>
          <w:lang w:val="en-US" w:eastAsia="zh-CN"/>
        </w:rPr>
        <w:t>2019年项目支出预算数17489.45万元，实际支出数17489.45万元，支出率582.98%。根据评分标准，</w:t>
      </w:r>
      <w:r>
        <w:rPr>
          <w:rFonts w:hint="eastAsia"/>
          <w:b w:val="0"/>
          <w:bCs/>
          <w:color w:val="auto"/>
        </w:rPr>
        <w:t>“</w:t>
      </w:r>
      <w:r>
        <w:rPr>
          <w:rFonts w:hint="eastAsia"/>
          <w:b w:val="0"/>
          <w:bCs/>
          <w:color w:val="auto"/>
          <w:lang w:val="en-US" w:eastAsia="zh-CN"/>
        </w:rPr>
        <w:t>项目支出预算执行率”</w:t>
      </w:r>
      <w:r>
        <w:rPr>
          <w:rFonts w:hint="eastAsia"/>
          <w:b w:val="0"/>
          <w:bCs/>
          <w:color w:val="auto"/>
        </w:rPr>
        <w:t>指标</w:t>
      </w:r>
      <w:r>
        <w:rPr>
          <w:rFonts w:hint="eastAsia"/>
          <w:b w:val="0"/>
          <w:bCs/>
          <w:color w:val="auto"/>
          <w:lang w:val="en-US" w:eastAsia="zh-CN"/>
        </w:rPr>
        <w:t>得0分，扣1分。</w:t>
      </w:r>
    </w:p>
    <w:p>
      <w:pPr>
        <w:ind w:firstLine="643"/>
      </w:pPr>
      <w:r>
        <w:rPr>
          <w:rFonts w:hint="eastAsia"/>
          <w:b/>
        </w:rPr>
        <w:t>关于“</w:t>
      </w:r>
      <w:r>
        <w:rPr>
          <w:rFonts w:hint="eastAsia"/>
          <w:b/>
          <w:lang w:val="en-US" w:eastAsia="zh-CN"/>
        </w:rPr>
        <w:t>三公经费</w:t>
      </w:r>
      <w:r>
        <w:rPr>
          <w:rFonts w:hint="eastAsia"/>
          <w:b/>
        </w:rPr>
        <w:t>控制率”指标</w:t>
      </w:r>
      <w:r>
        <w:rPr>
          <w:rFonts w:hint="eastAsia"/>
          <w:b/>
          <w:lang w:eastAsia="zh-CN"/>
        </w:rPr>
        <w:t>：</w:t>
      </w:r>
      <w:r>
        <w:rPr>
          <w:rFonts w:hint="eastAsia"/>
        </w:rPr>
        <w:t>2019年三公经费预算2万元，实际支出4.01万元，控制率200.5%。根据评分标准，“三公经费控制率”指标指标</w:t>
      </w:r>
      <w:r>
        <w:rPr>
          <w:rFonts w:hint="eastAsia"/>
          <w:lang w:val="en-US" w:eastAsia="zh-CN"/>
        </w:rPr>
        <w:t>得0</w:t>
      </w:r>
      <w:r>
        <w:rPr>
          <w:rFonts w:hint="eastAsia"/>
        </w:rPr>
        <w:t>分</w:t>
      </w:r>
      <w:r>
        <w:rPr>
          <w:rFonts w:hint="eastAsia"/>
          <w:lang w:eastAsia="zh-CN"/>
        </w:rPr>
        <w:t>，</w:t>
      </w:r>
      <w:r>
        <w:rPr>
          <w:rFonts w:hint="eastAsia"/>
          <w:lang w:val="en-US" w:eastAsia="zh-CN"/>
        </w:rPr>
        <w:t>扣1分</w:t>
      </w:r>
      <w:r>
        <w:rPr>
          <w:rFonts w:hint="eastAsia"/>
        </w:rPr>
        <w:t>。</w:t>
      </w:r>
    </w:p>
    <w:p>
      <w:pPr>
        <w:ind w:firstLine="643"/>
      </w:pPr>
      <w:r>
        <w:rPr>
          <w:rFonts w:hint="eastAsia"/>
          <w:b/>
        </w:rPr>
        <w:t>关于“政府采购执行率”指标</w:t>
      </w:r>
      <w:r>
        <w:rPr>
          <w:rFonts w:hint="eastAsia"/>
          <w:b/>
          <w:lang w:eastAsia="zh-CN"/>
        </w:rPr>
        <w:t>：</w:t>
      </w:r>
      <w:r>
        <w:rPr>
          <w:rFonts w:hint="eastAsia"/>
          <w:b w:val="0"/>
          <w:bCs/>
          <w:lang w:val="en-US" w:eastAsia="zh-CN"/>
        </w:rPr>
        <w:t>2019年政府采购金额数为4.77万元，应采尽采。根据评分标准，</w:t>
      </w:r>
      <w:r>
        <w:rPr>
          <w:rFonts w:hint="eastAsia"/>
          <w:b w:val="0"/>
          <w:bCs/>
        </w:rPr>
        <w:t>“政府采购执行率”指标</w:t>
      </w:r>
      <w:r>
        <w:rPr>
          <w:rFonts w:hint="eastAsia"/>
        </w:rPr>
        <w:t>得</w:t>
      </w:r>
      <w:r>
        <w:rPr>
          <w:rFonts w:hint="eastAsia"/>
          <w:lang w:val="en-US" w:eastAsia="zh-CN"/>
        </w:rPr>
        <w:t>指标满分值</w:t>
      </w:r>
      <w:r>
        <w:rPr>
          <w:rFonts w:hint="eastAsia"/>
        </w:rPr>
        <w:t>1分。</w:t>
      </w:r>
    </w:p>
    <w:p>
      <w:pPr>
        <w:ind w:firstLine="643"/>
      </w:pPr>
      <w:r>
        <w:rPr>
          <w:rFonts w:hint="eastAsia"/>
          <w:b/>
        </w:rPr>
        <w:t>关于“管理制度健全性（</w:t>
      </w:r>
      <w:r>
        <w:rPr>
          <w:rFonts w:hint="eastAsia"/>
          <w:b/>
          <w:lang w:val="en-US" w:eastAsia="zh-CN"/>
        </w:rPr>
        <w:t>预算管理</w:t>
      </w:r>
      <w:r>
        <w:rPr>
          <w:rFonts w:hint="eastAsia"/>
          <w:b/>
        </w:rPr>
        <w:t>）”指标</w:t>
      </w:r>
      <w:r>
        <w:rPr>
          <w:rFonts w:hint="eastAsia"/>
          <w:b/>
          <w:lang w:eastAsia="zh-CN"/>
        </w:rPr>
        <w:t>：</w:t>
      </w:r>
      <w:r>
        <w:rPr>
          <w:rFonts w:hint="eastAsia"/>
        </w:rPr>
        <w:t>经现场核实，</w:t>
      </w:r>
      <w:r>
        <w:rPr>
          <w:rFonts w:hint="eastAsia"/>
          <w:lang w:val="en-US" w:eastAsia="zh-CN"/>
        </w:rPr>
        <w:t>山亭区住建局</w:t>
      </w:r>
      <w:r>
        <w:rPr>
          <w:rFonts w:hint="eastAsia"/>
        </w:rPr>
        <w:t>预算管理制度、财务管理制度、会计核算制度</w:t>
      </w:r>
      <w:r>
        <w:rPr>
          <w:rFonts w:hint="eastAsia"/>
          <w:lang w:eastAsia="zh-CN"/>
        </w:rPr>
        <w:t>、</w:t>
      </w:r>
      <w:r>
        <w:rPr>
          <w:rFonts w:hint="eastAsia"/>
          <w:lang w:val="en-US" w:eastAsia="zh-CN"/>
        </w:rPr>
        <w:t>内部控制制度健全、</w:t>
      </w:r>
      <w:r>
        <w:rPr>
          <w:rFonts w:hint="eastAsia"/>
        </w:rPr>
        <w:t>合法、合规，相关管理制度执行有效</w:t>
      </w:r>
      <w:r>
        <w:rPr>
          <w:rFonts w:hint="eastAsia"/>
          <w:lang w:eastAsia="zh-CN"/>
        </w:rPr>
        <w:t>。</w:t>
      </w:r>
      <w:r>
        <w:rPr>
          <w:rFonts w:hint="eastAsia"/>
        </w:rPr>
        <w:t>根据评分标准，管理制度健全性（预算管理）”指标得</w:t>
      </w:r>
      <w:r>
        <w:rPr>
          <w:rFonts w:hint="eastAsia"/>
          <w:lang w:val="en-US" w:eastAsia="zh-CN"/>
        </w:rPr>
        <w:t>指标满分值</w:t>
      </w:r>
      <w:r>
        <w:rPr>
          <w:rFonts w:hint="eastAsia"/>
        </w:rPr>
        <w:t>2分。</w:t>
      </w:r>
    </w:p>
    <w:p>
      <w:pPr>
        <w:ind w:firstLine="643"/>
        <w:jc w:val="left"/>
        <w:rPr>
          <w:rFonts w:ascii="仿宋_GB2312" w:hAnsi="仿宋_GB2312" w:cs="仿宋_GB2312"/>
          <w:szCs w:val="32"/>
        </w:rPr>
      </w:pPr>
      <w:r>
        <w:rPr>
          <w:rFonts w:hint="eastAsia"/>
          <w:b/>
        </w:rPr>
        <w:t>关于“资金使用合规性”指标</w:t>
      </w:r>
      <w:r>
        <w:rPr>
          <w:rFonts w:hint="eastAsia"/>
          <w:b/>
          <w:lang w:eastAsia="zh-CN"/>
        </w:rPr>
        <w:t>：</w:t>
      </w:r>
      <w:r>
        <w:t>经评价</w:t>
      </w:r>
      <w:r>
        <w:rPr>
          <w:rFonts w:hint="eastAsia"/>
          <w:lang w:val="en-US" w:eastAsia="zh-CN"/>
        </w:rPr>
        <w:t>工作</w:t>
      </w:r>
      <w:r>
        <w:t>组对</w:t>
      </w:r>
      <w:r>
        <w:rPr>
          <w:rFonts w:hint="eastAsia"/>
          <w:lang w:val="en-US" w:eastAsia="zh-CN"/>
        </w:rPr>
        <w:t>山亭区住建局2019</w:t>
      </w:r>
      <w:r>
        <w:t>年支出的凭证抽查及财务核查</w:t>
      </w:r>
      <w:r>
        <w:rPr>
          <w:rFonts w:hint="eastAsia"/>
        </w:rPr>
        <w:t>，</w:t>
      </w:r>
      <w:r>
        <w:rPr>
          <w:rFonts w:hint="eastAsia" w:ascii="仿宋_GB2312" w:hAnsi="仿宋_GB2312" w:cs="仿宋_GB2312"/>
          <w:szCs w:val="32"/>
        </w:rPr>
        <w:t>资金的使用符合资金管理办法，资金的拨付有完整的审批过程和手续，支出符合部门预算用途，不存在截留、挤占、挪用、虚列支出等情况。根据评分</w:t>
      </w:r>
      <w:r>
        <w:rPr>
          <w:rFonts w:hint="eastAsia" w:cs="仿宋_GB2312"/>
          <w:szCs w:val="32"/>
          <w:lang w:val="en-US" w:eastAsia="zh-CN"/>
        </w:rPr>
        <w:t>标准，</w:t>
      </w:r>
      <w:r>
        <w:rPr>
          <w:rFonts w:hint="eastAsia" w:ascii="仿宋_GB2312" w:hAnsi="仿宋_GB2312" w:cs="仿宋_GB2312"/>
          <w:szCs w:val="32"/>
        </w:rPr>
        <w:t>本指标得</w:t>
      </w:r>
      <w:r>
        <w:rPr>
          <w:rFonts w:hint="eastAsia" w:cs="仿宋_GB2312"/>
          <w:szCs w:val="32"/>
          <w:lang w:val="en-US" w:eastAsia="zh-CN"/>
        </w:rPr>
        <w:t>指标满分值3分</w:t>
      </w:r>
      <w:r>
        <w:rPr>
          <w:rFonts w:ascii="仿宋_GB2312" w:hAnsi="仿宋_GB2312" w:cs="仿宋_GB2312"/>
          <w:szCs w:val="32"/>
        </w:rPr>
        <w:t>。</w:t>
      </w:r>
    </w:p>
    <w:p>
      <w:pPr>
        <w:ind w:firstLine="643"/>
      </w:pPr>
      <w:r>
        <w:rPr>
          <w:rFonts w:hint="eastAsia"/>
          <w:b/>
        </w:rPr>
        <w:t>关于“预决算信息公开性”指标</w:t>
      </w:r>
      <w:r>
        <w:rPr>
          <w:rFonts w:hint="eastAsia"/>
          <w:b/>
          <w:lang w:eastAsia="zh-CN"/>
        </w:rPr>
        <w:t>：</w:t>
      </w:r>
      <w:r>
        <w:rPr>
          <w:rFonts w:hint="eastAsia"/>
          <w:b w:val="0"/>
          <w:bCs/>
          <w:lang w:val="en-US" w:eastAsia="zh-CN"/>
        </w:rPr>
        <w:t>2019年山亭区住建局</w:t>
      </w:r>
      <w:r>
        <w:rPr>
          <w:rFonts w:hint="eastAsia"/>
          <w:b w:val="0"/>
          <w:bCs/>
        </w:rPr>
        <w:t>预算</w:t>
      </w:r>
      <w:r>
        <w:rPr>
          <w:rFonts w:hint="eastAsia"/>
        </w:rPr>
        <w:t>信息</w:t>
      </w:r>
      <w:r>
        <w:rPr>
          <w:rFonts w:hint="eastAsia"/>
          <w:lang w:val="en-US" w:eastAsia="zh-CN"/>
        </w:rPr>
        <w:t>于2019年2月15日在区政府网站</w:t>
      </w:r>
      <w:r>
        <w:rPr>
          <w:rFonts w:hint="eastAsia"/>
        </w:rPr>
        <w:t>及时公开，2019年决算截至评价基准日未批复，不做评价。根据评</w:t>
      </w:r>
      <w:r>
        <w:rPr>
          <w:rFonts w:hint="eastAsia"/>
          <w:lang w:val="en-US" w:eastAsia="zh-CN"/>
        </w:rPr>
        <w:t>分</w:t>
      </w:r>
      <w:r>
        <w:rPr>
          <w:rFonts w:hint="eastAsia"/>
        </w:rPr>
        <w:t>标准，预决算信息公开性”指标得</w:t>
      </w:r>
      <w:r>
        <w:rPr>
          <w:rFonts w:hint="eastAsia"/>
          <w:lang w:val="en-US" w:eastAsia="zh-CN"/>
        </w:rPr>
        <w:t>指标满分值2</w:t>
      </w:r>
      <w:r>
        <w:rPr>
          <w:rFonts w:hint="eastAsia"/>
        </w:rPr>
        <w:t>分。</w:t>
      </w:r>
    </w:p>
    <w:p>
      <w:pPr>
        <w:ind w:firstLine="643"/>
      </w:pPr>
      <w:r>
        <w:rPr>
          <w:rFonts w:hint="eastAsia"/>
          <w:b/>
        </w:rPr>
        <w:t>关于“政府采购合规性”指标。</w:t>
      </w:r>
      <w:r>
        <w:rPr>
          <w:rFonts w:hint="eastAsia"/>
        </w:rPr>
        <w:t>经现场核实，</w:t>
      </w:r>
      <w:r>
        <w:rPr>
          <w:rFonts w:hint="eastAsia"/>
          <w:lang w:val="en-US" w:eastAsia="zh-CN"/>
        </w:rPr>
        <w:t>山亭区住建局</w:t>
      </w:r>
      <w:r>
        <w:rPr>
          <w:rFonts w:hint="eastAsia"/>
        </w:rPr>
        <w:t>按照政府采购法及部门政府采购制度对所需货物进行政府采购，</w:t>
      </w:r>
      <w:r>
        <w:rPr>
          <w:rFonts w:hint="eastAsia"/>
          <w:lang w:val="en-US" w:eastAsia="zh-CN"/>
        </w:rPr>
        <w:t>根据评分标准，政府采购合规性”指标</w:t>
      </w:r>
      <w:r>
        <w:rPr>
          <w:rFonts w:hint="eastAsia"/>
        </w:rPr>
        <w:t>得</w:t>
      </w:r>
      <w:r>
        <w:rPr>
          <w:rFonts w:hint="eastAsia"/>
          <w:lang w:val="en-US" w:eastAsia="zh-CN"/>
        </w:rPr>
        <w:t>指标满分值1</w:t>
      </w:r>
      <w:r>
        <w:rPr>
          <w:rFonts w:hint="eastAsia"/>
        </w:rPr>
        <w:t>分。</w:t>
      </w:r>
    </w:p>
    <w:p>
      <w:pPr>
        <w:ind w:firstLine="643"/>
      </w:pPr>
      <w:r>
        <w:rPr>
          <w:rFonts w:hint="eastAsia"/>
          <w:b/>
        </w:rPr>
        <w:t>关于“管理制度健全性（资产管理）”指标</w:t>
      </w:r>
      <w:r>
        <w:rPr>
          <w:rFonts w:hint="eastAsia"/>
          <w:b/>
          <w:lang w:eastAsia="zh-CN"/>
        </w:rPr>
        <w:t>：</w:t>
      </w:r>
      <w:r>
        <w:rPr>
          <w:rFonts w:hint="eastAsia"/>
        </w:rPr>
        <w:t>经现场核实，</w:t>
      </w:r>
      <w:r>
        <w:rPr>
          <w:rFonts w:hint="eastAsia"/>
          <w:lang w:val="en-US" w:eastAsia="zh-CN"/>
        </w:rPr>
        <w:t>山亭区住建局</w:t>
      </w:r>
      <w:r>
        <w:rPr>
          <w:rFonts w:hint="eastAsia"/>
        </w:rPr>
        <w:t>资产管理制度合法、合规、完整</w:t>
      </w:r>
      <w:r>
        <w:rPr>
          <w:rFonts w:hint="eastAsia"/>
          <w:lang w:eastAsia="zh-CN"/>
        </w:rPr>
        <w:t>。</w:t>
      </w:r>
      <w:r>
        <w:rPr>
          <w:rFonts w:hint="eastAsia"/>
        </w:rPr>
        <w:t>根据评分标准，“管理制度健全性（资产管理）”指标指标得</w:t>
      </w:r>
      <w:r>
        <w:rPr>
          <w:rFonts w:hint="eastAsia"/>
          <w:lang w:val="en-US" w:eastAsia="zh-CN"/>
        </w:rPr>
        <w:t>指标满分值</w:t>
      </w:r>
      <w:r>
        <w:rPr>
          <w:rFonts w:hint="eastAsia"/>
        </w:rPr>
        <w:t>2分。</w:t>
      </w:r>
    </w:p>
    <w:p>
      <w:pPr>
        <w:ind w:firstLine="643"/>
        <w:rPr>
          <w:b w:val="0"/>
          <w:bCs/>
          <w:color w:val="auto"/>
        </w:rPr>
      </w:pPr>
      <w:r>
        <w:rPr>
          <w:rFonts w:hint="eastAsia"/>
          <w:b/>
        </w:rPr>
        <w:t>关于“资产管理安全性”指标</w:t>
      </w:r>
      <w:r>
        <w:rPr>
          <w:rFonts w:hint="eastAsia"/>
          <w:b/>
          <w:lang w:eastAsia="zh-CN"/>
        </w:rPr>
        <w:t>：</w:t>
      </w:r>
      <w:r>
        <w:rPr>
          <w:rFonts w:hint="eastAsia"/>
          <w:b w:val="0"/>
          <w:bCs/>
          <w:color w:val="auto"/>
          <w:lang w:val="en-US" w:eastAsia="zh-CN"/>
        </w:rPr>
        <w:t>山亭区住建局资产保存完整、配置合理，但是截至2019年底，263件固定资产中有8件固定资产已经报废或者转移，但是账务未进行处理，存在账实不符的现象。</w:t>
      </w:r>
      <w:r>
        <w:rPr>
          <w:rFonts w:hint="eastAsia"/>
          <w:b w:val="0"/>
          <w:bCs/>
          <w:color w:val="auto"/>
        </w:rPr>
        <w:t>根据评分标准，“资产管理安全性”指标指标得</w:t>
      </w:r>
      <w:r>
        <w:rPr>
          <w:rFonts w:hint="eastAsia"/>
          <w:b w:val="0"/>
          <w:bCs/>
          <w:color w:val="auto"/>
          <w:lang w:val="en-US" w:eastAsia="zh-CN"/>
        </w:rPr>
        <w:t>1.6</w:t>
      </w:r>
      <w:r>
        <w:rPr>
          <w:rFonts w:hint="eastAsia"/>
          <w:b w:val="0"/>
          <w:bCs/>
          <w:color w:val="auto"/>
        </w:rPr>
        <w:t>分</w:t>
      </w:r>
      <w:r>
        <w:rPr>
          <w:rFonts w:hint="eastAsia"/>
          <w:b w:val="0"/>
          <w:bCs/>
          <w:color w:val="auto"/>
          <w:lang w:eastAsia="zh-CN"/>
        </w:rPr>
        <w:t>，</w:t>
      </w:r>
      <w:r>
        <w:rPr>
          <w:rFonts w:hint="eastAsia"/>
          <w:b w:val="0"/>
          <w:bCs/>
          <w:color w:val="auto"/>
          <w:lang w:val="en-US" w:eastAsia="zh-CN"/>
        </w:rPr>
        <w:t>扣0.4分</w:t>
      </w:r>
      <w:r>
        <w:rPr>
          <w:rFonts w:hint="eastAsia"/>
          <w:b w:val="0"/>
          <w:bCs/>
          <w:color w:val="auto"/>
        </w:rPr>
        <w:t>。</w:t>
      </w:r>
    </w:p>
    <w:p>
      <w:pPr>
        <w:ind w:firstLine="643"/>
        <w:rPr>
          <w:rFonts w:hint="default" w:eastAsia="仿宋_GB2312"/>
          <w:b w:val="0"/>
          <w:bCs/>
          <w:lang w:val="en-US" w:eastAsia="zh-CN"/>
        </w:rPr>
      </w:pPr>
      <w:r>
        <w:rPr>
          <w:rFonts w:hint="eastAsia"/>
          <w:b/>
        </w:rPr>
        <w:t>关于“固定资产利用率”指标</w:t>
      </w:r>
      <w:r>
        <w:rPr>
          <w:rFonts w:hint="eastAsia"/>
          <w:b/>
          <w:lang w:eastAsia="zh-CN"/>
        </w:rPr>
        <w:t>：</w:t>
      </w:r>
      <w:r>
        <w:rPr>
          <w:rFonts w:hint="eastAsia"/>
          <w:b w:val="0"/>
          <w:bCs/>
          <w:lang w:val="en-US" w:eastAsia="zh-CN"/>
        </w:rPr>
        <w:t>经核查，所有可用固定资产均处于在用状态，固定资产利用率100%。根据评分标准，</w:t>
      </w:r>
      <w:r>
        <w:rPr>
          <w:rFonts w:hint="eastAsia"/>
          <w:b w:val="0"/>
          <w:bCs/>
        </w:rPr>
        <w:t>“固定资产利用率”指标</w:t>
      </w:r>
      <w:r>
        <w:rPr>
          <w:rFonts w:hint="eastAsia"/>
          <w:b w:val="0"/>
          <w:bCs/>
          <w:lang w:val="en-US" w:eastAsia="zh-CN"/>
        </w:rPr>
        <w:t>得指标满分值1分。</w:t>
      </w:r>
    </w:p>
    <w:p>
      <w:pPr>
        <w:ind w:firstLine="643"/>
      </w:pPr>
      <w:r>
        <w:rPr>
          <w:rFonts w:hint="eastAsia"/>
          <w:b/>
        </w:rPr>
        <w:t>关于“资产清查有效性”指标</w:t>
      </w:r>
      <w:r>
        <w:rPr>
          <w:rFonts w:hint="eastAsia"/>
          <w:b/>
          <w:lang w:eastAsia="zh-CN"/>
        </w:rPr>
        <w:t>：</w:t>
      </w:r>
      <w:r>
        <w:rPr>
          <w:rFonts w:hint="eastAsia"/>
        </w:rPr>
        <w:t>经现场核实，</w:t>
      </w:r>
      <w:r>
        <w:rPr>
          <w:rFonts w:hint="eastAsia"/>
          <w:lang w:val="en-US" w:eastAsia="zh-CN"/>
        </w:rPr>
        <w:t>山亭区住建局在2019年10月份对所有固定资产进行了清查。</w:t>
      </w:r>
      <w:r>
        <w:rPr>
          <w:rFonts w:hint="eastAsia"/>
        </w:rPr>
        <w:t>根据评分标准，“资产清查有效性”指标得</w:t>
      </w:r>
      <w:r>
        <w:rPr>
          <w:rFonts w:hint="eastAsia"/>
          <w:lang w:val="en-US" w:eastAsia="zh-CN"/>
        </w:rPr>
        <w:t>指标满分值1分</w:t>
      </w:r>
      <w:r>
        <w:rPr>
          <w:rFonts w:hint="eastAsia"/>
        </w:rPr>
        <w:t>。</w:t>
      </w:r>
    </w:p>
    <w:p>
      <w:pPr>
        <w:ind w:firstLine="643"/>
      </w:pPr>
      <w:r>
        <w:rPr>
          <w:rFonts w:hint="eastAsia"/>
          <w:b/>
        </w:rPr>
        <w:t>关于“档案管理完备性”指标</w:t>
      </w:r>
      <w:r>
        <w:rPr>
          <w:rFonts w:hint="eastAsia"/>
          <w:b/>
          <w:lang w:eastAsia="zh-CN"/>
        </w:rPr>
        <w:t>：</w:t>
      </w:r>
      <w:r>
        <w:rPr>
          <w:rFonts w:hint="eastAsia"/>
          <w:lang w:eastAsia="zh-CN"/>
        </w:rPr>
        <w:t>部门有档案室，有专人对部门的档案进行管理并且保存完备。</w:t>
      </w:r>
      <w:r>
        <w:rPr>
          <w:rFonts w:hint="eastAsia"/>
        </w:rPr>
        <w:t>根据评分标准，档案管理完备性”指标得</w:t>
      </w:r>
      <w:r>
        <w:rPr>
          <w:rFonts w:hint="eastAsia"/>
          <w:lang w:val="en-US" w:eastAsia="zh-CN"/>
        </w:rPr>
        <w:t>指标满分值1</w:t>
      </w:r>
      <w:r>
        <w:rPr>
          <w:rFonts w:hint="eastAsia"/>
        </w:rPr>
        <w:t>分。</w:t>
      </w:r>
    </w:p>
    <w:p>
      <w:pPr>
        <w:ind w:firstLine="643"/>
      </w:pPr>
      <w:r>
        <w:rPr>
          <w:rFonts w:hint="eastAsia"/>
          <w:b/>
        </w:rPr>
        <w:t>关于“专项工作管理制度健全性”指标</w:t>
      </w:r>
      <w:r>
        <w:rPr>
          <w:rFonts w:hint="eastAsia"/>
          <w:b/>
          <w:lang w:eastAsia="zh-CN"/>
        </w:rPr>
        <w:t>：</w:t>
      </w:r>
      <w:r>
        <w:rPr>
          <w:rFonts w:hint="eastAsia"/>
          <w:b w:val="0"/>
          <w:bCs/>
          <w:lang w:val="en-US" w:eastAsia="zh-CN"/>
        </w:rPr>
        <w:t>山亭区住建局2019年的专项工作，例如农村旱厕改造专项资金、危房改造专项资金、清洁取暖建设专项等，山亭区住建局均对</w:t>
      </w:r>
      <w:r>
        <w:rPr>
          <w:rFonts w:hint="eastAsia"/>
          <w:b w:val="0"/>
          <w:bCs/>
        </w:rPr>
        <w:t>对重点专项工作</w:t>
      </w:r>
      <w:r>
        <w:rPr>
          <w:rFonts w:hint="eastAsia"/>
          <w:b w:val="0"/>
          <w:bCs/>
          <w:lang w:val="en-US" w:eastAsia="zh-CN"/>
        </w:rPr>
        <w:t>制定或者</w:t>
      </w:r>
      <w:r>
        <w:rPr>
          <w:rFonts w:hint="eastAsia"/>
          <w:lang w:val="en-US" w:eastAsia="zh-CN"/>
        </w:rPr>
        <w:t>转发了相关的实施意见或者管理制度</w:t>
      </w:r>
      <w:r>
        <w:rPr>
          <w:rFonts w:hint="eastAsia"/>
          <w:lang w:eastAsia="zh-CN"/>
        </w:rPr>
        <w:t>。</w:t>
      </w:r>
      <w:r>
        <w:rPr>
          <w:rFonts w:hint="eastAsia"/>
        </w:rPr>
        <w:t>根据评分标准，“专项工作管理制度健全性”指标得</w:t>
      </w:r>
      <w:r>
        <w:rPr>
          <w:rFonts w:hint="eastAsia"/>
          <w:lang w:val="en-US" w:eastAsia="zh-CN"/>
        </w:rPr>
        <w:t>指标满分值2</w:t>
      </w:r>
      <w:r>
        <w:rPr>
          <w:rFonts w:hint="eastAsia"/>
        </w:rPr>
        <w:t>分。</w:t>
      </w:r>
    </w:p>
    <w:p>
      <w:pPr>
        <w:ind w:firstLine="643"/>
      </w:pPr>
      <w:r>
        <w:rPr>
          <w:rFonts w:hint="eastAsia"/>
          <w:b/>
        </w:rPr>
        <w:t>关于“专项工作管理实施规范”指标</w:t>
      </w:r>
      <w:r>
        <w:rPr>
          <w:rFonts w:hint="eastAsia"/>
          <w:b/>
          <w:lang w:eastAsia="zh-CN"/>
        </w:rPr>
        <w:t>：</w:t>
      </w:r>
      <w:r>
        <w:rPr>
          <w:rFonts w:hint="eastAsia"/>
        </w:rPr>
        <w:t>经现场核实，</w:t>
      </w:r>
      <w:r>
        <w:rPr>
          <w:rFonts w:hint="eastAsia"/>
          <w:lang w:val="en-US" w:eastAsia="zh-CN"/>
        </w:rPr>
        <w:t>2019年山亭区住建局专项工作</w:t>
      </w:r>
      <w:r>
        <w:rPr>
          <w:rFonts w:hint="eastAsia"/>
        </w:rPr>
        <w:t>均严格按照相关规定开展，根据评分标准，“专项工作管理实施规范”指标得</w:t>
      </w:r>
      <w:r>
        <w:rPr>
          <w:rFonts w:hint="eastAsia"/>
          <w:lang w:val="en-US" w:eastAsia="zh-CN"/>
        </w:rPr>
        <w:t>指标满分值2</w:t>
      </w:r>
      <w:r>
        <w:rPr>
          <w:rFonts w:hint="eastAsia"/>
        </w:rPr>
        <w:t>分。</w:t>
      </w:r>
    </w:p>
    <w:p>
      <w:pPr>
        <w:pStyle w:val="4"/>
        <w:bidi w:val="0"/>
      </w:pPr>
      <w:r>
        <w:rPr>
          <w:rFonts w:hint="eastAsia"/>
        </w:rPr>
        <w:t>3、产出</w:t>
      </w:r>
    </w:p>
    <w:p>
      <w:pPr>
        <w:ind w:firstLine="640"/>
        <w:rPr>
          <w:rFonts w:hAnsi="仿宋_GB2312" w:cs="仿宋_GB2312"/>
          <w:szCs w:val="32"/>
        </w:rPr>
      </w:pPr>
      <w:r>
        <w:rPr>
          <w:rFonts w:hint="eastAsia" w:hAnsi="仿宋_GB2312" w:cs="仿宋_GB2312"/>
          <w:szCs w:val="32"/>
        </w:rPr>
        <w:t>产出部分指标主要对部门履职情况进行考察，包括城市建设管理履职情况</w:t>
      </w:r>
      <w:r>
        <w:rPr>
          <w:rFonts w:hint="eastAsia" w:cs="仿宋_GB2312"/>
          <w:szCs w:val="32"/>
          <w:lang w:eastAsia="zh-CN"/>
        </w:rPr>
        <w:t>、</w:t>
      </w:r>
      <w:r>
        <w:rPr>
          <w:rFonts w:hint="eastAsia" w:hAnsi="仿宋_GB2312" w:cs="仿宋_GB2312"/>
          <w:szCs w:val="32"/>
        </w:rPr>
        <w:t>工程建设管理履职情况</w:t>
      </w:r>
      <w:r>
        <w:rPr>
          <w:rFonts w:hint="eastAsia" w:cs="仿宋_GB2312"/>
          <w:szCs w:val="32"/>
          <w:lang w:eastAsia="zh-CN"/>
        </w:rPr>
        <w:t>、</w:t>
      </w:r>
      <w:r>
        <w:rPr>
          <w:rFonts w:hint="eastAsia" w:hAnsi="仿宋_GB2312" w:cs="仿宋_GB2312"/>
          <w:szCs w:val="32"/>
        </w:rPr>
        <w:t>村镇建设管理履职情况</w:t>
      </w:r>
      <w:r>
        <w:rPr>
          <w:rFonts w:hint="eastAsia" w:cs="仿宋_GB2312"/>
          <w:szCs w:val="32"/>
          <w:lang w:eastAsia="zh-CN"/>
        </w:rPr>
        <w:t>、</w:t>
      </w:r>
      <w:r>
        <w:rPr>
          <w:rFonts w:hint="eastAsia" w:hAnsi="仿宋_GB2312" w:cs="仿宋_GB2312"/>
          <w:szCs w:val="32"/>
        </w:rPr>
        <w:t>房地产业管理履职情况</w:t>
      </w:r>
      <w:r>
        <w:rPr>
          <w:rFonts w:hint="eastAsia" w:cs="仿宋_GB2312"/>
          <w:szCs w:val="32"/>
          <w:lang w:eastAsia="zh-CN"/>
        </w:rPr>
        <w:t>、</w:t>
      </w:r>
      <w:r>
        <w:rPr>
          <w:rFonts w:hint="eastAsia" w:hAnsi="仿宋_GB2312" w:cs="仿宋_GB2312"/>
          <w:szCs w:val="32"/>
        </w:rPr>
        <w:t>城市建设履职情况</w:t>
      </w:r>
      <w:r>
        <w:rPr>
          <w:rFonts w:hint="eastAsia" w:cs="仿宋_GB2312"/>
          <w:szCs w:val="32"/>
          <w:lang w:eastAsia="zh-CN"/>
        </w:rPr>
        <w:t>、</w:t>
      </w:r>
      <w:r>
        <w:rPr>
          <w:rFonts w:hint="eastAsia" w:hAnsi="仿宋_GB2312" w:cs="仿宋_GB2312"/>
          <w:szCs w:val="32"/>
        </w:rPr>
        <w:t>城市管理履职情况</w:t>
      </w:r>
      <w:r>
        <w:rPr>
          <w:rFonts w:hint="eastAsia" w:cs="仿宋_GB2312"/>
          <w:szCs w:val="32"/>
          <w:lang w:eastAsia="zh-CN"/>
        </w:rPr>
        <w:t>、</w:t>
      </w:r>
      <w:r>
        <w:rPr>
          <w:rFonts w:hint="eastAsia" w:hAnsi="仿宋_GB2312" w:cs="仿宋_GB2312"/>
          <w:szCs w:val="32"/>
        </w:rPr>
        <w:t>住房保障履职情况</w:t>
      </w:r>
      <w:r>
        <w:rPr>
          <w:rFonts w:hint="eastAsia" w:cs="仿宋_GB2312"/>
          <w:szCs w:val="32"/>
          <w:lang w:eastAsia="zh-CN"/>
        </w:rPr>
        <w:t>、</w:t>
      </w:r>
      <w:r>
        <w:rPr>
          <w:rFonts w:hint="eastAsia" w:hAnsi="仿宋_GB2312" w:cs="仿宋_GB2312"/>
          <w:szCs w:val="32"/>
        </w:rPr>
        <w:t>信息宣传履职情况</w:t>
      </w:r>
      <w:r>
        <w:rPr>
          <w:rFonts w:hint="eastAsia" w:cs="仿宋_GB2312"/>
          <w:szCs w:val="32"/>
          <w:lang w:val="en-US" w:eastAsia="zh-CN"/>
        </w:rPr>
        <w:t>八方面</w:t>
      </w:r>
      <w:r>
        <w:rPr>
          <w:rFonts w:hint="eastAsia" w:hAnsi="仿宋_GB2312" w:cs="仿宋_GB2312"/>
          <w:szCs w:val="32"/>
        </w:rPr>
        <w:t>，指标分值</w:t>
      </w:r>
      <w:r>
        <w:rPr>
          <w:rFonts w:hint="eastAsia" w:cs="仿宋_GB2312"/>
          <w:szCs w:val="32"/>
          <w:lang w:val="en-US" w:eastAsia="zh-CN"/>
        </w:rPr>
        <w:t>32</w:t>
      </w:r>
      <w:r>
        <w:rPr>
          <w:rFonts w:hAnsi="仿宋_GB2312" w:cs="仿宋_GB2312"/>
          <w:szCs w:val="32"/>
        </w:rPr>
        <w:t>分，实际得分</w:t>
      </w:r>
      <w:r>
        <w:rPr>
          <w:rFonts w:hint="eastAsia" w:cs="仿宋_GB2312"/>
          <w:szCs w:val="32"/>
          <w:lang w:val="en-US" w:eastAsia="zh-CN"/>
        </w:rPr>
        <w:t>32</w:t>
      </w:r>
      <w:r>
        <w:rPr>
          <w:rFonts w:hAnsi="仿宋_GB2312" w:cs="仿宋_GB2312"/>
          <w:szCs w:val="32"/>
        </w:rPr>
        <w:t>分。指标得分情况</w:t>
      </w:r>
      <w:r>
        <w:rPr>
          <w:rFonts w:hint="eastAsia" w:hAnsi="仿宋_GB2312" w:cs="仿宋_GB2312"/>
          <w:szCs w:val="32"/>
        </w:rPr>
        <w:t>详见表</w:t>
      </w:r>
      <w:r>
        <w:rPr>
          <w:rFonts w:hint="eastAsia" w:cs="仿宋_GB2312"/>
          <w:szCs w:val="32"/>
          <w:lang w:val="en-US" w:eastAsia="zh-CN"/>
        </w:rPr>
        <w:t>5-4</w:t>
      </w:r>
      <w:r>
        <w:rPr>
          <w:rFonts w:hint="eastAsia" w:hAnsi="仿宋_GB2312" w:cs="仿宋_GB2312"/>
          <w:szCs w:val="32"/>
        </w:rPr>
        <w:t>。</w:t>
      </w:r>
    </w:p>
    <w:p>
      <w:pPr>
        <w:pStyle w:val="5"/>
        <w:bidi w:val="0"/>
        <w:rPr>
          <w:rFonts w:hint="eastAsia"/>
          <w:lang w:val="en-US" w:eastAsia="zh-CN"/>
        </w:rPr>
      </w:pPr>
      <w:r>
        <w:rPr>
          <w:rFonts w:hint="eastAsia"/>
        </w:rPr>
        <w:t>表</w:t>
      </w:r>
      <w:r>
        <w:rPr>
          <w:rFonts w:hint="eastAsia"/>
          <w:lang w:val="en-US" w:eastAsia="zh-CN"/>
        </w:rPr>
        <w:t>5-4</w:t>
      </w:r>
      <w:r>
        <w:rPr>
          <w:rFonts w:hint="eastAsia"/>
        </w:rPr>
        <w:t xml:space="preserve">: </w:t>
      </w:r>
      <w:r>
        <w:rPr>
          <w:rFonts w:hint="eastAsia"/>
          <w:lang w:val="en-US" w:eastAsia="zh-CN"/>
        </w:rPr>
        <w:t>山</w:t>
      </w:r>
      <w:r>
        <w:rPr>
          <w:rFonts w:hint="eastAsia"/>
        </w:rPr>
        <w:t>亭区住建局201</w:t>
      </w:r>
      <w:r>
        <w:rPr>
          <w:rFonts w:hint="eastAsia"/>
          <w:lang w:val="en-US" w:eastAsia="zh-CN"/>
        </w:rPr>
        <w:t>9</w:t>
      </w:r>
      <w:r>
        <w:rPr>
          <w:rFonts w:hint="eastAsia"/>
        </w:rPr>
        <w:t>年部门整体支出绩效评价</w:t>
      </w:r>
      <w:r>
        <w:rPr>
          <w:rFonts w:hint="eastAsia"/>
          <w:lang w:val="en-US" w:eastAsia="zh-CN"/>
        </w:rPr>
        <w:t>产出指标得分表</w:t>
      </w:r>
    </w:p>
    <w:tbl>
      <w:tblPr>
        <w:tblStyle w:val="12"/>
        <w:tblW w:w="8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255"/>
        <w:gridCol w:w="1345"/>
        <w:gridCol w:w="2623"/>
        <w:gridCol w:w="945"/>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10"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1255"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一级指标</w:t>
            </w:r>
          </w:p>
        </w:tc>
        <w:tc>
          <w:tcPr>
            <w:tcW w:w="1345"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二级指标</w:t>
            </w:r>
          </w:p>
        </w:tc>
        <w:tc>
          <w:tcPr>
            <w:tcW w:w="2623"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三级指标</w:t>
            </w:r>
          </w:p>
        </w:tc>
        <w:tc>
          <w:tcPr>
            <w:tcW w:w="945"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分值</w:t>
            </w:r>
          </w:p>
        </w:tc>
        <w:tc>
          <w:tcPr>
            <w:tcW w:w="1098"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55" w:type="dxa"/>
            <w:vMerge w:val="restart"/>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产出</w:t>
            </w:r>
          </w:p>
        </w:tc>
        <w:tc>
          <w:tcPr>
            <w:tcW w:w="1345" w:type="dxa"/>
            <w:vMerge w:val="restart"/>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部门履职情况</w:t>
            </w:r>
          </w:p>
        </w:tc>
        <w:tc>
          <w:tcPr>
            <w:tcW w:w="262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城市建设管理履职情况</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sz w:val="24"/>
                <w:szCs w:val="24"/>
                <w:lang w:val="en-US" w:eastAsia="zh-CN"/>
              </w:rPr>
            </w:pPr>
            <w:r>
              <w:rPr>
                <w:rFonts w:hint="eastAsia" w:cs="仿宋_GB2312"/>
                <w:sz w:val="24"/>
                <w:szCs w:val="24"/>
                <w:lang w:val="en-US" w:eastAsia="zh-CN"/>
              </w:rPr>
              <w:t>6</w:t>
            </w:r>
          </w:p>
        </w:tc>
        <w:tc>
          <w:tcPr>
            <w:tcW w:w="1098" w:type="dxa"/>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sz w:val="24"/>
                <w:szCs w:val="24"/>
              </w:rPr>
            </w:pPr>
            <w:r>
              <w:rPr>
                <w:rFonts w:hint="eastAsia" w:cs="仿宋_GB2312"/>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810" w:type="dxa"/>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255"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sz w:val="24"/>
                <w:szCs w:val="24"/>
              </w:rPr>
            </w:pPr>
          </w:p>
        </w:tc>
        <w:tc>
          <w:tcPr>
            <w:tcW w:w="1345"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ind w:firstLine="560"/>
              <w:jc w:val="center"/>
              <w:textAlignment w:val="auto"/>
              <w:rPr>
                <w:rFonts w:hint="eastAsia" w:ascii="仿宋_GB2312" w:hAnsi="仿宋_GB2312" w:eastAsia="仿宋_GB2312" w:cs="仿宋_GB2312"/>
                <w:sz w:val="24"/>
                <w:szCs w:val="24"/>
              </w:rPr>
            </w:pPr>
          </w:p>
        </w:tc>
        <w:tc>
          <w:tcPr>
            <w:tcW w:w="262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工程建设管理履职情况</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_GB2312" w:hAnsi="仿宋_GB2312" w:eastAsia="仿宋_GB2312" w:cs="仿宋_GB2312"/>
                <w:sz w:val="24"/>
                <w:szCs w:val="24"/>
                <w:lang w:val="en-US" w:eastAsia="zh-CN"/>
              </w:rPr>
            </w:pPr>
            <w:r>
              <w:rPr>
                <w:rFonts w:hint="eastAsia" w:cs="仿宋_GB2312"/>
                <w:sz w:val="24"/>
                <w:szCs w:val="24"/>
                <w:lang w:val="en-US" w:eastAsia="zh-CN"/>
              </w:rPr>
              <w:t>6</w:t>
            </w:r>
          </w:p>
        </w:tc>
        <w:tc>
          <w:tcPr>
            <w:tcW w:w="1098"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_GB2312" w:hAnsi="仿宋_GB2312" w:eastAsia="仿宋_GB2312" w:cs="仿宋_GB2312"/>
                <w:sz w:val="24"/>
                <w:szCs w:val="24"/>
              </w:rPr>
            </w:pPr>
            <w:r>
              <w:rPr>
                <w:rFonts w:hint="eastAsia" w:cs="仿宋_GB2312"/>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810" w:type="dxa"/>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255"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sz w:val="24"/>
                <w:szCs w:val="24"/>
              </w:rPr>
            </w:pPr>
          </w:p>
        </w:tc>
        <w:tc>
          <w:tcPr>
            <w:tcW w:w="1345"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ind w:firstLine="560"/>
              <w:jc w:val="center"/>
              <w:textAlignment w:val="auto"/>
              <w:rPr>
                <w:rFonts w:hint="eastAsia" w:ascii="仿宋_GB2312" w:hAnsi="仿宋_GB2312" w:eastAsia="仿宋_GB2312" w:cs="仿宋_GB2312"/>
                <w:sz w:val="24"/>
                <w:szCs w:val="24"/>
              </w:rPr>
            </w:pPr>
          </w:p>
        </w:tc>
        <w:tc>
          <w:tcPr>
            <w:tcW w:w="262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村镇建设管理履职情况</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_GB2312" w:hAnsi="仿宋_GB2312" w:eastAsia="仿宋_GB2312" w:cs="仿宋_GB2312"/>
                <w:sz w:val="24"/>
                <w:szCs w:val="24"/>
                <w:lang w:val="en-US" w:eastAsia="zh-CN"/>
              </w:rPr>
            </w:pPr>
            <w:r>
              <w:rPr>
                <w:rFonts w:hint="eastAsia" w:cs="仿宋_GB2312"/>
                <w:sz w:val="24"/>
                <w:szCs w:val="24"/>
                <w:lang w:val="en-US" w:eastAsia="zh-CN"/>
              </w:rPr>
              <w:t>6</w:t>
            </w:r>
          </w:p>
        </w:tc>
        <w:tc>
          <w:tcPr>
            <w:tcW w:w="1098"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_GB2312" w:hAnsi="仿宋_GB2312" w:eastAsia="仿宋_GB2312" w:cs="仿宋_GB2312"/>
                <w:sz w:val="24"/>
                <w:szCs w:val="24"/>
              </w:rPr>
            </w:pPr>
            <w:r>
              <w:rPr>
                <w:rFonts w:hint="eastAsia" w:cs="仿宋_GB2312"/>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810" w:type="dxa"/>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255"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sz w:val="24"/>
                <w:szCs w:val="24"/>
              </w:rPr>
            </w:pPr>
          </w:p>
        </w:tc>
        <w:tc>
          <w:tcPr>
            <w:tcW w:w="1345"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sz w:val="24"/>
                <w:szCs w:val="24"/>
              </w:rPr>
            </w:pPr>
          </w:p>
        </w:tc>
        <w:tc>
          <w:tcPr>
            <w:tcW w:w="262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房地产业管理履职情况</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_GB2312" w:hAnsi="仿宋_GB2312" w:eastAsia="仿宋_GB2312" w:cs="仿宋_GB2312"/>
                <w:sz w:val="24"/>
                <w:szCs w:val="24"/>
                <w:lang w:val="en-US" w:eastAsia="zh-CN"/>
              </w:rPr>
            </w:pPr>
            <w:r>
              <w:rPr>
                <w:rFonts w:hint="eastAsia" w:cs="仿宋_GB2312"/>
                <w:sz w:val="24"/>
                <w:szCs w:val="24"/>
                <w:lang w:val="en-US" w:eastAsia="zh-CN"/>
              </w:rPr>
              <w:t>3</w:t>
            </w:r>
          </w:p>
        </w:tc>
        <w:tc>
          <w:tcPr>
            <w:tcW w:w="1098"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_GB2312" w:hAnsi="仿宋_GB2312" w:eastAsia="仿宋_GB2312" w:cs="仿宋_GB2312"/>
                <w:sz w:val="24"/>
                <w:szCs w:val="24"/>
              </w:rPr>
            </w:pPr>
            <w:r>
              <w:rPr>
                <w:rFonts w:hint="eastAsia" w:cs="仿宋_GB2312"/>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810" w:type="dxa"/>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255"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sz w:val="24"/>
                <w:szCs w:val="24"/>
              </w:rPr>
            </w:pPr>
          </w:p>
        </w:tc>
        <w:tc>
          <w:tcPr>
            <w:tcW w:w="1345"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ind w:firstLine="560"/>
              <w:jc w:val="center"/>
              <w:textAlignment w:val="auto"/>
              <w:rPr>
                <w:rFonts w:hint="eastAsia" w:ascii="仿宋_GB2312" w:hAnsi="仿宋_GB2312" w:eastAsia="仿宋_GB2312" w:cs="仿宋_GB2312"/>
                <w:sz w:val="24"/>
                <w:szCs w:val="24"/>
              </w:rPr>
            </w:pPr>
          </w:p>
        </w:tc>
        <w:tc>
          <w:tcPr>
            <w:tcW w:w="262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城市建设履职情况</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sz w:val="24"/>
                <w:szCs w:val="24"/>
                <w:lang w:val="en-US" w:eastAsia="zh-CN"/>
              </w:rPr>
            </w:pPr>
            <w:r>
              <w:rPr>
                <w:rFonts w:hint="eastAsia" w:cs="仿宋_GB2312"/>
                <w:sz w:val="24"/>
                <w:szCs w:val="24"/>
                <w:lang w:val="en-US" w:eastAsia="zh-CN"/>
              </w:rPr>
              <w:t>5</w:t>
            </w:r>
          </w:p>
        </w:tc>
        <w:tc>
          <w:tcPr>
            <w:tcW w:w="1098" w:type="dxa"/>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sz w:val="24"/>
                <w:szCs w:val="24"/>
              </w:rPr>
            </w:pPr>
            <w:r>
              <w:rPr>
                <w:rFonts w:hint="eastAsia" w:cs="仿宋_GB2312"/>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810" w:type="dxa"/>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255"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sz w:val="24"/>
                <w:szCs w:val="24"/>
              </w:rPr>
            </w:pPr>
          </w:p>
        </w:tc>
        <w:tc>
          <w:tcPr>
            <w:tcW w:w="1345"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ind w:firstLine="560"/>
              <w:jc w:val="center"/>
              <w:textAlignment w:val="auto"/>
              <w:rPr>
                <w:rFonts w:hint="eastAsia" w:ascii="仿宋_GB2312" w:hAnsi="仿宋_GB2312" w:eastAsia="仿宋_GB2312" w:cs="仿宋_GB2312"/>
                <w:sz w:val="24"/>
                <w:szCs w:val="24"/>
              </w:rPr>
            </w:pPr>
          </w:p>
        </w:tc>
        <w:tc>
          <w:tcPr>
            <w:tcW w:w="262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城市管理履职情况</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_GB2312" w:hAnsi="仿宋_GB2312" w:eastAsia="仿宋_GB2312" w:cs="仿宋_GB2312"/>
                <w:sz w:val="24"/>
                <w:szCs w:val="24"/>
                <w:lang w:val="en-US" w:eastAsia="zh-CN"/>
              </w:rPr>
            </w:pPr>
            <w:r>
              <w:rPr>
                <w:rFonts w:hint="eastAsia" w:cs="仿宋_GB2312"/>
                <w:sz w:val="24"/>
                <w:szCs w:val="24"/>
                <w:lang w:val="en-US" w:eastAsia="zh-CN"/>
              </w:rPr>
              <w:t>3</w:t>
            </w:r>
          </w:p>
        </w:tc>
        <w:tc>
          <w:tcPr>
            <w:tcW w:w="1098"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_GB2312" w:hAnsi="仿宋_GB2312" w:eastAsia="仿宋_GB2312" w:cs="仿宋_GB2312"/>
                <w:sz w:val="24"/>
                <w:szCs w:val="24"/>
              </w:rPr>
            </w:pPr>
            <w:r>
              <w:rPr>
                <w:rFonts w:hint="eastAsia" w:cs="仿宋_GB2312"/>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jc w:val="center"/>
        </w:trPr>
        <w:tc>
          <w:tcPr>
            <w:tcW w:w="810" w:type="dxa"/>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255"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sz w:val="24"/>
                <w:szCs w:val="24"/>
              </w:rPr>
            </w:pPr>
          </w:p>
        </w:tc>
        <w:tc>
          <w:tcPr>
            <w:tcW w:w="1345"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ind w:firstLine="560"/>
              <w:jc w:val="center"/>
              <w:textAlignment w:val="auto"/>
              <w:rPr>
                <w:rFonts w:hint="eastAsia" w:ascii="仿宋_GB2312" w:hAnsi="仿宋_GB2312" w:eastAsia="仿宋_GB2312" w:cs="仿宋_GB2312"/>
                <w:sz w:val="24"/>
                <w:szCs w:val="24"/>
              </w:rPr>
            </w:pPr>
          </w:p>
        </w:tc>
        <w:tc>
          <w:tcPr>
            <w:tcW w:w="262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住房保障履职情况</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sz w:val="24"/>
                <w:szCs w:val="24"/>
                <w:lang w:val="en-US" w:eastAsia="zh-CN"/>
              </w:rPr>
            </w:pPr>
            <w:r>
              <w:rPr>
                <w:rFonts w:hint="eastAsia" w:cs="仿宋_GB2312"/>
                <w:sz w:val="24"/>
                <w:szCs w:val="24"/>
                <w:lang w:val="en-US" w:eastAsia="zh-CN"/>
              </w:rPr>
              <w:t>2</w:t>
            </w:r>
          </w:p>
        </w:tc>
        <w:tc>
          <w:tcPr>
            <w:tcW w:w="1098" w:type="dxa"/>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sz w:val="24"/>
                <w:szCs w:val="24"/>
              </w:rPr>
            </w:pPr>
            <w:r>
              <w:rPr>
                <w:rFonts w:hint="eastAsia" w:cs="仿宋_GB2312"/>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255"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sz w:val="24"/>
                <w:szCs w:val="24"/>
              </w:rPr>
            </w:pPr>
          </w:p>
        </w:tc>
        <w:tc>
          <w:tcPr>
            <w:tcW w:w="1345"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sz w:val="24"/>
                <w:szCs w:val="24"/>
              </w:rPr>
            </w:pPr>
          </w:p>
        </w:tc>
        <w:tc>
          <w:tcPr>
            <w:tcW w:w="262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信息宣传履职情况</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sz w:val="24"/>
                <w:szCs w:val="24"/>
                <w:lang w:val="en-US" w:eastAsia="zh-CN"/>
              </w:rPr>
            </w:pPr>
            <w:r>
              <w:rPr>
                <w:rFonts w:hint="eastAsia" w:cs="仿宋_GB2312"/>
                <w:sz w:val="24"/>
                <w:szCs w:val="24"/>
                <w:lang w:val="en-US" w:eastAsia="zh-CN"/>
              </w:rPr>
              <w:t>1</w:t>
            </w:r>
          </w:p>
        </w:tc>
        <w:tc>
          <w:tcPr>
            <w:tcW w:w="1098" w:type="dxa"/>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sz w:val="24"/>
                <w:szCs w:val="24"/>
              </w:rPr>
            </w:pPr>
            <w:r>
              <w:rPr>
                <w:rFonts w:hint="eastAsia" w:cs="仿宋_GB2312"/>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33"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firstLine="0" w:firstLineChars="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cs="仿宋_GB2312"/>
                <w:i w:val="0"/>
                <w:color w:val="000000"/>
                <w:kern w:val="0"/>
                <w:sz w:val="24"/>
                <w:szCs w:val="24"/>
                <w:u w:val="none"/>
                <w:lang w:val="en-US" w:eastAsia="zh-CN" w:bidi="ar"/>
              </w:rPr>
              <w:t>合计</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default" w:ascii="仿宋_GB2312" w:hAnsi="仿宋_GB2312" w:eastAsia="仿宋_GB2312" w:cs="仿宋_GB2312"/>
                <w:sz w:val="24"/>
                <w:szCs w:val="24"/>
                <w:lang w:val="en-US" w:eastAsia="zh-CN"/>
              </w:rPr>
            </w:pPr>
            <w:r>
              <w:rPr>
                <w:rFonts w:hint="eastAsia" w:cs="仿宋_GB2312"/>
                <w:sz w:val="24"/>
                <w:szCs w:val="24"/>
                <w:lang w:val="en-US" w:eastAsia="zh-CN"/>
              </w:rPr>
              <w:t>32</w:t>
            </w:r>
          </w:p>
        </w:tc>
        <w:tc>
          <w:tcPr>
            <w:tcW w:w="1098" w:type="dxa"/>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sz w:val="24"/>
                <w:szCs w:val="24"/>
              </w:rPr>
            </w:pPr>
            <w:r>
              <w:rPr>
                <w:rFonts w:hint="eastAsia" w:cs="仿宋_GB2312"/>
                <w:sz w:val="24"/>
                <w:szCs w:val="24"/>
                <w:lang w:val="en-US" w:eastAsia="zh-CN"/>
              </w:rPr>
              <w:t>32</w:t>
            </w:r>
          </w:p>
        </w:tc>
      </w:tr>
    </w:tbl>
    <w:p>
      <w:pPr>
        <w:rPr>
          <w:rFonts w:hint="eastAsia" w:hAnsi="仿宋_GB2312" w:cs="仿宋_GB2312"/>
          <w:szCs w:val="32"/>
          <w:lang w:val="en-US" w:eastAsia="zh-CN"/>
        </w:rPr>
      </w:pPr>
      <w:r>
        <w:rPr>
          <w:rFonts w:hint="eastAsia"/>
          <w:b/>
          <w:bCs/>
          <w:lang w:val="en-US" w:eastAsia="zh-CN"/>
        </w:rPr>
        <w:t>关于“</w:t>
      </w:r>
      <w:r>
        <w:rPr>
          <w:rFonts w:hint="eastAsia" w:ascii="仿宋_GB2312" w:hAnsi="仿宋_GB2312" w:eastAsia="仿宋_GB2312" w:cs="仿宋_GB2312"/>
          <w:b/>
          <w:bCs/>
          <w:i w:val="0"/>
          <w:color w:val="000000"/>
          <w:kern w:val="0"/>
          <w:sz w:val="28"/>
          <w:szCs w:val="28"/>
          <w:u w:val="none"/>
          <w:lang w:val="en-US" w:eastAsia="zh-CN" w:bidi="ar"/>
        </w:rPr>
        <w:t>城市建设管理履职情况</w:t>
      </w:r>
      <w:r>
        <w:rPr>
          <w:rFonts w:hint="eastAsia"/>
          <w:b/>
          <w:bCs/>
          <w:lang w:val="en-US" w:eastAsia="zh-CN"/>
        </w:rPr>
        <w:t>”指标：</w:t>
      </w:r>
      <w:r>
        <w:rPr>
          <w:rFonts w:hint="eastAsia" w:hAnsi="仿宋_GB2312" w:cs="仿宋_GB2312"/>
          <w:szCs w:val="32"/>
          <w:lang w:val="en-US" w:eastAsia="zh-CN"/>
        </w:rPr>
        <w:t>201</w:t>
      </w:r>
      <w:r>
        <w:rPr>
          <w:rFonts w:hint="eastAsia" w:cs="仿宋_GB2312"/>
          <w:szCs w:val="32"/>
          <w:lang w:val="en-US" w:eastAsia="zh-CN"/>
        </w:rPr>
        <w:t>9年城市建设管理职能</w:t>
      </w:r>
      <w:r>
        <w:rPr>
          <w:rFonts w:hint="eastAsia" w:hAnsi="仿宋_GB2312" w:cs="仿宋_GB2312"/>
          <w:szCs w:val="32"/>
          <w:lang w:val="en-US" w:eastAsia="zh-CN"/>
        </w:rPr>
        <w:t>履职情况较好，指标得分为满分</w:t>
      </w:r>
      <w:r>
        <w:rPr>
          <w:rFonts w:hint="eastAsia" w:cs="仿宋_GB2312"/>
          <w:szCs w:val="32"/>
          <w:lang w:val="en-US" w:eastAsia="zh-CN"/>
        </w:rPr>
        <w:t>6</w:t>
      </w:r>
      <w:r>
        <w:rPr>
          <w:rFonts w:hint="eastAsia" w:hAnsi="仿宋_GB2312" w:cs="仿宋_GB2312"/>
          <w:szCs w:val="32"/>
          <w:lang w:val="en-US" w:eastAsia="zh-CN"/>
        </w:rPr>
        <w:t>分，具体工作完成情况详见表5-5。</w:t>
      </w:r>
    </w:p>
    <w:p>
      <w:pPr>
        <w:pStyle w:val="5"/>
        <w:bidi w:val="0"/>
        <w:jc w:val="center"/>
        <w:rPr>
          <w:rFonts w:hint="eastAsia"/>
          <w:lang w:val="en-US" w:eastAsia="zh-CN"/>
        </w:rPr>
      </w:pPr>
      <w:r>
        <w:rPr>
          <w:rFonts w:hint="eastAsia"/>
          <w:lang w:val="en-US" w:eastAsia="zh-CN"/>
        </w:rPr>
        <w:t>表5-5：2019年山亭区住建局城市建设管理履职情况表</w:t>
      </w:r>
    </w:p>
    <w:tbl>
      <w:tblPr>
        <w:tblStyle w:val="11"/>
        <w:tblW w:w="4957" w:type="pct"/>
        <w:jc w:val="center"/>
        <w:shd w:val="clear" w:color="auto" w:fill="auto"/>
        <w:tblLayout w:type="fixed"/>
        <w:tblCellMar>
          <w:top w:w="0" w:type="dxa"/>
          <w:left w:w="0" w:type="dxa"/>
          <w:bottom w:w="0" w:type="dxa"/>
          <w:right w:w="0" w:type="dxa"/>
        </w:tblCellMar>
      </w:tblPr>
      <w:tblGrid>
        <w:gridCol w:w="594"/>
        <w:gridCol w:w="960"/>
        <w:gridCol w:w="3530"/>
        <w:gridCol w:w="3594"/>
      </w:tblGrid>
      <w:tr>
        <w:tblPrEx>
          <w:shd w:val="clear" w:color="auto" w:fill="auto"/>
          <w:tblCellMar>
            <w:top w:w="0" w:type="dxa"/>
            <w:left w:w="0" w:type="dxa"/>
            <w:bottom w:w="0" w:type="dxa"/>
            <w:right w:w="0" w:type="dxa"/>
          </w:tblCellMar>
        </w:tblPrEx>
        <w:trPr>
          <w:trHeight w:val="58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职能分类</w:t>
            </w:r>
          </w:p>
        </w:tc>
        <w:tc>
          <w:tcPr>
            <w:tcW w:w="553"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对应股室</w:t>
            </w:r>
            <w:r>
              <w:rPr>
                <w:rFonts w:hint="eastAsia" w:ascii="仿宋_GB2312" w:hAnsi="仿宋_GB2312" w:eastAsia="仿宋_GB2312" w:cs="仿宋_GB2312"/>
                <w:b/>
                <w:i w:val="0"/>
                <w:color w:val="000000"/>
                <w:kern w:val="0"/>
                <w:sz w:val="21"/>
                <w:szCs w:val="21"/>
                <w:u w:val="none"/>
                <w:lang w:val="en-US" w:eastAsia="zh-CN" w:bidi="ar"/>
              </w:rPr>
              <w:br w:type="textWrapping"/>
            </w:r>
            <w:r>
              <w:rPr>
                <w:rFonts w:hint="eastAsia" w:ascii="仿宋_GB2312" w:hAnsi="仿宋_GB2312" w:eastAsia="仿宋_GB2312" w:cs="仿宋_GB2312"/>
                <w:b/>
                <w:i w:val="0"/>
                <w:color w:val="000000"/>
                <w:kern w:val="0"/>
                <w:sz w:val="21"/>
                <w:szCs w:val="21"/>
                <w:u w:val="none"/>
                <w:lang w:val="en-US" w:eastAsia="zh-CN" w:bidi="ar"/>
              </w:rPr>
              <w:t>（单位）</w:t>
            </w:r>
          </w:p>
        </w:tc>
        <w:tc>
          <w:tcPr>
            <w:tcW w:w="2033"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年度工作目标</w:t>
            </w:r>
          </w:p>
        </w:tc>
        <w:tc>
          <w:tcPr>
            <w:tcW w:w="2070"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实际完成工作内容</w:t>
            </w:r>
          </w:p>
        </w:tc>
      </w:tr>
      <w:tr>
        <w:tblPrEx>
          <w:tblCellMar>
            <w:top w:w="0" w:type="dxa"/>
            <w:left w:w="0" w:type="dxa"/>
            <w:bottom w:w="0" w:type="dxa"/>
            <w:right w:w="0" w:type="dxa"/>
          </w:tblCellMar>
        </w:tblPrEx>
        <w:trPr>
          <w:trHeight w:val="1900"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城市建设管理</w:t>
            </w:r>
          </w:p>
        </w:tc>
        <w:tc>
          <w:tcPr>
            <w:tcW w:w="55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城市建设管理股</w:t>
            </w:r>
          </w:p>
        </w:tc>
        <w:tc>
          <w:tcPr>
            <w:tcW w:w="203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1、制定城市建设年度计划；</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2、对市政、园林、环卫等2019年新建项目，如府前中路和府前东路改造提升工程、北辛巷升级改造工程、城区亮化提升工程等进行设计阶段的跟踪及项目建设过程中的指导、检查等工作；</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3、加强城市防汛，在市城防办指导下修编《山亭区城市防汛应急预案》，积极应对台风利奇马。</w:t>
            </w:r>
          </w:p>
        </w:tc>
        <w:tc>
          <w:tcPr>
            <w:tcW w:w="207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1、制定城市建设年度计划；</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2、对市政、园林、环卫等2019年新建项目，如府前中路和府前东路改造提升工程、北辛巷升级改造工程、城区亮化提升工程等进行设计阶段的跟踪及项目建设过程中的指导、检查等工作；</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3、加强城市防汛，在市城防办指导下修编《山亭区城市防汛应急预案》，积极应对台风利奇马。</w:t>
            </w:r>
          </w:p>
        </w:tc>
      </w:tr>
    </w:tbl>
    <w:p>
      <w:pPr>
        <w:rPr>
          <w:rFonts w:hint="eastAsia" w:hAnsi="仿宋_GB2312" w:cs="仿宋_GB2312"/>
          <w:szCs w:val="32"/>
          <w:lang w:val="en-US" w:eastAsia="zh-CN"/>
        </w:rPr>
      </w:pPr>
      <w:r>
        <w:rPr>
          <w:rFonts w:hint="eastAsia"/>
          <w:b/>
          <w:bCs/>
          <w:lang w:val="en-US" w:eastAsia="zh-CN"/>
        </w:rPr>
        <w:t>关于“</w:t>
      </w:r>
      <w:r>
        <w:rPr>
          <w:rFonts w:hint="eastAsia" w:cs="仿宋_GB2312"/>
          <w:b/>
          <w:bCs/>
          <w:i w:val="0"/>
          <w:color w:val="000000"/>
          <w:kern w:val="0"/>
          <w:sz w:val="28"/>
          <w:szCs w:val="28"/>
          <w:u w:val="none"/>
          <w:lang w:val="en-US" w:eastAsia="zh-CN" w:bidi="ar"/>
        </w:rPr>
        <w:t>工程</w:t>
      </w:r>
      <w:r>
        <w:rPr>
          <w:rFonts w:hint="eastAsia" w:ascii="仿宋_GB2312" w:hAnsi="仿宋_GB2312" w:eastAsia="仿宋_GB2312" w:cs="仿宋_GB2312"/>
          <w:b/>
          <w:bCs/>
          <w:i w:val="0"/>
          <w:color w:val="000000"/>
          <w:kern w:val="0"/>
          <w:sz w:val="28"/>
          <w:szCs w:val="28"/>
          <w:u w:val="none"/>
          <w:lang w:val="en-US" w:eastAsia="zh-CN" w:bidi="ar"/>
        </w:rPr>
        <w:t>建设管理履职情况</w:t>
      </w:r>
      <w:r>
        <w:rPr>
          <w:rFonts w:hint="eastAsia"/>
          <w:b/>
          <w:bCs/>
          <w:lang w:val="en-US" w:eastAsia="zh-CN"/>
        </w:rPr>
        <w:t>”指标：</w:t>
      </w:r>
      <w:r>
        <w:rPr>
          <w:rFonts w:hint="eastAsia" w:hAnsi="仿宋_GB2312" w:cs="仿宋_GB2312"/>
          <w:szCs w:val="32"/>
          <w:lang w:val="en-US" w:eastAsia="zh-CN"/>
        </w:rPr>
        <w:t>201</w:t>
      </w:r>
      <w:r>
        <w:rPr>
          <w:rFonts w:hint="eastAsia" w:cs="仿宋_GB2312"/>
          <w:szCs w:val="32"/>
          <w:lang w:val="en-US" w:eastAsia="zh-CN"/>
        </w:rPr>
        <w:t>9年工程建设管理职能</w:t>
      </w:r>
      <w:r>
        <w:rPr>
          <w:rFonts w:hint="eastAsia" w:hAnsi="仿宋_GB2312" w:cs="仿宋_GB2312"/>
          <w:szCs w:val="32"/>
          <w:lang w:val="en-US" w:eastAsia="zh-CN"/>
        </w:rPr>
        <w:t>履职情况较好，指标得分为满分</w:t>
      </w:r>
      <w:r>
        <w:rPr>
          <w:rFonts w:hint="eastAsia" w:cs="仿宋_GB2312"/>
          <w:szCs w:val="32"/>
          <w:lang w:val="en-US" w:eastAsia="zh-CN"/>
        </w:rPr>
        <w:t>6</w:t>
      </w:r>
      <w:r>
        <w:rPr>
          <w:rFonts w:hint="eastAsia" w:hAnsi="仿宋_GB2312" w:cs="仿宋_GB2312"/>
          <w:szCs w:val="32"/>
          <w:lang w:val="en-US" w:eastAsia="zh-CN"/>
        </w:rPr>
        <w:t>分，具体工作完成情况详见表5-</w:t>
      </w:r>
      <w:r>
        <w:rPr>
          <w:rFonts w:hint="eastAsia" w:cs="仿宋_GB2312"/>
          <w:szCs w:val="32"/>
          <w:lang w:val="en-US" w:eastAsia="zh-CN"/>
        </w:rPr>
        <w:t>6</w:t>
      </w:r>
      <w:r>
        <w:rPr>
          <w:rFonts w:hint="eastAsia" w:hAnsi="仿宋_GB2312" w:cs="仿宋_GB2312"/>
          <w:szCs w:val="32"/>
          <w:lang w:val="en-US" w:eastAsia="zh-CN"/>
        </w:rPr>
        <w:t>。</w:t>
      </w:r>
    </w:p>
    <w:p>
      <w:pPr>
        <w:pStyle w:val="5"/>
        <w:bidi w:val="0"/>
        <w:jc w:val="center"/>
        <w:rPr>
          <w:rFonts w:hint="eastAsia"/>
          <w:lang w:val="en-US" w:eastAsia="zh-CN"/>
        </w:rPr>
      </w:pPr>
      <w:r>
        <w:rPr>
          <w:rFonts w:hint="eastAsia"/>
          <w:lang w:val="en-US" w:eastAsia="zh-CN"/>
        </w:rPr>
        <w:t>表5-6：2019年山亭区住建局工程建设管理履职情况表</w:t>
      </w:r>
    </w:p>
    <w:tbl>
      <w:tblPr>
        <w:tblStyle w:val="11"/>
        <w:tblW w:w="4957" w:type="pct"/>
        <w:jc w:val="center"/>
        <w:shd w:val="clear" w:color="auto" w:fill="auto"/>
        <w:tblLayout w:type="fixed"/>
        <w:tblCellMar>
          <w:top w:w="0" w:type="dxa"/>
          <w:left w:w="0" w:type="dxa"/>
          <w:bottom w:w="0" w:type="dxa"/>
          <w:right w:w="0" w:type="dxa"/>
        </w:tblCellMar>
      </w:tblPr>
      <w:tblGrid>
        <w:gridCol w:w="614"/>
        <w:gridCol w:w="960"/>
        <w:gridCol w:w="2080"/>
        <w:gridCol w:w="5023"/>
      </w:tblGrid>
      <w:tr>
        <w:tblPrEx>
          <w:tblCellMar>
            <w:top w:w="0" w:type="dxa"/>
            <w:left w:w="0" w:type="dxa"/>
            <w:bottom w:w="0" w:type="dxa"/>
            <w:right w:w="0" w:type="dxa"/>
          </w:tblCellMar>
        </w:tblPrEx>
        <w:trPr>
          <w:trHeight w:val="578" w:hRule="atLeast"/>
          <w:tblHeader/>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职能分类</w:t>
            </w:r>
          </w:p>
        </w:tc>
        <w:tc>
          <w:tcPr>
            <w:tcW w:w="553"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对应股室</w:t>
            </w:r>
            <w:r>
              <w:rPr>
                <w:rFonts w:hint="eastAsia" w:ascii="仿宋_GB2312" w:hAnsi="仿宋_GB2312" w:eastAsia="仿宋_GB2312" w:cs="仿宋_GB2312"/>
                <w:b/>
                <w:i w:val="0"/>
                <w:color w:val="000000"/>
                <w:kern w:val="0"/>
                <w:sz w:val="21"/>
                <w:szCs w:val="21"/>
                <w:u w:val="none"/>
                <w:lang w:val="en-US" w:eastAsia="zh-CN" w:bidi="ar"/>
              </w:rPr>
              <w:br w:type="textWrapping"/>
            </w:r>
            <w:r>
              <w:rPr>
                <w:rFonts w:hint="eastAsia" w:ascii="仿宋_GB2312" w:hAnsi="仿宋_GB2312" w:eastAsia="仿宋_GB2312" w:cs="仿宋_GB2312"/>
                <w:b/>
                <w:i w:val="0"/>
                <w:color w:val="000000"/>
                <w:kern w:val="0"/>
                <w:sz w:val="21"/>
                <w:szCs w:val="21"/>
                <w:u w:val="none"/>
                <w:lang w:val="en-US" w:eastAsia="zh-CN" w:bidi="ar"/>
              </w:rPr>
              <w:t>（单位）</w:t>
            </w:r>
          </w:p>
        </w:tc>
        <w:tc>
          <w:tcPr>
            <w:tcW w:w="1198"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年度工作目标</w:t>
            </w:r>
          </w:p>
        </w:tc>
        <w:tc>
          <w:tcPr>
            <w:tcW w:w="2894"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实际完成工作内容</w:t>
            </w:r>
          </w:p>
        </w:tc>
      </w:tr>
      <w:tr>
        <w:tblPrEx>
          <w:shd w:val="clear" w:color="auto" w:fill="auto"/>
          <w:tblCellMar>
            <w:top w:w="0" w:type="dxa"/>
            <w:left w:w="0" w:type="dxa"/>
            <w:bottom w:w="0" w:type="dxa"/>
            <w:right w:w="0" w:type="dxa"/>
          </w:tblCellMar>
        </w:tblPrEx>
        <w:trPr>
          <w:trHeight w:val="1900" w:hRule="atLeast"/>
          <w:jc w:val="center"/>
        </w:trPr>
        <w:tc>
          <w:tcPr>
            <w:tcW w:w="35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cs="仿宋_GB2312"/>
                <w:i w:val="0"/>
                <w:color w:val="000000"/>
                <w:kern w:val="0"/>
                <w:sz w:val="21"/>
                <w:szCs w:val="21"/>
                <w:u w:val="none"/>
                <w:lang w:val="en-US" w:eastAsia="zh-CN" w:bidi="ar"/>
              </w:rPr>
              <w:t>工程</w:t>
            </w:r>
            <w:r>
              <w:rPr>
                <w:rFonts w:hint="eastAsia" w:ascii="仿宋_GB2312" w:hAnsi="仿宋_GB2312" w:eastAsia="仿宋_GB2312" w:cs="仿宋_GB2312"/>
                <w:i w:val="0"/>
                <w:color w:val="000000"/>
                <w:kern w:val="0"/>
                <w:sz w:val="21"/>
                <w:szCs w:val="21"/>
                <w:u w:val="none"/>
                <w:lang w:val="en-US" w:eastAsia="zh-CN" w:bidi="ar"/>
              </w:rPr>
              <w:t>建设管理</w:t>
            </w:r>
          </w:p>
        </w:tc>
        <w:tc>
          <w:tcPr>
            <w:tcW w:w="55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cs="仿宋_GB2312"/>
                <w:i w:val="0"/>
                <w:color w:val="000000"/>
                <w:kern w:val="0"/>
                <w:sz w:val="21"/>
                <w:szCs w:val="21"/>
                <w:u w:val="none"/>
                <w:lang w:val="en-US" w:eastAsia="zh-CN" w:bidi="ar"/>
              </w:rPr>
              <w:t>工程</w:t>
            </w:r>
            <w:r>
              <w:rPr>
                <w:rFonts w:hint="eastAsia" w:ascii="仿宋_GB2312" w:hAnsi="仿宋_GB2312" w:eastAsia="仿宋_GB2312" w:cs="仿宋_GB2312"/>
                <w:i w:val="0"/>
                <w:color w:val="000000"/>
                <w:kern w:val="0"/>
                <w:sz w:val="21"/>
                <w:szCs w:val="21"/>
                <w:u w:val="none"/>
                <w:lang w:val="en-US" w:eastAsia="zh-CN" w:bidi="ar"/>
              </w:rPr>
              <w:t>建设管理股</w:t>
            </w:r>
          </w:p>
        </w:tc>
        <w:tc>
          <w:tcPr>
            <w:tcW w:w="119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1、实施工程施工图和设计文件的审查报审；</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2、建筑安装、建筑装饰类施工企业的资质初审和上报工作；</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3、监督建筑工程招标投标；</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4、组织开展百日专项整治行动；</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5、开展城区建设扬尘治理集中行动；</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6、创建国家卫生城检查；</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7、深入整顿规范建筑市场秩序，开展建筑业企业动态考核管理工作；</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8、实施施工企业养老保障金返还清理工作；</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9、推进建筑节能、绿色建筑与装配式建筑工作；</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10、职工培训；</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11、清理拖欠民工工资问题。</w:t>
            </w:r>
          </w:p>
        </w:tc>
        <w:tc>
          <w:tcPr>
            <w:tcW w:w="289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1、紧紧围绕“放管服”工作，从2019年3月起开通了图纸审查电子审查系统，合并了抗震、消防专项审查，实现了只跑一次腿的服务；</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2、年内新增加建筑施工总承包施工企业1家，专业承包企业3家，新申报企业资质增项2家，专业承包企业升级1家，2019年1-4月份共审核发放了《建筑工程施工许可证》项目4个；</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3、监督建筑工程招投标8项，完成交易监督额5.5亿元；</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组织开展了百日专项整治行动，对全区建筑工程施工现场进行了专项检查，春季复工、两节及十九大期间、夏季高温汛期、上合组织峰会、安全生产月期间执法综合大检查11次，以及“打非治违”、消防专项、“大快严”集中行动、“危大工程”百日专项整治行动、建筑施工安全治理行动等专项大检查40次；</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成立了全区开展城区建设扬尘治理集中行动领导小组，对全区房屋建筑工程施工工地进行了深入调查摸底，列出房屋建筑施工工程项目清单，建立了扬尘污染源台帐，和城管局、质监站、开发办联合检查10次，其他专项检查13次；</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积极抓好国家卫生城市创建工作，要求施工现场严格按照创建卫生城要求进行整改和落实，先后开展了9次检查，城区14个房屋建筑施工现场已按照《建筑工地施工现场环境与卫生标准》的要求进行整改和落实，设立卫生宣传标牌和健康教育宣传，建立健全的卫生管理制度，设置防“四害”措施，，施工现场达到了创建文明城的要求；</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7、组织开展建筑业企业动态考核管理工作，加强企业特殊作业人员、安全三类人员、关键岗位等人员的继续教育和培训工作，满足企业发展的需要；</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8、全面停止主管部门代收代支建筑企业养老保障金。对往年未返还的养老保障金全面清理排查，并在政府网站和新闻媒体公开公告，累计支付1218.57万元，并已全部返还清理完成；</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9、大力发展高星级绿色建筑，2019年在建绿色建筑面积约100万平方米；</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10、积极组织参加市局安排组织的特殊作业人员、安全三类人员、关键岗位人员培训350余人，提高建安企业技术人员的业务知识和管理水平，上半年35人次通过二级建造师考试，提高了建筑业从业人员技术水平和整体素质；</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在春节前联合区劳动部门对在建项目的农民工工资发放情况开展了检查，截止2019年底协调解决了5起拖欠农民工工资上访问题，协调解决拖欠工资530余万元，上访起数下降了10%，收缴农民工工资保证金1912余万元，同时对工资保证金缴纳采取了差别化管理，对连续两年没有拖欠农民工工资的企业进行了公示并记入良好信用平台，1家施工企业免缴工资保证金，2家施工企业减半收取工资保证金，2019年共减缴707.35万元。</w:t>
            </w:r>
          </w:p>
        </w:tc>
      </w:tr>
    </w:tbl>
    <w:p>
      <w:pPr>
        <w:rPr>
          <w:rFonts w:hint="eastAsia" w:hAnsi="仿宋_GB2312" w:cs="仿宋_GB2312"/>
          <w:szCs w:val="32"/>
          <w:lang w:val="en-US" w:eastAsia="zh-CN"/>
        </w:rPr>
      </w:pPr>
      <w:r>
        <w:rPr>
          <w:rFonts w:hint="eastAsia"/>
          <w:b/>
          <w:bCs/>
          <w:lang w:val="en-US" w:eastAsia="zh-CN"/>
        </w:rPr>
        <w:t>关于“村镇</w:t>
      </w:r>
      <w:r>
        <w:rPr>
          <w:rFonts w:hint="eastAsia" w:ascii="仿宋_GB2312" w:hAnsi="仿宋_GB2312" w:eastAsia="仿宋_GB2312" w:cs="仿宋_GB2312"/>
          <w:b/>
          <w:bCs/>
          <w:i w:val="0"/>
          <w:color w:val="000000"/>
          <w:kern w:val="0"/>
          <w:sz w:val="28"/>
          <w:szCs w:val="28"/>
          <w:u w:val="none"/>
          <w:lang w:val="en-US" w:eastAsia="zh-CN" w:bidi="ar"/>
        </w:rPr>
        <w:t>建设管理履职情况</w:t>
      </w:r>
      <w:r>
        <w:rPr>
          <w:rFonts w:hint="eastAsia"/>
          <w:b/>
          <w:bCs/>
          <w:lang w:val="en-US" w:eastAsia="zh-CN"/>
        </w:rPr>
        <w:t>”指标：</w:t>
      </w:r>
      <w:r>
        <w:rPr>
          <w:rFonts w:hint="eastAsia" w:hAnsi="仿宋_GB2312" w:cs="仿宋_GB2312"/>
          <w:szCs w:val="32"/>
          <w:lang w:val="en-US" w:eastAsia="zh-CN"/>
        </w:rPr>
        <w:t>201</w:t>
      </w:r>
      <w:r>
        <w:rPr>
          <w:rFonts w:hint="eastAsia" w:cs="仿宋_GB2312"/>
          <w:szCs w:val="32"/>
          <w:lang w:val="en-US" w:eastAsia="zh-CN"/>
        </w:rPr>
        <w:t>9年城市村镇管理职能</w:t>
      </w:r>
      <w:r>
        <w:rPr>
          <w:rFonts w:hint="eastAsia" w:hAnsi="仿宋_GB2312" w:cs="仿宋_GB2312"/>
          <w:szCs w:val="32"/>
          <w:lang w:val="en-US" w:eastAsia="zh-CN"/>
        </w:rPr>
        <w:t>履职情况较好，指标得分为满分</w:t>
      </w:r>
      <w:r>
        <w:rPr>
          <w:rFonts w:hint="eastAsia" w:cs="仿宋_GB2312"/>
          <w:szCs w:val="32"/>
          <w:lang w:val="en-US" w:eastAsia="zh-CN"/>
        </w:rPr>
        <w:t>6</w:t>
      </w:r>
      <w:r>
        <w:rPr>
          <w:rFonts w:hint="eastAsia" w:hAnsi="仿宋_GB2312" w:cs="仿宋_GB2312"/>
          <w:szCs w:val="32"/>
          <w:lang w:val="en-US" w:eastAsia="zh-CN"/>
        </w:rPr>
        <w:t>分，具体工作完成情况详见表5-</w:t>
      </w:r>
      <w:r>
        <w:rPr>
          <w:rFonts w:hint="eastAsia" w:cs="仿宋_GB2312"/>
          <w:szCs w:val="32"/>
          <w:lang w:val="en-US" w:eastAsia="zh-CN"/>
        </w:rPr>
        <w:t>7</w:t>
      </w:r>
      <w:r>
        <w:rPr>
          <w:rFonts w:hint="eastAsia" w:hAnsi="仿宋_GB2312" w:cs="仿宋_GB2312"/>
          <w:szCs w:val="32"/>
          <w:lang w:val="en-US" w:eastAsia="zh-CN"/>
        </w:rPr>
        <w:t>。</w:t>
      </w:r>
    </w:p>
    <w:p>
      <w:pPr>
        <w:pStyle w:val="5"/>
        <w:bidi w:val="0"/>
        <w:jc w:val="center"/>
        <w:rPr>
          <w:rFonts w:hint="eastAsia"/>
          <w:lang w:val="en-US" w:eastAsia="zh-CN"/>
        </w:rPr>
      </w:pPr>
      <w:r>
        <w:rPr>
          <w:rFonts w:hint="eastAsia"/>
          <w:lang w:val="en-US" w:eastAsia="zh-CN"/>
        </w:rPr>
        <w:t>表5-7：2019年山亭区住建局村镇建设管理履职情况表</w:t>
      </w:r>
    </w:p>
    <w:tbl>
      <w:tblPr>
        <w:tblStyle w:val="11"/>
        <w:tblW w:w="4989" w:type="pct"/>
        <w:jc w:val="center"/>
        <w:shd w:val="clear" w:color="auto" w:fill="auto"/>
        <w:tblLayout w:type="fixed"/>
        <w:tblCellMar>
          <w:top w:w="0" w:type="dxa"/>
          <w:left w:w="0" w:type="dxa"/>
          <w:bottom w:w="0" w:type="dxa"/>
          <w:right w:w="0" w:type="dxa"/>
        </w:tblCellMar>
      </w:tblPr>
      <w:tblGrid>
        <w:gridCol w:w="594"/>
        <w:gridCol w:w="960"/>
        <w:gridCol w:w="2280"/>
        <w:gridCol w:w="4899"/>
      </w:tblGrid>
      <w:tr>
        <w:tblPrEx>
          <w:shd w:val="clear" w:color="auto" w:fill="auto"/>
          <w:tblCellMar>
            <w:top w:w="0" w:type="dxa"/>
            <w:left w:w="0" w:type="dxa"/>
            <w:bottom w:w="0" w:type="dxa"/>
            <w:right w:w="0" w:type="dxa"/>
          </w:tblCellMar>
        </w:tblPrEx>
        <w:trPr>
          <w:trHeight w:val="578" w:hRule="atLeast"/>
          <w:tblHeader/>
          <w:jc w:val="center"/>
        </w:trPr>
        <w:tc>
          <w:tcPr>
            <w:tcW w:w="340"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职能分类</w:t>
            </w:r>
          </w:p>
        </w:tc>
        <w:tc>
          <w:tcPr>
            <w:tcW w:w="549"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对应股室</w:t>
            </w:r>
            <w:r>
              <w:rPr>
                <w:rFonts w:hint="eastAsia" w:ascii="仿宋_GB2312" w:hAnsi="仿宋_GB2312" w:eastAsia="仿宋_GB2312" w:cs="仿宋_GB2312"/>
                <w:b/>
                <w:i w:val="0"/>
                <w:color w:val="000000"/>
                <w:kern w:val="0"/>
                <w:sz w:val="21"/>
                <w:szCs w:val="21"/>
                <w:u w:val="none"/>
                <w:lang w:val="en-US" w:eastAsia="zh-CN" w:bidi="ar"/>
              </w:rPr>
              <w:br w:type="textWrapping"/>
            </w:r>
            <w:r>
              <w:rPr>
                <w:rFonts w:hint="eastAsia" w:ascii="仿宋_GB2312" w:hAnsi="仿宋_GB2312" w:eastAsia="仿宋_GB2312" w:cs="仿宋_GB2312"/>
                <w:b/>
                <w:i w:val="0"/>
                <w:color w:val="000000"/>
                <w:kern w:val="0"/>
                <w:sz w:val="21"/>
                <w:szCs w:val="21"/>
                <w:u w:val="none"/>
                <w:lang w:val="en-US" w:eastAsia="zh-CN" w:bidi="ar"/>
              </w:rPr>
              <w:t>（单位）</w:t>
            </w:r>
          </w:p>
        </w:tc>
        <w:tc>
          <w:tcPr>
            <w:tcW w:w="1305"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年度工作目标</w:t>
            </w:r>
          </w:p>
        </w:tc>
        <w:tc>
          <w:tcPr>
            <w:tcW w:w="2805"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实际完成工作内容</w:t>
            </w:r>
          </w:p>
        </w:tc>
      </w:tr>
      <w:tr>
        <w:tblPrEx>
          <w:shd w:val="clear" w:color="auto" w:fill="auto"/>
          <w:tblCellMar>
            <w:top w:w="0" w:type="dxa"/>
            <w:left w:w="0" w:type="dxa"/>
            <w:bottom w:w="0" w:type="dxa"/>
            <w:right w:w="0" w:type="dxa"/>
          </w:tblCellMar>
        </w:tblPrEx>
        <w:trPr>
          <w:trHeight w:val="1620" w:hRule="atLeast"/>
          <w:jc w:val="center"/>
        </w:trPr>
        <w:tc>
          <w:tcPr>
            <w:tcW w:w="34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cs="仿宋_GB2312"/>
                <w:i w:val="0"/>
                <w:color w:val="000000"/>
                <w:kern w:val="0"/>
                <w:sz w:val="21"/>
                <w:szCs w:val="21"/>
                <w:u w:val="none"/>
                <w:lang w:val="en-US" w:eastAsia="zh-CN" w:bidi="ar"/>
              </w:rPr>
              <w:t>村镇</w:t>
            </w:r>
            <w:r>
              <w:rPr>
                <w:rFonts w:hint="eastAsia" w:ascii="仿宋_GB2312" w:hAnsi="仿宋_GB2312" w:eastAsia="仿宋_GB2312" w:cs="仿宋_GB2312"/>
                <w:i w:val="0"/>
                <w:color w:val="000000"/>
                <w:kern w:val="0"/>
                <w:sz w:val="21"/>
                <w:szCs w:val="21"/>
                <w:u w:val="none"/>
                <w:lang w:val="en-US" w:eastAsia="zh-CN" w:bidi="ar"/>
              </w:rPr>
              <w:t>建设管理</w:t>
            </w:r>
          </w:p>
        </w:tc>
        <w:tc>
          <w:tcPr>
            <w:tcW w:w="54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cs="仿宋_GB2312"/>
                <w:i w:val="0"/>
                <w:color w:val="000000"/>
                <w:kern w:val="0"/>
                <w:sz w:val="21"/>
                <w:szCs w:val="21"/>
                <w:u w:val="none"/>
                <w:lang w:val="en-US" w:eastAsia="zh-CN" w:bidi="ar"/>
              </w:rPr>
              <w:t>村镇</w:t>
            </w:r>
            <w:r>
              <w:rPr>
                <w:rFonts w:hint="eastAsia" w:ascii="仿宋_GB2312" w:hAnsi="仿宋_GB2312" w:eastAsia="仿宋_GB2312" w:cs="仿宋_GB2312"/>
                <w:i w:val="0"/>
                <w:color w:val="000000"/>
                <w:kern w:val="0"/>
                <w:sz w:val="21"/>
                <w:szCs w:val="21"/>
                <w:u w:val="none"/>
                <w:lang w:val="en-US" w:eastAsia="zh-CN" w:bidi="ar"/>
              </w:rPr>
              <w:t>建设管理股</w:t>
            </w:r>
          </w:p>
        </w:tc>
        <w:tc>
          <w:tcPr>
            <w:tcW w:w="130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1、突出农村人居环境整治，完成农厕改造任务及公厕建设任务；创建街垃圾分类示范街区，申报美丽村居试点；</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2、保障贫困户住房安全，实施危房改造；</w:t>
            </w:r>
          </w:p>
        </w:tc>
        <w:tc>
          <w:tcPr>
            <w:tcW w:w="280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1、2019年度，农厕改造任务8400户，截至12月底改造任务全部完成；</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2、加大农村公厕建设推进力度，全区300户以上自然村已建公厕63处，农村公厕普及率51.2%；</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3、积极引导镇街建设垃圾分类示范点，目前各镇创建街垃圾分类示范街区23处，安装分类站点389个；</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4、截至2019年底，全区成功申报2个省级美丽村居试点（北庄镇洪门村、冯卯镇冯卯村）和11个市级美丽村居培育试点。城头镇东岭村、冯卯镇朱元村、付庄村3村入选第五批国家级传统村落；</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5、2019年，完成市级下达我区危房改造任务145户。</w:t>
            </w:r>
          </w:p>
        </w:tc>
      </w:tr>
    </w:tbl>
    <w:p>
      <w:pPr>
        <w:rPr>
          <w:rFonts w:hint="eastAsia" w:hAnsi="仿宋_GB2312" w:cs="仿宋_GB2312"/>
          <w:szCs w:val="32"/>
          <w:lang w:val="en-US" w:eastAsia="zh-CN"/>
        </w:rPr>
      </w:pPr>
      <w:r>
        <w:rPr>
          <w:rFonts w:hint="eastAsia"/>
          <w:b/>
          <w:bCs/>
          <w:lang w:val="en-US" w:eastAsia="zh-CN"/>
        </w:rPr>
        <w:t>关于“房地产业</w:t>
      </w:r>
      <w:r>
        <w:rPr>
          <w:rFonts w:hint="eastAsia" w:ascii="仿宋_GB2312" w:hAnsi="仿宋_GB2312" w:eastAsia="仿宋_GB2312" w:cs="仿宋_GB2312"/>
          <w:b/>
          <w:bCs/>
          <w:i w:val="0"/>
          <w:color w:val="000000"/>
          <w:kern w:val="0"/>
          <w:sz w:val="28"/>
          <w:szCs w:val="28"/>
          <w:u w:val="none"/>
          <w:lang w:val="en-US" w:eastAsia="zh-CN" w:bidi="ar"/>
        </w:rPr>
        <w:t>管理履职情况</w:t>
      </w:r>
      <w:r>
        <w:rPr>
          <w:rFonts w:hint="eastAsia"/>
          <w:b/>
          <w:bCs/>
          <w:lang w:val="en-US" w:eastAsia="zh-CN"/>
        </w:rPr>
        <w:t>”指标：</w:t>
      </w:r>
      <w:r>
        <w:rPr>
          <w:rFonts w:hint="eastAsia" w:hAnsi="仿宋_GB2312" w:cs="仿宋_GB2312"/>
          <w:szCs w:val="32"/>
          <w:lang w:val="en-US" w:eastAsia="zh-CN"/>
        </w:rPr>
        <w:t>201</w:t>
      </w:r>
      <w:r>
        <w:rPr>
          <w:rFonts w:hint="eastAsia" w:cs="仿宋_GB2312"/>
          <w:szCs w:val="32"/>
          <w:lang w:val="en-US" w:eastAsia="zh-CN"/>
        </w:rPr>
        <w:t>9年房地产业管理职能</w:t>
      </w:r>
      <w:r>
        <w:rPr>
          <w:rFonts w:hint="eastAsia" w:hAnsi="仿宋_GB2312" w:cs="仿宋_GB2312"/>
          <w:szCs w:val="32"/>
          <w:lang w:val="en-US" w:eastAsia="zh-CN"/>
        </w:rPr>
        <w:t>履职情况较好，指标得分为满分</w:t>
      </w:r>
      <w:r>
        <w:rPr>
          <w:rFonts w:hint="eastAsia" w:cs="仿宋_GB2312"/>
          <w:szCs w:val="32"/>
          <w:lang w:val="en-US" w:eastAsia="zh-CN"/>
        </w:rPr>
        <w:t>3</w:t>
      </w:r>
      <w:r>
        <w:rPr>
          <w:rFonts w:hint="eastAsia" w:hAnsi="仿宋_GB2312" w:cs="仿宋_GB2312"/>
          <w:szCs w:val="32"/>
          <w:lang w:val="en-US" w:eastAsia="zh-CN"/>
        </w:rPr>
        <w:t>分，具体工作完成情况详见表5-</w:t>
      </w:r>
      <w:r>
        <w:rPr>
          <w:rFonts w:hint="eastAsia" w:cs="仿宋_GB2312"/>
          <w:szCs w:val="32"/>
          <w:lang w:val="en-US" w:eastAsia="zh-CN"/>
        </w:rPr>
        <w:t>8</w:t>
      </w:r>
      <w:r>
        <w:rPr>
          <w:rFonts w:hint="eastAsia" w:hAnsi="仿宋_GB2312" w:cs="仿宋_GB2312"/>
          <w:szCs w:val="32"/>
          <w:lang w:val="en-US" w:eastAsia="zh-CN"/>
        </w:rPr>
        <w:t>。</w:t>
      </w:r>
    </w:p>
    <w:p>
      <w:pPr>
        <w:pStyle w:val="5"/>
        <w:bidi w:val="0"/>
        <w:jc w:val="center"/>
        <w:rPr>
          <w:rFonts w:hint="eastAsia"/>
          <w:lang w:val="en-US" w:eastAsia="zh-CN"/>
        </w:rPr>
      </w:pPr>
      <w:r>
        <w:rPr>
          <w:rFonts w:hint="eastAsia"/>
          <w:lang w:val="en-US" w:eastAsia="zh-CN"/>
        </w:rPr>
        <w:t>表5-8：2019年山亭区住建局房地产业管理履职情况表</w:t>
      </w:r>
    </w:p>
    <w:tbl>
      <w:tblPr>
        <w:tblStyle w:val="11"/>
        <w:tblW w:w="4989" w:type="pct"/>
        <w:jc w:val="center"/>
        <w:shd w:val="clear" w:color="auto" w:fill="auto"/>
        <w:tblLayout w:type="fixed"/>
        <w:tblCellMar>
          <w:top w:w="0" w:type="dxa"/>
          <w:left w:w="0" w:type="dxa"/>
          <w:bottom w:w="0" w:type="dxa"/>
          <w:right w:w="0" w:type="dxa"/>
        </w:tblCellMar>
      </w:tblPr>
      <w:tblGrid>
        <w:gridCol w:w="594"/>
        <w:gridCol w:w="960"/>
        <w:gridCol w:w="2280"/>
        <w:gridCol w:w="4899"/>
      </w:tblGrid>
      <w:tr>
        <w:tblPrEx>
          <w:tblCellMar>
            <w:top w:w="0" w:type="dxa"/>
            <w:left w:w="0" w:type="dxa"/>
            <w:bottom w:w="0" w:type="dxa"/>
            <w:right w:w="0" w:type="dxa"/>
          </w:tblCellMar>
        </w:tblPrEx>
        <w:trPr>
          <w:trHeight w:val="580" w:hRule="atLeast"/>
          <w:jc w:val="center"/>
        </w:trPr>
        <w:tc>
          <w:tcPr>
            <w:tcW w:w="340"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职能分类</w:t>
            </w:r>
          </w:p>
        </w:tc>
        <w:tc>
          <w:tcPr>
            <w:tcW w:w="549"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对应股室</w:t>
            </w:r>
            <w:r>
              <w:rPr>
                <w:rFonts w:hint="eastAsia" w:ascii="仿宋_GB2312" w:hAnsi="仿宋_GB2312" w:eastAsia="仿宋_GB2312" w:cs="仿宋_GB2312"/>
                <w:b/>
                <w:i w:val="0"/>
                <w:color w:val="000000"/>
                <w:kern w:val="0"/>
                <w:sz w:val="21"/>
                <w:szCs w:val="21"/>
                <w:u w:val="none"/>
                <w:lang w:val="en-US" w:eastAsia="zh-CN" w:bidi="ar"/>
              </w:rPr>
              <w:br w:type="textWrapping"/>
            </w:r>
            <w:r>
              <w:rPr>
                <w:rFonts w:hint="eastAsia" w:ascii="仿宋_GB2312" w:hAnsi="仿宋_GB2312" w:eastAsia="仿宋_GB2312" w:cs="仿宋_GB2312"/>
                <w:b/>
                <w:i w:val="0"/>
                <w:color w:val="000000"/>
                <w:kern w:val="0"/>
                <w:sz w:val="21"/>
                <w:szCs w:val="21"/>
                <w:u w:val="none"/>
                <w:lang w:val="en-US" w:eastAsia="zh-CN" w:bidi="ar"/>
              </w:rPr>
              <w:t>（单位）</w:t>
            </w:r>
          </w:p>
        </w:tc>
        <w:tc>
          <w:tcPr>
            <w:tcW w:w="1305"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年度工作目标</w:t>
            </w:r>
          </w:p>
        </w:tc>
        <w:tc>
          <w:tcPr>
            <w:tcW w:w="2805"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实际完成工作内容</w:t>
            </w:r>
          </w:p>
        </w:tc>
      </w:tr>
      <w:tr>
        <w:tblPrEx>
          <w:shd w:val="clear" w:color="auto" w:fill="auto"/>
          <w:tblCellMar>
            <w:top w:w="0" w:type="dxa"/>
            <w:left w:w="0" w:type="dxa"/>
            <w:bottom w:w="0" w:type="dxa"/>
            <w:right w:w="0" w:type="dxa"/>
          </w:tblCellMar>
        </w:tblPrEx>
        <w:trPr>
          <w:trHeight w:val="1620" w:hRule="atLeast"/>
          <w:jc w:val="center"/>
        </w:trPr>
        <w:tc>
          <w:tcPr>
            <w:tcW w:w="34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cs="仿宋_GB2312"/>
                <w:i w:val="0"/>
                <w:color w:val="000000"/>
                <w:kern w:val="0"/>
                <w:sz w:val="21"/>
                <w:szCs w:val="21"/>
                <w:u w:val="none"/>
                <w:lang w:val="en-US" w:eastAsia="zh-CN" w:bidi="ar"/>
              </w:rPr>
              <w:t>房地产业</w:t>
            </w:r>
            <w:r>
              <w:rPr>
                <w:rFonts w:hint="eastAsia" w:ascii="仿宋_GB2312" w:hAnsi="仿宋_GB2312" w:eastAsia="仿宋_GB2312" w:cs="仿宋_GB2312"/>
                <w:i w:val="0"/>
                <w:color w:val="000000"/>
                <w:kern w:val="0"/>
                <w:sz w:val="21"/>
                <w:szCs w:val="21"/>
                <w:u w:val="none"/>
                <w:lang w:val="en-US" w:eastAsia="zh-CN" w:bidi="ar"/>
              </w:rPr>
              <w:t>管理</w:t>
            </w:r>
          </w:p>
        </w:tc>
        <w:tc>
          <w:tcPr>
            <w:tcW w:w="54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cs="仿宋_GB2312"/>
                <w:i w:val="0"/>
                <w:color w:val="000000"/>
                <w:kern w:val="0"/>
                <w:sz w:val="21"/>
                <w:szCs w:val="21"/>
                <w:u w:val="none"/>
                <w:lang w:val="en-US" w:eastAsia="zh-CN" w:bidi="ar"/>
              </w:rPr>
              <w:t>房地产业</w:t>
            </w:r>
            <w:r>
              <w:rPr>
                <w:rFonts w:hint="eastAsia" w:ascii="仿宋_GB2312" w:hAnsi="仿宋_GB2312" w:eastAsia="仿宋_GB2312" w:cs="仿宋_GB2312"/>
                <w:i w:val="0"/>
                <w:color w:val="000000"/>
                <w:kern w:val="0"/>
                <w:sz w:val="21"/>
                <w:szCs w:val="21"/>
                <w:u w:val="none"/>
                <w:lang w:val="en-US" w:eastAsia="zh-CN" w:bidi="ar"/>
              </w:rPr>
              <w:t>管理股</w:t>
            </w:r>
          </w:p>
        </w:tc>
        <w:tc>
          <w:tcPr>
            <w:tcW w:w="130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1、突出农村人居环境整治，完成农厕改造任务及公厕建设任务；创建街垃圾分类示范街区，申报美丽村居试点；</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2、保障贫困户住房安全，实施危房改造；</w:t>
            </w:r>
          </w:p>
        </w:tc>
        <w:tc>
          <w:tcPr>
            <w:tcW w:w="280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1、2019年度，农厕改造任务8400户，截至12月底改造任务全部完成；</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2、加大农村公厕建设推进力度，全区300户以上自然村已建公厕63处，农村公厕普及率51.2%；</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3、积极引导镇街建设垃圾分类示范点，目前各镇创建街垃圾分类示范街区23处，安装分类站点389个；</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4、截至2019年底，全区成功申报2个省级美丽村居试点（北庄镇洪门村、冯卯镇冯卯村）和11个市级美丽村居培育试点。城头镇东岭村、冯卯镇朱元村、付庄村3村入选第五批国家级传统村落；</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5、2019年，完成市级下达我区危房改造任务145户。</w:t>
            </w:r>
          </w:p>
        </w:tc>
      </w:tr>
    </w:tbl>
    <w:p>
      <w:pPr>
        <w:rPr>
          <w:rFonts w:hint="eastAsia" w:hAnsi="仿宋_GB2312" w:cs="仿宋_GB2312"/>
          <w:szCs w:val="32"/>
          <w:lang w:val="en-US" w:eastAsia="zh-CN"/>
        </w:rPr>
      </w:pPr>
      <w:r>
        <w:rPr>
          <w:rFonts w:hint="eastAsia"/>
          <w:b/>
          <w:bCs/>
          <w:lang w:val="en-US" w:eastAsia="zh-CN"/>
        </w:rPr>
        <w:t>关于“</w:t>
      </w:r>
      <w:r>
        <w:rPr>
          <w:rFonts w:hint="eastAsia" w:ascii="仿宋_GB2312" w:hAnsi="仿宋_GB2312" w:eastAsia="仿宋_GB2312" w:cs="仿宋_GB2312"/>
          <w:b/>
          <w:bCs/>
          <w:i w:val="0"/>
          <w:color w:val="000000"/>
          <w:kern w:val="0"/>
          <w:sz w:val="28"/>
          <w:szCs w:val="28"/>
          <w:u w:val="none"/>
          <w:lang w:val="en-US" w:eastAsia="zh-CN" w:bidi="ar"/>
        </w:rPr>
        <w:t>城市建设履职情况</w:t>
      </w:r>
      <w:r>
        <w:rPr>
          <w:rFonts w:hint="eastAsia"/>
          <w:b/>
          <w:bCs/>
          <w:lang w:val="en-US" w:eastAsia="zh-CN"/>
        </w:rPr>
        <w:t>”指标：</w:t>
      </w:r>
      <w:r>
        <w:rPr>
          <w:rFonts w:hint="eastAsia" w:hAnsi="仿宋_GB2312" w:cs="仿宋_GB2312"/>
          <w:szCs w:val="32"/>
          <w:lang w:val="en-US" w:eastAsia="zh-CN"/>
        </w:rPr>
        <w:t>201</w:t>
      </w:r>
      <w:r>
        <w:rPr>
          <w:rFonts w:hint="eastAsia" w:cs="仿宋_GB2312"/>
          <w:szCs w:val="32"/>
          <w:lang w:val="en-US" w:eastAsia="zh-CN"/>
        </w:rPr>
        <w:t>9年城市建设职能</w:t>
      </w:r>
      <w:r>
        <w:rPr>
          <w:rFonts w:hint="eastAsia" w:hAnsi="仿宋_GB2312" w:cs="仿宋_GB2312"/>
          <w:szCs w:val="32"/>
          <w:lang w:val="en-US" w:eastAsia="zh-CN"/>
        </w:rPr>
        <w:t>履职情况较好，指标得分为满分</w:t>
      </w:r>
      <w:r>
        <w:rPr>
          <w:rFonts w:hint="eastAsia" w:cs="仿宋_GB2312"/>
          <w:szCs w:val="32"/>
          <w:lang w:val="en-US" w:eastAsia="zh-CN"/>
        </w:rPr>
        <w:t>5</w:t>
      </w:r>
      <w:r>
        <w:rPr>
          <w:rFonts w:hint="eastAsia" w:hAnsi="仿宋_GB2312" w:cs="仿宋_GB2312"/>
          <w:szCs w:val="32"/>
          <w:lang w:val="en-US" w:eastAsia="zh-CN"/>
        </w:rPr>
        <w:t>分，具体工作完成情况详见表5-</w:t>
      </w:r>
      <w:r>
        <w:rPr>
          <w:rFonts w:hint="eastAsia" w:cs="仿宋_GB2312"/>
          <w:szCs w:val="32"/>
          <w:lang w:val="en-US" w:eastAsia="zh-CN"/>
        </w:rPr>
        <w:t>9</w:t>
      </w:r>
      <w:r>
        <w:rPr>
          <w:rFonts w:hint="eastAsia" w:hAnsi="仿宋_GB2312" w:cs="仿宋_GB2312"/>
          <w:szCs w:val="32"/>
          <w:lang w:val="en-US" w:eastAsia="zh-CN"/>
        </w:rPr>
        <w:t>。</w:t>
      </w:r>
    </w:p>
    <w:p>
      <w:pPr>
        <w:pStyle w:val="5"/>
        <w:bidi w:val="0"/>
        <w:jc w:val="center"/>
        <w:rPr>
          <w:rFonts w:hint="eastAsia"/>
          <w:lang w:val="en-US" w:eastAsia="zh-CN"/>
        </w:rPr>
      </w:pPr>
      <w:r>
        <w:rPr>
          <w:rFonts w:hint="eastAsia"/>
          <w:lang w:val="en-US" w:eastAsia="zh-CN"/>
        </w:rPr>
        <w:t>表5-9：2019年山亭区住建局城市建设履职情况表</w:t>
      </w:r>
    </w:p>
    <w:tbl>
      <w:tblPr>
        <w:tblStyle w:val="11"/>
        <w:tblW w:w="4989" w:type="pct"/>
        <w:jc w:val="center"/>
        <w:shd w:val="clear" w:color="auto" w:fill="auto"/>
        <w:tblLayout w:type="fixed"/>
        <w:tblCellMar>
          <w:top w:w="0" w:type="dxa"/>
          <w:left w:w="0" w:type="dxa"/>
          <w:bottom w:w="0" w:type="dxa"/>
          <w:right w:w="0" w:type="dxa"/>
        </w:tblCellMar>
      </w:tblPr>
      <w:tblGrid>
        <w:gridCol w:w="594"/>
        <w:gridCol w:w="960"/>
        <w:gridCol w:w="3588"/>
        <w:gridCol w:w="3591"/>
      </w:tblGrid>
      <w:tr>
        <w:tblPrEx>
          <w:shd w:val="clear" w:color="auto" w:fill="auto"/>
        </w:tblPrEx>
        <w:trPr>
          <w:trHeight w:val="578" w:hRule="atLeast"/>
          <w:tblHeader/>
          <w:jc w:val="center"/>
        </w:trPr>
        <w:tc>
          <w:tcPr>
            <w:tcW w:w="340"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职能分类</w:t>
            </w:r>
          </w:p>
        </w:tc>
        <w:tc>
          <w:tcPr>
            <w:tcW w:w="549"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对应股室</w:t>
            </w:r>
            <w:r>
              <w:rPr>
                <w:rFonts w:hint="eastAsia" w:ascii="仿宋_GB2312" w:hAnsi="仿宋_GB2312" w:eastAsia="仿宋_GB2312" w:cs="仿宋_GB2312"/>
                <w:b/>
                <w:i w:val="0"/>
                <w:color w:val="000000"/>
                <w:kern w:val="0"/>
                <w:sz w:val="21"/>
                <w:szCs w:val="21"/>
                <w:u w:val="none"/>
                <w:lang w:val="en-US" w:eastAsia="zh-CN" w:bidi="ar"/>
              </w:rPr>
              <w:br w:type="textWrapping"/>
            </w:r>
            <w:r>
              <w:rPr>
                <w:rFonts w:hint="eastAsia" w:ascii="仿宋_GB2312" w:hAnsi="仿宋_GB2312" w:eastAsia="仿宋_GB2312" w:cs="仿宋_GB2312"/>
                <w:b/>
                <w:i w:val="0"/>
                <w:color w:val="000000"/>
                <w:kern w:val="0"/>
                <w:sz w:val="21"/>
                <w:szCs w:val="21"/>
                <w:u w:val="none"/>
                <w:lang w:val="en-US" w:eastAsia="zh-CN" w:bidi="ar"/>
              </w:rPr>
              <w:t>（单位）</w:t>
            </w:r>
          </w:p>
        </w:tc>
        <w:tc>
          <w:tcPr>
            <w:tcW w:w="2054"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年度工作目标</w:t>
            </w:r>
          </w:p>
        </w:tc>
        <w:tc>
          <w:tcPr>
            <w:tcW w:w="2055"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实际完成工作内容</w:t>
            </w:r>
          </w:p>
        </w:tc>
      </w:tr>
      <w:tr>
        <w:tblPrEx>
          <w:shd w:val="clear" w:color="auto" w:fill="auto"/>
          <w:tblCellMar>
            <w:top w:w="0" w:type="dxa"/>
            <w:left w:w="0" w:type="dxa"/>
            <w:bottom w:w="0" w:type="dxa"/>
            <w:right w:w="0" w:type="dxa"/>
          </w:tblCellMar>
        </w:tblPrEx>
        <w:trPr>
          <w:trHeight w:val="1620" w:hRule="atLeast"/>
          <w:jc w:val="center"/>
        </w:trPr>
        <w:tc>
          <w:tcPr>
            <w:tcW w:w="34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cs="仿宋_GB2312"/>
                <w:i w:val="0"/>
                <w:color w:val="000000"/>
                <w:kern w:val="0"/>
                <w:sz w:val="21"/>
                <w:szCs w:val="21"/>
                <w:u w:val="none"/>
                <w:lang w:val="en-US" w:eastAsia="zh-CN" w:bidi="ar"/>
              </w:rPr>
              <w:t>城市建设</w:t>
            </w:r>
            <w:r>
              <w:rPr>
                <w:rFonts w:hint="eastAsia" w:ascii="仿宋_GB2312" w:hAnsi="仿宋_GB2312" w:eastAsia="仿宋_GB2312" w:cs="仿宋_GB2312"/>
                <w:i w:val="0"/>
                <w:color w:val="000000"/>
                <w:kern w:val="0"/>
                <w:sz w:val="21"/>
                <w:szCs w:val="21"/>
                <w:u w:val="none"/>
                <w:lang w:val="en-US" w:eastAsia="zh-CN" w:bidi="ar"/>
              </w:rPr>
              <w:t>管理</w:t>
            </w:r>
          </w:p>
        </w:tc>
        <w:tc>
          <w:tcPr>
            <w:tcW w:w="54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cs="仿宋_GB2312"/>
                <w:i w:val="0"/>
                <w:color w:val="000000"/>
                <w:kern w:val="0"/>
                <w:sz w:val="21"/>
                <w:szCs w:val="21"/>
                <w:u w:val="none"/>
                <w:lang w:val="en-US" w:eastAsia="zh-CN" w:bidi="ar"/>
              </w:rPr>
              <w:t>园林管理处、环卫管理处、市政管理所</w:t>
            </w:r>
          </w:p>
        </w:tc>
        <w:tc>
          <w:tcPr>
            <w:tcW w:w="205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市政：1、实施府前中路和府前东路改造提升工程，改造路段全长2904.17米，完工率100%；2、实施完成西集镇驻地店韩路段道路配套及绿化改造工程，完工率100%；3、运河路升级改造工程，改造道路全长1000米，完工率100%；4、北辛巷升级改造工程。改造路段全长435米，完工率100%；5、实施城区亮化提升工程，完工率100%；</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园林：1、城区150多万平方米的绿化养护；2、西集绿化节点工程建设，完工率100%；</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环卫：1、完成城区的道路保洁、垃圾清运、公厕管护、垃圾处理厂运行等工作；2、更换垃圾中转站设备1套。</w:t>
            </w:r>
          </w:p>
        </w:tc>
        <w:tc>
          <w:tcPr>
            <w:tcW w:w="205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市政：1、实施府前中路和府前东路改造提升工程，改造路段全长2904.17米，完工率100%；2、实施完成西集镇驻地店韩路段道路配套及绿化改造工程，完工率100%；3、运河路升级改造工程，改造道路全长1000米，完工率100%；4、北辛巷升级改造工程。改造路段全长435米，完工率100%；5、实施城区亮化提升工程，完工率100%；</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园林：1、城区150多万平方米的绿化养护；2、西集绿化节点工程建设，完工率100%；</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环卫：1、完成城区的道路保洁、垃圾清运、公厕管护、垃圾处理厂运行等工作；2、更换垃圾中转站设备1套。</w:t>
            </w:r>
          </w:p>
        </w:tc>
      </w:tr>
    </w:tbl>
    <w:p>
      <w:pPr>
        <w:rPr>
          <w:rFonts w:hint="eastAsia" w:hAnsi="仿宋_GB2312" w:cs="仿宋_GB2312"/>
          <w:szCs w:val="32"/>
          <w:lang w:val="en-US" w:eastAsia="zh-CN"/>
        </w:rPr>
      </w:pPr>
      <w:r>
        <w:rPr>
          <w:rFonts w:hint="eastAsia"/>
          <w:b/>
          <w:bCs/>
          <w:lang w:val="en-US" w:eastAsia="zh-CN"/>
        </w:rPr>
        <w:t>关于“</w:t>
      </w:r>
      <w:r>
        <w:rPr>
          <w:rFonts w:hint="eastAsia" w:ascii="仿宋_GB2312" w:hAnsi="仿宋_GB2312" w:eastAsia="仿宋_GB2312" w:cs="仿宋_GB2312"/>
          <w:b/>
          <w:bCs/>
          <w:i w:val="0"/>
          <w:color w:val="000000"/>
          <w:kern w:val="0"/>
          <w:sz w:val="28"/>
          <w:szCs w:val="28"/>
          <w:u w:val="none"/>
          <w:lang w:val="en-US" w:eastAsia="zh-CN" w:bidi="ar"/>
        </w:rPr>
        <w:t>城市管理履职情况</w:t>
      </w:r>
      <w:r>
        <w:rPr>
          <w:rFonts w:hint="eastAsia"/>
          <w:b/>
          <w:bCs/>
          <w:lang w:val="en-US" w:eastAsia="zh-CN"/>
        </w:rPr>
        <w:t>”指标：</w:t>
      </w:r>
      <w:r>
        <w:rPr>
          <w:rFonts w:hint="eastAsia" w:hAnsi="仿宋_GB2312" w:cs="仿宋_GB2312"/>
          <w:szCs w:val="32"/>
          <w:lang w:val="en-US" w:eastAsia="zh-CN"/>
        </w:rPr>
        <w:t>201</w:t>
      </w:r>
      <w:r>
        <w:rPr>
          <w:rFonts w:hint="eastAsia" w:cs="仿宋_GB2312"/>
          <w:szCs w:val="32"/>
          <w:lang w:val="en-US" w:eastAsia="zh-CN"/>
        </w:rPr>
        <w:t>9年城市管理职能</w:t>
      </w:r>
      <w:r>
        <w:rPr>
          <w:rFonts w:hint="eastAsia" w:hAnsi="仿宋_GB2312" w:cs="仿宋_GB2312"/>
          <w:szCs w:val="32"/>
          <w:lang w:val="en-US" w:eastAsia="zh-CN"/>
        </w:rPr>
        <w:t>履职情况较好，指标得分为满分</w:t>
      </w:r>
      <w:r>
        <w:rPr>
          <w:rFonts w:hint="eastAsia" w:cs="仿宋_GB2312"/>
          <w:szCs w:val="32"/>
          <w:lang w:val="en-US" w:eastAsia="zh-CN"/>
        </w:rPr>
        <w:t>3</w:t>
      </w:r>
      <w:r>
        <w:rPr>
          <w:rFonts w:hint="eastAsia" w:hAnsi="仿宋_GB2312" w:cs="仿宋_GB2312"/>
          <w:szCs w:val="32"/>
          <w:lang w:val="en-US" w:eastAsia="zh-CN"/>
        </w:rPr>
        <w:t>分，具体工作完成情况详见表5-</w:t>
      </w:r>
      <w:r>
        <w:rPr>
          <w:rFonts w:hint="eastAsia" w:cs="仿宋_GB2312"/>
          <w:szCs w:val="32"/>
          <w:lang w:val="en-US" w:eastAsia="zh-CN"/>
        </w:rPr>
        <w:t>10</w:t>
      </w:r>
      <w:r>
        <w:rPr>
          <w:rFonts w:hint="eastAsia" w:hAnsi="仿宋_GB2312" w:cs="仿宋_GB2312"/>
          <w:szCs w:val="32"/>
          <w:lang w:val="en-US" w:eastAsia="zh-CN"/>
        </w:rPr>
        <w:t>。</w:t>
      </w:r>
    </w:p>
    <w:p>
      <w:pPr>
        <w:pStyle w:val="5"/>
        <w:bidi w:val="0"/>
        <w:jc w:val="center"/>
        <w:rPr>
          <w:rFonts w:hint="eastAsia"/>
          <w:lang w:val="en-US" w:eastAsia="zh-CN"/>
        </w:rPr>
      </w:pPr>
      <w:r>
        <w:rPr>
          <w:rFonts w:hint="eastAsia"/>
          <w:lang w:val="en-US" w:eastAsia="zh-CN"/>
        </w:rPr>
        <w:t>表5-10：2019年山亭区住建局城市管理履职情况表</w:t>
      </w:r>
    </w:p>
    <w:tbl>
      <w:tblPr>
        <w:tblStyle w:val="11"/>
        <w:tblW w:w="4989" w:type="pct"/>
        <w:jc w:val="center"/>
        <w:shd w:val="clear" w:color="auto" w:fill="auto"/>
        <w:tblLayout w:type="fixed"/>
        <w:tblCellMar>
          <w:top w:w="0" w:type="dxa"/>
          <w:left w:w="0" w:type="dxa"/>
          <w:bottom w:w="0" w:type="dxa"/>
          <w:right w:w="0" w:type="dxa"/>
        </w:tblCellMar>
      </w:tblPr>
      <w:tblGrid>
        <w:gridCol w:w="594"/>
        <w:gridCol w:w="960"/>
        <w:gridCol w:w="1658"/>
        <w:gridCol w:w="5521"/>
      </w:tblGrid>
      <w:tr>
        <w:tblPrEx>
          <w:shd w:val="clear" w:color="auto" w:fill="auto"/>
          <w:tblCellMar>
            <w:top w:w="0" w:type="dxa"/>
            <w:left w:w="0" w:type="dxa"/>
            <w:bottom w:w="0" w:type="dxa"/>
            <w:right w:w="0" w:type="dxa"/>
          </w:tblCellMar>
        </w:tblPrEx>
        <w:trPr>
          <w:trHeight w:val="580" w:hRule="atLeast"/>
          <w:jc w:val="center"/>
        </w:trPr>
        <w:tc>
          <w:tcPr>
            <w:tcW w:w="340"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职能分类</w:t>
            </w:r>
          </w:p>
        </w:tc>
        <w:tc>
          <w:tcPr>
            <w:tcW w:w="549"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对应股室</w:t>
            </w:r>
            <w:r>
              <w:rPr>
                <w:rFonts w:hint="eastAsia" w:ascii="仿宋_GB2312" w:hAnsi="仿宋_GB2312" w:eastAsia="仿宋_GB2312" w:cs="仿宋_GB2312"/>
                <w:b/>
                <w:i w:val="0"/>
                <w:color w:val="000000"/>
                <w:kern w:val="0"/>
                <w:sz w:val="21"/>
                <w:szCs w:val="21"/>
                <w:u w:val="none"/>
                <w:lang w:val="en-US" w:eastAsia="zh-CN" w:bidi="ar"/>
              </w:rPr>
              <w:br w:type="textWrapping"/>
            </w:r>
            <w:r>
              <w:rPr>
                <w:rFonts w:hint="eastAsia" w:ascii="仿宋_GB2312" w:hAnsi="仿宋_GB2312" w:eastAsia="仿宋_GB2312" w:cs="仿宋_GB2312"/>
                <w:b/>
                <w:i w:val="0"/>
                <w:color w:val="000000"/>
                <w:kern w:val="0"/>
                <w:sz w:val="21"/>
                <w:szCs w:val="21"/>
                <w:u w:val="none"/>
                <w:lang w:val="en-US" w:eastAsia="zh-CN" w:bidi="ar"/>
              </w:rPr>
              <w:t>（单位）</w:t>
            </w:r>
          </w:p>
        </w:tc>
        <w:tc>
          <w:tcPr>
            <w:tcW w:w="949"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年度工作目标</w:t>
            </w:r>
          </w:p>
        </w:tc>
        <w:tc>
          <w:tcPr>
            <w:tcW w:w="3160"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实际完成工作内容</w:t>
            </w:r>
          </w:p>
        </w:tc>
      </w:tr>
      <w:tr>
        <w:tblPrEx>
          <w:shd w:val="clear" w:color="auto" w:fill="auto"/>
          <w:tblCellMar>
            <w:top w:w="0" w:type="dxa"/>
            <w:left w:w="0" w:type="dxa"/>
            <w:bottom w:w="0" w:type="dxa"/>
            <w:right w:w="0" w:type="dxa"/>
          </w:tblCellMar>
        </w:tblPrEx>
        <w:trPr>
          <w:trHeight w:val="830" w:hRule="atLeast"/>
          <w:jc w:val="center"/>
        </w:trPr>
        <w:tc>
          <w:tcPr>
            <w:tcW w:w="34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cs="仿宋_GB2312"/>
                <w:i w:val="0"/>
                <w:color w:val="000000"/>
                <w:kern w:val="0"/>
                <w:sz w:val="21"/>
                <w:szCs w:val="21"/>
                <w:u w:val="none"/>
                <w:lang w:val="en-US" w:eastAsia="zh-CN" w:bidi="ar"/>
              </w:rPr>
              <w:t>城市</w:t>
            </w:r>
            <w:r>
              <w:rPr>
                <w:rFonts w:hint="eastAsia" w:ascii="仿宋_GB2312" w:hAnsi="仿宋_GB2312" w:eastAsia="仿宋_GB2312" w:cs="仿宋_GB2312"/>
                <w:i w:val="0"/>
                <w:color w:val="000000"/>
                <w:kern w:val="0"/>
                <w:sz w:val="21"/>
                <w:szCs w:val="21"/>
                <w:u w:val="none"/>
                <w:lang w:val="en-US" w:eastAsia="zh-CN" w:bidi="ar"/>
              </w:rPr>
              <w:t>管理</w:t>
            </w:r>
          </w:p>
        </w:tc>
        <w:tc>
          <w:tcPr>
            <w:tcW w:w="54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z w:val="21"/>
                <w:szCs w:val="21"/>
                <w:u w:val="none"/>
              </w:rPr>
              <w:t>污水处理中心、公用事业股</w:t>
            </w:r>
          </w:p>
        </w:tc>
        <w:tc>
          <w:tcPr>
            <w:tcW w:w="94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1、监督城市生活污水处理厂正常运营，负责排水数据统计及上报；</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2、城区排水管网的巡查、维护维修；</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3、燃气管理工作；</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4、供热管理工作；</w:t>
            </w:r>
          </w:p>
        </w:tc>
        <w:tc>
          <w:tcPr>
            <w:tcW w:w="316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监督指导污水处理厂的各项工作正常运转，对污水处理各项工艺流程进行监督不定期现场检查，发现不足和问题，立即要求污水处理厂进行整改，确保污水正常处理，水质各项指标达标，合规合法对处理后的污水进行排放；</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2、对城区内新建及改造管网进行巡查及维修维护；</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3、狠抓燃气安全生产管理，督促指导燃气企业落实安全责任，提高安全防范意识；2019年共对燃气企业及站点开展监督检查、执法检查20余次，发现隐患30余条，整改率100%；</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4、完成2019至2020年采暖季供热工作；加快推进农村地区清洁取暖建设工作，2019年上级下达农村地区清洁取暖任务1575户和省级清洁取暖补助资金375.382万元，组织完成改造2502户，完成率达159%；</w:t>
            </w:r>
          </w:p>
        </w:tc>
      </w:tr>
    </w:tbl>
    <w:p>
      <w:pPr>
        <w:rPr>
          <w:rFonts w:hint="eastAsia" w:hAnsi="仿宋_GB2312" w:cs="仿宋_GB2312"/>
          <w:szCs w:val="32"/>
          <w:lang w:val="en-US" w:eastAsia="zh-CN"/>
        </w:rPr>
      </w:pPr>
      <w:r>
        <w:rPr>
          <w:rFonts w:hint="eastAsia"/>
          <w:b/>
          <w:bCs/>
          <w:lang w:val="en-US" w:eastAsia="zh-CN"/>
        </w:rPr>
        <w:t>关于“住房保障履职情况”指标：</w:t>
      </w:r>
      <w:r>
        <w:rPr>
          <w:rFonts w:hint="eastAsia" w:hAnsi="仿宋_GB2312" w:cs="仿宋_GB2312"/>
          <w:szCs w:val="32"/>
          <w:lang w:val="en-US" w:eastAsia="zh-CN"/>
        </w:rPr>
        <w:t>201</w:t>
      </w:r>
      <w:r>
        <w:rPr>
          <w:rFonts w:hint="eastAsia" w:cs="仿宋_GB2312"/>
          <w:szCs w:val="32"/>
          <w:lang w:val="en-US" w:eastAsia="zh-CN"/>
        </w:rPr>
        <w:t>9年住房保障职能</w:t>
      </w:r>
      <w:r>
        <w:rPr>
          <w:rFonts w:hint="eastAsia" w:hAnsi="仿宋_GB2312" w:cs="仿宋_GB2312"/>
          <w:szCs w:val="32"/>
          <w:lang w:val="en-US" w:eastAsia="zh-CN"/>
        </w:rPr>
        <w:t>履职情况较好，指标得分为满分</w:t>
      </w:r>
      <w:r>
        <w:rPr>
          <w:rFonts w:hint="eastAsia" w:cs="仿宋_GB2312"/>
          <w:szCs w:val="32"/>
          <w:lang w:val="en-US" w:eastAsia="zh-CN"/>
        </w:rPr>
        <w:t>2</w:t>
      </w:r>
      <w:r>
        <w:rPr>
          <w:rFonts w:hint="eastAsia" w:hAnsi="仿宋_GB2312" w:cs="仿宋_GB2312"/>
          <w:szCs w:val="32"/>
          <w:lang w:val="en-US" w:eastAsia="zh-CN"/>
        </w:rPr>
        <w:t>分，具体工作完成情况详见表5-</w:t>
      </w:r>
      <w:r>
        <w:rPr>
          <w:rFonts w:hint="eastAsia" w:cs="仿宋_GB2312"/>
          <w:szCs w:val="32"/>
          <w:lang w:val="en-US" w:eastAsia="zh-CN"/>
        </w:rPr>
        <w:t>11</w:t>
      </w:r>
      <w:r>
        <w:rPr>
          <w:rFonts w:hint="eastAsia" w:hAnsi="仿宋_GB2312" w:cs="仿宋_GB2312"/>
          <w:szCs w:val="32"/>
          <w:lang w:val="en-US" w:eastAsia="zh-CN"/>
        </w:rPr>
        <w:t>。</w:t>
      </w:r>
    </w:p>
    <w:p>
      <w:pPr>
        <w:pStyle w:val="5"/>
        <w:bidi w:val="0"/>
        <w:jc w:val="center"/>
        <w:rPr>
          <w:rFonts w:hint="eastAsia"/>
          <w:lang w:val="en-US" w:eastAsia="zh-CN"/>
        </w:rPr>
      </w:pPr>
      <w:r>
        <w:rPr>
          <w:rFonts w:hint="eastAsia"/>
          <w:lang w:val="en-US" w:eastAsia="zh-CN"/>
        </w:rPr>
        <w:t>表5-11：2019年山亭区住建局住房与保障履职情况表</w:t>
      </w:r>
    </w:p>
    <w:tbl>
      <w:tblPr>
        <w:tblStyle w:val="11"/>
        <w:tblW w:w="4989" w:type="pct"/>
        <w:jc w:val="center"/>
        <w:shd w:val="clear" w:color="auto" w:fill="auto"/>
        <w:tblLayout w:type="fixed"/>
        <w:tblCellMar>
          <w:top w:w="0" w:type="dxa"/>
          <w:left w:w="0" w:type="dxa"/>
          <w:bottom w:w="0" w:type="dxa"/>
          <w:right w:w="0" w:type="dxa"/>
        </w:tblCellMar>
      </w:tblPr>
      <w:tblGrid>
        <w:gridCol w:w="594"/>
        <w:gridCol w:w="960"/>
        <w:gridCol w:w="1708"/>
        <w:gridCol w:w="5471"/>
      </w:tblGrid>
      <w:tr>
        <w:tblPrEx>
          <w:shd w:val="clear" w:color="auto" w:fill="auto"/>
          <w:tblCellMar>
            <w:top w:w="0" w:type="dxa"/>
            <w:left w:w="0" w:type="dxa"/>
            <w:bottom w:w="0" w:type="dxa"/>
            <w:right w:w="0" w:type="dxa"/>
          </w:tblCellMar>
        </w:tblPrEx>
        <w:trPr>
          <w:trHeight w:val="578" w:hRule="atLeast"/>
          <w:tblHeader/>
          <w:jc w:val="center"/>
        </w:trPr>
        <w:tc>
          <w:tcPr>
            <w:tcW w:w="340"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职能分类</w:t>
            </w:r>
          </w:p>
        </w:tc>
        <w:tc>
          <w:tcPr>
            <w:tcW w:w="549"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对应股室</w:t>
            </w:r>
            <w:r>
              <w:rPr>
                <w:rFonts w:hint="eastAsia" w:ascii="仿宋_GB2312" w:hAnsi="仿宋_GB2312" w:eastAsia="仿宋_GB2312" w:cs="仿宋_GB2312"/>
                <w:b/>
                <w:i w:val="0"/>
                <w:color w:val="000000"/>
                <w:kern w:val="0"/>
                <w:sz w:val="21"/>
                <w:szCs w:val="21"/>
                <w:u w:val="none"/>
                <w:lang w:val="en-US" w:eastAsia="zh-CN" w:bidi="ar"/>
              </w:rPr>
              <w:br w:type="textWrapping"/>
            </w:r>
            <w:r>
              <w:rPr>
                <w:rFonts w:hint="eastAsia" w:ascii="仿宋_GB2312" w:hAnsi="仿宋_GB2312" w:eastAsia="仿宋_GB2312" w:cs="仿宋_GB2312"/>
                <w:b/>
                <w:i w:val="0"/>
                <w:color w:val="000000"/>
                <w:kern w:val="0"/>
                <w:sz w:val="21"/>
                <w:szCs w:val="21"/>
                <w:u w:val="none"/>
                <w:lang w:val="en-US" w:eastAsia="zh-CN" w:bidi="ar"/>
              </w:rPr>
              <w:t>（单位）</w:t>
            </w:r>
          </w:p>
        </w:tc>
        <w:tc>
          <w:tcPr>
            <w:tcW w:w="977"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年度工作目标</w:t>
            </w:r>
          </w:p>
        </w:tc>
        <w:tc>
          <w:tcPr>
            <w:tcW w:w="3132"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实际完成工作内容</w:t>
            </w:r>
          </w:p>
        </w:tc>
      </w:tr>
      <w:tr>
        <w:tblPrEx>
          <w:shd w:val="clear" w:color="auto" w:fill="auto"/>
          <w:tblCellMar>
            <w:top w:w="0" w:type="dxa"/>
            <w:left w:w="0" w:type="dxa"/>
            <w:bottom w:w="0" w:type="dxa"/>
            <w:right w:w="0" w:type="dxa"/>
          </w:tblCellMar>
        </w:tblPrEx>
        <w:trPr>
          <w:trHeight w:val="1620" w:hRule="atLeast"/>
          <w:jc w:val="center"/>
        </w:trPr>
        <w:tc>
          <w:tcPr>
            <w:tcW w:w="34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cs="仿宋_GB2312"/>
                <w:i w:val="0"/>
                <w:color w:val="000000"/>
                <w:kern w:val="0"/>
                <w:sz w:val="21"/>
                <w:szCs w:val="21"/>
                <w:u w:val="none"/>
                <w:lang w:val="en-US" w:eastAsia="zh-CN" w:bidi="ar"/>
              </w:rPr>
              <w:t>住房与保障</w:t>
            </w:r>
          </w:p>
        </w:tc>
        <w:tc>
          <w:tcPr>
            <w:tcW w:w="54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cs="仿宋_GB2312"/>
                <w:i w:val="0"/>
                <w:color w:val="000000"/>
                <w:kern w:val="0"/>
                <w:sz w:val="21"/>
                <w:szCs w:val="21"/>
                <w:u w:val="none"/>
                <w:lang w:val="en-US" w:eastAsia="zh-CN" w:bidi="ar"/>
              </w:rPr>
              <w:t>住房保障服务中心</w:t>
            </w:r>
          </w:p>
        </w:tc>
        <w:tc>
          <w:tcPr>
            <w:tcW w:w="97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1、受理各类住房保障申请；</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2、对樱花园、欧情豪庭公租房年度资格审核；</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3、实施享受租赁补贴家庭的年度资格审核工作；</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4、健全物业水平服务管理体系；</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5、强化住宅维修资金收取、管理和使用的监管；</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6、深入开展物业行业专项整治；</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7、创新举措推进老旧小区改造。</w:t>
            </w:r>
          </w:p>
        </w:tc>
        <w:tc>
          <w:tcPr>
            <w:tcW w:w="313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2019年以来，全区共受理各类住房保障申请100余户，其中：登记公租房申请68户，登记租赁补贴申请14户，登记经济适用房申请15户。为全面掌握申请家庭具体情况，分两批对8个乡镇42户申请家庭进行了入户调查。</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2、完成了樱花园、欧情豪庭公租房年度资格审核工作，通过对户口信息、婚姻状况、收入情况和住房情况等的审核，及时清退不符合保障条件家庭8户；</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3、完成了95户享受租赁补贴家庭的年度资格审核工作，全年共计发放租赁补贴26.1万元；</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4、健全机制，发挥基层管理职能，形成分级负责、权责明确、责任落实、运转协调、监管到位的物业服务管理体系；</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5、积极开展住宅专项维修资金收取工作，同时对我区所有交存维修资金的住宅进行信息归集、整理，升级优化信息管理系统，实现资金的账户管理细化到户；</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6、结合区住建局扫黑除恶工作安排，物业办要求物业企业进行深入广泛宣传，对辖区内重点人群进行专业检查，同时物业企业进行自查自纠，并对存在的问题积极进行整改；</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7、经过山城街道及区物业办的共同努力，对我区2005年之前建成的国有土地的小区和楼栋信息进行了详细的统计。</w:t>
            </w:r>
          </w:p>
        </w:tc>
      </w:tr>
    </w:tbl>
    <w:p>
      <w:pPr>
        <w:rPr>
          <w:rFonts w:hint="eastAsia" w:hAnsi="仿宋_GB2312" w:cs="仿宋_GB2312"/>
          <w:szCs w:val="32"/>
          <w:lang w:val="en-US" w:eastAsia="zh-CN"/>
        </w:rPr>
      </w:pPr>
      <w:r>
        <w:rPr>
          <w:rFonts w:hint="eastAsia"/>
          <w:b/>
          <w:bCs/>
          <w:lang w:val="en-US" w:eastAsia="zh-CN"/>
        </w:rPr>
        <w:t>关于“信息宣传履职情况”指标：</w:t>
      </w:r>
      <w:r>
        <w:rPr>
          <w:rFonts w:hint="eastAsia" w:hAnsi="仿宋_GB2312" w:cs="仿宋_GB2312"/>
          <w:szCs w:val="32"/>
          <w:lang w:val="en-US" w:eastAsia="zh-CN"/>
        </w:rPr>
        <w:t>201</w:t>
      </w:r>
      <w:r>
        <w:rPr>
          <w:rFonts w:hint="eastAsia" w:cs="仿宋_GB2312"/>
          <w:szCs w:val="32"/>
          <w:lang w:val="en-US" w:eastAsia="zh-CN"/>
        </w:rPr>
        <w:t>9年住房保障职能</w:t>
      </w:r>
      <w:r>
        <w:rPr>
          <w:rFonts w:hint="eastAsia" w:hAnsi="仿宋_GB2312" w:cs="仿宋_GB2312"/>
          <w:szCs w:val="32"/>
          <w:lang w:val="en-US" w:eastAsia="zh-CN"/>
        </w:rPr>
        <w:t>履职情况较好，指标得分为满分</w:t>
      </w:r>
      <w:r>
        <w:rPr>
          <w:rFonts w:hint="eastAsia" w:cs="仿宋_GB2312"/>
          <w:szCs w:val="32"/>
          <w:lang w:val="en-US" w:eastAsia="zh-CN"/>
        </w:rPr>
        <w:t>1</w:t>
      </w:r>
      <w:r>
        <w:rPr>
          <w:rFonts w:hint="eastAsia" w:hAnsi="仿宋_GB2312" w:cs="仿宋_GB2312"/>
          <w:szCs w:val="32"/>
          <w:lang w:val="en-US" w:eastAsia="zh-CN"/>
        </w:rPr>
        <w:t>分，具体工作完成情况详见表5-</w:t>
      </w:r>
      <w:r>
        <w:rPr>
          <w:rFonts w:hint="eastAsia" w:cs="仿宋_GB2312"/>
          <w:szCs w:val="32"/>
          <w:lang w:val="en-US" w:eastAsia="zh-CN"/>
        </w:rPr>
        <w:t>12</w:t>
      </w:r>
      <w:r>
        <w:rPr>
          <w:rFonts w:hint="eastAsia" w:hAnsi="仿宋_GB2312" w:cs="仿宋_GB2312"/>
          <w:szCs w:val="32"/>
          <w:lang w:val="en-US" w:eastAsia="zh-CN"/>
        </w:rPr>
        <w:t>。</w:t>
      </w:r>
    </w:p>
    <w:p>
      <w:pPr>
        <w:pStyle w:val="5"/>
        <w:bidi w:val="0"/>
        <w:jc w:val="center"/>
        <w:rPr>
          <w:rFonts w:hint="eastAsia"/>
          <w:lang w:val="en-US" w:eastAsia="zh-CN"/>
        </w:rPr>
      </w:pPr>
      <w:r>
        <w:rPr>
          <w:rFonts w:hint="eastAsia"/>
          <w:lang w:val="en-US" w:eastAsia="zh-CN"/>
        </w:rPr>
        <w:t>表5-12：2019年山亭区住建局信息宣传履职情况表</w:t>
      </w:r>
    </w:p>
    <w:tbl>
      <w:tblPr>
        <w:tblStyle w:val="11"/>
        <w:tblW w:w="4989" w:type="pct"/>
        <w:jc w:val="center"/>
        <w:shd w:val="clear" w:color="auto" w:fill="auto"/>
        <w:tblLayout w:type="fixed"/>
        <w:tblCellMar>
          <w:top w:w="0" w:type="dxa"/>
          <w:left w:w="0" w:type="dxa"/>
          <w:bottom w:w="0" w:type="dxa"/>
          <w:right w:w="0" w:type="dxa"/>
        </w:tblCellMar>
      </w:tblPr>
      <w:tblGrid>
        <w:gridCol w:w="594"/>
        <w:gridCol w:w="960"/>
        <w:gridCol w:w="1708"/>
        <w:gridCol w:w="5471"/>
      </w:tblGrid>
      <w:tr>
        <w:trPr>
          <w:trHeight w:val="578" w:hRule="atLeast"/>
          <w:tblHeader/>
          <w:jc w:val="center"/>
        </w:trPr>
        <w:tc>
          <w:tcPr>
            <w:tcW w:w="340"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职能分类</w:t>
            </w:r>
          </w:p>
        </w:tc>
        <w:tc>
          <w:tcPr>
            <w:tcW w:w="549"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对应股室</w:t>
            </w:r>
            <w:r>
              <w:rPr>
                <w:rFonts w:hint="eastAsia" w:ascii="仿宋_GB2312" w:hAnsi="仿宋_GB2312" w:eastAsia="仿宋_GB2312" w:cs="仿宋_GB2312"/>
                <w:b/>
                <w:i w:val="0"/>
                <w:color w:val="000000"/>
                <w:kern w:val="0"/>
                <w:sz w:val="21"/>
                <w:szCs w:val="21"/>
                <w:u w:val="none"/>
                <w:lang w:val="en-US" w:eastAsia="zh-CN" w:bidi="ar"/>
              </w:rPr>
              <w:br w:type="textWrapping"/>
            </w:r>
            <w:r>
              <w:rPr>
                <w:rFonts w:hint="eastAsia" w:ascii="仿宋_GB2312" w:hAnsi="仿宋_GB2312" w:eastAsia="仿宋_GB2312" w:cs="仿宋_GB2312"/>
                <w:b/>
                <w:i w:val="0"/>
                <w:color w:val="000000"/>
                <w:kern w:val="0"/>
                <w:sz w:val="21"/>
                <w:szCs w:val="21"/>
                <w:u w:val="none"/>
                <w:lang w:val="en-US" w:eastAsia="zh-CN" w:bidi="ar"/>
              </w:rPr>
              <w:t>（单位）</w:t>
            </w:r>
          </w:p>
        </w:tc>
        <w:tc>
          <w:tcPr>
            <w:tcW w:w="977"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年度工作目标</w:t>
            </w:r>
          </w:p>
        </w:tc>
        <w:tc>
          <w:tcPr>
            <w:tcW w:w="3132" w:type="pct"/>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实际完成工作内容</w:t>
            </w:r>
          </w:p>
        </w:tc>
      </w:tr>
      <w:tr>
        <w:tblPrEx>
          <w:shd w:val="clear" w:color="auto" w:fill="auto"/>
          <w:tblCellMar>
            <w:top w:w="0" w:type="dxa"/>
            <w:left w:w="0" w:type="dxa"/>
            <w:bottom w:w="0" w:type="dxa"/>
            <w:right w:w="0" w:type="dxa"/>
          </w:tblCellMar>
        </w:tblPrEx>
        <w:trPr>
          <w:trHeight w:val="1620" w:hRule="atLeast"/>
          <w:jc w:val="center"/>
        </w:trPr>
        <w:tc>
          <w:tcPr>
            <w:tcW w:w="34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cs="仿宋_GB2312"/>
                <w:i w:val="0"/>
                <w:color w:val="000000"/>
                <w:kern w:val="0"/>
                <w:sz w:val="21"/>
                <w:szCs w:val="21"/>
                <w:u w:val="none"/>
                <w:lang w:val="en-US" w:eastAsia="zh-CN" w:bidi="ar"/>
              </w:rPr>
              <w:t>住房与保障</w:t>
            </w:r>
          </w:p>
        </w:tc>
        <w:tc>
          <w:tcPr>
            <w:tcW w:w="54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cs="仿宋_GB2312"/>
                <w:i w:val="0"/>
                <w:color w:val="000000"/>
                <w:kern w:val="0"/>
                <w:sz w:val="21"/>
                <w:szCs w:val="21"/>
                <w:u w:val="none"/>
                <w:lang w:val="en-US" w:eastAsia="zh-CN" w:bidi="ar"/>
              </w:rPr>
              <w:t>住房保障服务中心</w:t>
            </w:r>
          </w:p>
        </w:tc>
        <w:tc>
          <w:tcPr>
            <w:tcW w:w="97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1、通过新闻媒体、电视、网络等渠道对外宣传项目动态、进展及先进工作经验；</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2、向区委信息室、区委区政府信息中心上报信息；</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3、起草领导讲话稿、方案、总结、报告等工作；</w:t>
            </w:r>
          </w:p>
        </w:tc>
        <w:tc>
          <w:tcPr>
            <w:tcW w:w="313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1、外宣方面：《筑就百姓幸福家园》被枣庄日报头版头条刊发，《枣庄晚报》《山亭周讯》《山亭新闻》《幸福新山亭》等媒体报道70余条；住建局头条号、微信公众号发布稿件121条，阅读量达10万余人次；</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内宣方面：区委信息室采用信息45条，情况交流1篇，受区主要领导批示2次，在2019年度区委信息考核中位居第1名；区政府信息中心采用动态信息53条，上报市政府信息19条，在2019年度区政府信息考核中位居第1名；</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其他方面：起草方案、总结、报告等公文130余篇，述职、表态、交流、汇报等领导讲话82篇，编发镇域路域简报21期。住建系统“学习强国”学习情况综合排名全区第一，荣获2019年度“学习强国”学习平台推广使用先进单位称号。</w:t>
            </w:r>
          </w:p>
        </w:tc>
      </w:tr>
    </w:tbl>
    <w:p>
      <w:pPr>
        <w:bidi w:val="0"/>
        <w:rPr>
          <w:rFonts w:hint="default"/>
          <w:lang w:val="en-US" w:eastAsia="zh-CN"/>
        </w:rPr>
      </w:pPr>
      <w:r>
        <w:rPr>
          <w:rFonts w:hint="eastAsia"/>
          <w:lang w:val="en-US" w:eastAsia="zh-CN"/>
        </w:rPr>
        <w:t>经评价工作组梳理，2019年山亭区住建局所有股室职能、在岗人数及2019年完成的主要工作内容详见附件3。</w:t>
      </w:r>
    </w:p>
    <w:p>
      <w:pPr>
        <w:pStyle w:val="4"/>
        <w:bidi w:val="0"/>
        <w:rPr>
          <w:rFonts w:hint="eastAsia"/>
          <w:lang w:val="en-US" w:eastAsia="zh-CN"/>
        </w:rPr>
      </w:pPr>
      <w:r>
        <w:rPr>
          <w:rFonts w:hint="eastAsia"/>
          <w:lang w:val="en-US" w:eastAsia="zh-CN"/>
        </w:rPr>
        <w:t>4、效果</w:t>
      </w:r>
    </w:p>
    <w:p>
      <w:pPr>
        <w:rPr>
          <w:rFonts w:hint="eastAsia" w:hAnsi="仿宋_GB2312" w:cs="仿宋_GB2312"/>
          <w:szCs w:val="32"/>
        </w:rPr>
      </w:pPr>
      <w:r>
        <w:rPr>
          <w:rFonts w:hint="eastAsia" w:hAnsi="仿宋_GB2312" w:cs="仿宋_GB2312"/>
          <w:szCs w:val="32"/>
        </w:rPr>
        <w:t>效果部分指标主要对部门履职效果及可持续性影响进行考察，包括社会效益、人力资源建设、部门工作成效，指标分值</w:t>
      </w:r>
      <w:r>
        <w:rPr>
          <w:rFonts w:hint="eastAsia" w:cs="仿宋_GB2312"/>
          <w:szCs w:val="32"/>
          <w:lang w:val="en-US" w:eastAsia="zh-CN"/>
        </w:rPr>
        <w:t>33</w:t>
      </w:r>
      <w:r>
        <w:rPr>
          <w:rFonts w:hAnsi="仿宋_GB2312" w:cs="仿宋_GB2312"/>
          <w:szCs w:val="32"/>
        </w:rPr>
        <w:t>分，实际得分</w:t>
      </w:r>
      <w:r>
        <w:rPr>
          <w:rFonts w:hint="eastAsia" w:cs="仿宋_GB2312"/>
          <w:szCs w:val="32"/>
          <w:lang w:val="en-US" w:eastAsia="zh-CN"/>
        </w:rPr>
        <w:t>31</w:t>
      </w:r>
      <w:r>
        <w:rPr>
          <w:rFonts w:hAnsi="仿宋_GB2312" w:cs="仿宋_GB2312"/>
          <w:szCs w:val="32"/>
        </w:rPr>
        <w:t>分。指标得分情况</w:t>
      </w:r>
      <w:r>
        <w:rPr>
          <w:rFonts w:hint="eastAsia" w:hAnsi="仿宋_GB2312" w:cs="仿宋_GB2312"/>
          <w:szCs w:val="32"/>
        </w:rPr>
        <w:t>详见表</w:t>
      </w:r>
      <w:r>
        <w:rPr>
          <w:rFonts w:hint="eastAsia" w:cs="仿宋_GB2312"/>
          <w:szCs w:val="32"/>
          <w:lang w:val="en-US" w:eastAsia="zh-CN"/>
        </w:rPr>
        <w:t>5-5</w:t>
      </w:r>
      <w:r>
        <w:rPr>
          <w:rFonts w:hint="eastAsia" w:hAnsi="仿宋_GB2312" w:cs="仿宋_GB2312"/>
          <w:szCs w:val="32"/>
        </w:rPr>
        <w:t>。</w:t>
      </w:r>
    </w:p>
    <w:p>
      <w:pPr>
        <w:pStyle w:val="5"/>
        <w:bidi w:val="0"/>
        <w:rPr>
          <w:rFonts w:hint="eastAsia"/>
          <w:lang w:val="en-US" w:eastAsia="zh-CN"/>
        </w:rPr>
      </w:pPr>
      <w:r>
        <w:rPr>
          <w:rFonts w:hint="eastAsia"/>
        </w:rPr>
        <w:t>表</w:t>
      </w:r>
      <w:r>
        <w:rPr>
          <w:rFonts w:hint="eastAsia"/>
          <w:lang w:val="en-US" w:eastAsia="zh-CN"/>
        </w:rPr>
        <w:t>5-5</w:t>
      </w:r>
      <w:r>
        <w:rPr>
          <w:rFonts w:hint="eastAsia"/>
        </w:rPr>
        <w:t xml:space="preserve">: </w:t>
      </w:r>
      <w:r>
        <w:rPr>
          <w:rFonts w:hint="eastAsia"/>
          <w:lang w:val="en-US" w:eastAsia="zh-CN"/>
        </w:rPr>
        <w:t>山</w:t>
      </w:r>
      <w:r>
        <w:rPr>
          <w:rFonts w:hint="eastAsia"/>
        </w:rPr>
        <w:t>亭区住建局201</w:t>
      </w:r>
      <w:r>
        <w:rPr>
          <w:rFonts w:hint="eastAsia"/>
          <w:lang w:val="en-US" w:eastAsia="zh-CN"/>
        </w:rPr>
        <w:t>9</w:t>
      </w:r>
      <w:r>
        <w:rPr>
          <w:rFonts w:hint="eastAsia"/>
        </w:rPr>
        <w:t>年部门整体支出绩效评价</w:t>
      </w:r>
      <w:r>
        <w:rPr>
          <w:rFonts w:hint="eastAsia"/>
          <w:lang w:val="en-US" w:eastAsia="zh-CN"/>
        </w:rPr>
        <w:t>效果指标得分表</w:t>
      </w:r>
    </w:p>
    <w:tbl>
      <w:tblPr>
        <w:tblStyle w:val="12"/>
        <w:tblW w:w="9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1200"/>
        <w:gridCol w:w="1233"/>
        <w:gridCol w:w="1689"/>
        <w:gridCol w:w="2666"/>
        <w:gridCol w:w="804"/>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72"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1200"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一级指标</w:t>
            </w:r>
          </w:p>
        </w:tc>
        <w:tc>
          <w:tcPr>
            <w:tcW w:w="1233"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二级指标</w:t>
            </w:r>
          </w:p>
        </w:tc>
        <w:tc>
          <w:tcPr>
            <w:tcW w:w="1689"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三级指标</w:t>
            </w:r>
          </w:p>
        </w:tc>
        <w:tc>
          <w:tcPr>
            <w:tcW w:w="2666"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四级指标</w:t>
            </w:r>
          </w:p>
        </w:tc>
        <w:tc>
          <w:tcPr>
            <w:tcW w:w="804"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分值</w:t>
            </w:r>
          </w:p>
        </w:tc>
        <w:tc>
          <w:tcPr>
            <w:tcW w:w="930" w:type="dxa"/>
            <w:shd w:val="clear" w:color="auto" w:fill="A5A5A5" w:themeFill="background1" w:themeFillShade="A6"/>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00"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效果</w:t>
            </w:r>
          </w:p>
        </w:tc>
        <w:tc>
          <w:tcPr>
            <w:tcW w:w="1233"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部门履职效果</w:t>
            </w:r>
          </w:p>
        </w:tc>
        <w:tc>
          <w:tcPr>
            <w:tcW w:w="1689"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社会效益</w:t>
            </w:r>
          </w:p>
        </w:tc>
        <w:tc>
          <w:tcPr>
            <w:tcW w:w="2666"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center"/>
              <w:textAlignment w:val="center"/>
              <w:rPr>
                <w:rFonts w:hint="default" w:ascii="仿宋_GB2312" w:hAnsi="仿宋_GB2312" w:eastAsia="仿宋_GB2312" w:cs="仿宋_GB2312"/>
                <w:sz w:val="24"/>
                <w:szCs w:val="24"/>
                <w:lang w:val="en-US"/>
              </w:rPr>
            </w:pPr>
            <w:r>
              <w:rPr>
                <w:rFonts w:hint="eastAsia" w:cs="仿宋_GB2312"/>
                <w:i w:val="0"/>
                <w:color w:val="000000"/>
                <w:kern w:val="0"/>
                <w:sz w:val="24"/>
                <w:szCs w:val="24"/>
                <w:u w:val="none"/>
                <w:lang w:val="en-US" w:eastAsia="zh-CN" w:bidi="ar"/>
              </w:rPr>
              <w:t>提升城市品质</w:t>
            </w:r>
          </w:p>
        </w:tc>
        <w:tc>
          <w:tcPr>
            <w:tcW w:w="804"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ascii="仿宋_GB2312" w:hAnsi="仿宋_GB2312" w:eastAsia="仿宋_GB2312" w:cs="仿宋_GB2312"/>
                <w:sz w:val="24"/>
                <w:szCs w:val="24"/>
                <w:lang w:val="en-US" w:eastAsia="zh-CN"/>
              </w:rPr>
            </w:pPr>
            <w:r>
              <w:rPr>
                <w:rFonts w:hint="eastAsia" w:cs="仿宋_GB2312"/>
                <w:sz w:val="24"/>
                <w:szCs w:val="24"/>
                <w:lang w:val="en-US" w:eastAsia="zh-CN"/>
              </w:rPr>
              <w:t>10</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ascii="仿宋_GB2312" w:hAnsi="仿宋_GB2312" w:eastAsia="仿宋_GB2312" w:cs="仿宋_GB2312"/>
                <w:sz w:val="24"/>
                <w:szCs w:val="24"/>
                <w:lang w:val="en-US" w:eastAsia="zh-CN"/>
              </w:rPr>
            </w:pPr>
            <w:r>
              <w:rPr>
                <w:rFonts w:hint="eastAsia" w:cs="仿宋_GB2312"/>
                <w:sz w:val="24"/>
                <w:szCs w:val="24"/>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72"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200"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p>
        </w:tc>
        <w:tc>
          <w:tcPr>
            <w:tcW w:w="1233"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p>
        </w:tc>
        <w:tc>
          <w:tcPr>
            <w:tcW w:w="1689"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p>
        </w:tc>
        <w:tc>
          <w:tcPr>
            <w:tcW w:w="2666"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center"/>
              <w:textAlignment w:val="center"/>
              <w:rPr>
                <w:rFonts w:hint="default" w:ascii="仿宋_GB2312" w:hAnsi="仿宋_GB2312" w:eastAsia="仿宋_GB2312" w:cs="仿宋_GB2312"/>
                <w:sz w:val="24"/>
                <w:szCs w:val="24"/>
                <w:lang w:val="en-US" w:eastAsia="zh-CN"/>
              </w:rPr>
            </w:pPr>
            <w:r>
              <w:rPr>
                <w:rFonts w:hint="eastAsia" w:cs="仿宋_GB2312"/>
                <w:sz w:val="24"/>
                <w:szCs w:val="24"/>
                <w:lang w:val="en-US" w:eastAsia="zh-CN"/>
              </w:rPr>
              <w:t>推动城乡一体化发展</w:t>
            </w:r>
          </w:p>
        </w:tc>
        <w:tc>
          <w:tcPr>
            <w:tcW w:w="804"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lang w:val="en-US" w:eastAsia="zh-CN"/>
              </w:rPr>
            </w:pPr>
            <w:r>
              <w:rPr>
                <w:rFonts w:hint="eastAsia" w:cs="仿宋_GB2312"/>
                <w:sz w:val="24"/>
                <w:szCs w:val="24"/>
                <w:lang w:val="en-US" w:eastAsia="zh-CN"/>
              </w:rPr>
              <w:t>6</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lang w:val="en-US" w:eastAsia="zh-CN"/>
              </w:rPr>
            </w:pPr>
            <w:r>
              <w:rPr>
                <w:rFonts w:hint="eastAsia" w:cs="仿宋_GB2312"/>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72"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200"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p>
        </w:tc>
        <w:tc>
          <w:tcPr>
            <w:tcW w:w="1233"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p>
        </w:tc>
        <w:tc>
          <w:tcPr>
            <w:tcW w:w="1689"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p>
        </w:tc>
        <w:tc>
          <w:tcPr>
            <w:tcW w:w="2666"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center"/>
              <w:textAlignment w:val="center"/>
              <w:rPr>
                <w:rFonts w:hint="default" w:ascii="仿宋_GB2312" w:hAnsi="仿宋_GB2312" w:eastAsia="仿宋_GB2312" w:cs="仿宋_GB2312"/>
                <w:sz w:val="24"/>
                <w:szCs w:val="24"/>
                <w:lang w:val="en-US"/>
              </w:rPr>
            </w:pPr>
            <w:r>
              <w:rPr>
                <w:rFonts w:hint="eastAsia" w:cs="仿宋_GB2312"/>
                <w:i w:val="0"/>
                <w:color w:val="000000"/>
                <w:kern w:val="0"/>
                <w:sz w:val="24"/>
                <w:szCs w:val="24"/>
                <w:u w:val="none"/>
                <w:lang w:val="en-US" w:eastAsia="zh-CN" w:bidi="ar"/>
              </w:rPr>
              <w:t>维护社会和谐稳定</w:t>
            </w:r>
          </w:p>
        </w:tc>
        <w:tc>
          <w:tcPr>
            <w:tcW w:w="804"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lang w:val="en-US" w:eastAsia="zh-CN"/>
              </w:rPr>
            </w:pPr>
            <w:r>
              <w:rPr>
                <w:rFonts w:hint="eastAsia" w:cs="仿宋_GB2312"/>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72"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lang w:val="en-US" w:eastAsia="zh-CN"/>
              </w:rPr>
            </w:pPr>
            <w:r>
              <w:rPr>
                <w:rFonts w:hint="eastAsia" w:cs="仿宋_GB2312"/>
                <w:sz w:val="24"/>
                <w:szCs w:val="24"/>
                <w:lang w:val="en-US" w:eastAsia="zh-CN"/>
              </w:rPr>
              <w:t>6</w:t>
            </w:r>
          </w:p>
        </w:tc>
        <w:tc>
          <w:tcPr>
            <w:tcW w:w="1200"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p>
        </w:tc>
        <w:tc>
          <w:tcPr>
            <w:tcW w:w="1233"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b/>
                <w:sz w:val="24"/>
                <w:szCs w:val="24"/>
              </w:rPr>
            </w:pPr>
          </w:p>
        </w:tc>
        <w:tc>
          <w:tcPr>
            <w:tcW w:w="1689"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生态效益</w:t>
            </w:r>
          </w:p>
        </w:tc>
        <w:tc>
          <w:tcPr>
            <w:tcW w:w="2666"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改善人居环境</w:t>
            </w:r>
          </w:p>
        </w:tc>
        <w:tc>
          <w:tcPr>
            <w:tcW w:w="804"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lang w:val="en-US" w:eastAsia="zh-CN"/>
              </w:rPr>
            </w:pPr>
            <w:r>
              <w:rPr>
                <w:rFonts w:hint="eastAsia" w:cs="仿宋_GB2312"/>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lang w:eastAsia="zh-CN"/>
              </w:rPr>
            </w:pPr>
            <w:r>
              <w:rPr>
                <w:rFonts w:hint="eastAsia" w:cs="仿宋_GB2312"/>
                <w:sz w:val="24"/>
                <w:szCs w:val="24"/>
                <w:lang w:val="en-US" w:eastAsia="zh-CN"/>
              </w:rPr>
              <w:t>7</w:t>
            </w:r>
          </w:p>
        </w:tc>
        <w:tc>
          <w:tcPr>
            <w:tcW w:w="1200"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p>
        </w:tc>
        <w:tc>
          <w:tcPr>
            <w:tcW w:w="1233"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可持续性影响</w:t>
            </w:r>
          </w:p>
        </w:tc>
        <w:tc>
          <w:tcPr>
            <w:tcW w:w="1689"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人力资源建设</w:t>
            </w:r>
          </w:p>
        </w:tc>
        <w:tc>
          <w:tcPr>
            <w:tcW w:w="2666"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部门人员培训有效性</w:t>
            </w:r>
          </w:p>
        </w:tc>
        <w:tc>
          <w:tcPr>
            <w:tcW w:w="804"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ascii="仿宋_GB2312" w:hAnsi="仿宋_GB2312" w:eastAsia="仿宋_GB2312" w:cs="仿宋_GB2312"/>
                <w:sz w:val="24"/>
                <w:szCs w:val="24"/>
                <w:lang w:val="en-US" w:eastAsia="zh-CN"/>
              </w:rPr>
            </w:pPr>
            <w:r>
              <w:rPr>
                <w:rFonts w:hint="eastAsia" w:cs="仿宋_GB2312"/>
                <w:sz w:val="24"/>
                <w:szCs w:val="24"/>
                <w:lang w:val="en-US" w:eastAsia="zh-CN"/>
              </w:rPr>
              <w:t>2</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lang w:val="en-US" w:eastAsia="zh-CN"/>
              </w:rPr>
            </w:pPr>
            <w:r>
              <w:rPr>
                <w:rFonts w:hint="eastAsia" w:cs="仿宋_GB2312"/>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lang w:eastAsia="zh-CN"/>
              </w:rPr>
            </w:pPr>
            <w:r>
              <w:rPr>
                <w:rFonts w:hint="eastAsia" w:cs="仿宋_GB2312"/>
                <w:sz w:val="24"/>
                <w:szCs w:val="24"/>
                <w:lang w:val="en-US" w:eastAsia="zh-CN"/>
              </w:rPr>
              <w:t>8</w:t>
            </w:r>
          </w:p>
        </w:tc>
        <w:tc>
          <w:tcPr>
            <w:tcW w:w="1200"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p>
        </w:tc>
        <w:tc>
          <w:tcPr>
            <w:tcW w:w="1233"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p>
        </w:tc>
        <w:tc>
          <w:tcPr>
            <w:tcW w:w="1689"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p>
        </w:tc>
        <w:tc>
          <w:tcPr>
            <w:tcW w:w="2666"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党风廉政建设情况</w:t>
            </w:r>
          </w:p>
        </w:tc>
        <w:tc>
          <w:tcPr>
            <w:tcW w:w="804"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ascii="仿宋_GB2312" w:hAnsi="仿宋_GB2312" w:eastAsia="仿宋_GB2312" w:cs="仿宋_GB2312"/>
                <w:sz w:val="24"/>
                <w:szCs w:val="24"/>
                <w:lang w:val="en-US" w:eastAsia="zh-CN"/>
              </w:rPr>
            </w:pPr>
            <w:r>
              <w:rPr>
                <w:rFonts w:hint="eastAsia" w:cs="仿宋_GB2312"/>
                <w:sz w:val="24"/>
                <w:szCs w:val="24"/>
                <w:lang w:val="en-US" w:eastAsia="zh-CN"/>
              </w:rPr>
              <w:t>1</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ascii="仿宋_GB2312" w:hAnsi="仿宋_GB2312" w:eastAsia="仿宋_GB2312" w:cs="仿宋_GB2312"/>
                <w:sz w:val="24"/>
                <w:szCs w:val="24"/>
                <w:lang w:val="en-US" w:eastAsia="zh-CN"/>
              </w:rPr>
            </w:pPr>
            <w:r>
              <w:rPr>
                <w:rFonts w:hint="eastAsia" w:cs="仿宋_GB2312"/>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lang w:eastAsia="zh-CN"/>
              </w:rPr>
            </w:pPr>
            <w:r>
              <w:rPr>
                <w:rFonts w:hint="eastAsia" w:cs="仿宋_GB2312"/>
                <w:sz w:val="24"/>
                <w:szCs w:val="24"/>
                <w:lang w:val="en-US" w:eastAsia="zh-CN"/>
              </w:rPr>
              <w:t>9</w:t>
            </w:r>
          </w:p>
        </w:tc>
        <w:tc>
          <w:tcPr>
            <w:tcW w:w="1200"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p>
        </w:tc>
        <w:tc>
          <w:tcPr>
            <w:tcW w:w="1233"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p>
        </w:tc>
        <w:tc>
          <w:tcPr>
            <w:tcW w:w="1689"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部门工作成效</w:t>
            </w:r>
          </w:p>
        </w:tc>
        <w:tc>
          <w:tcPr>
            <w:tcW w:w="2666"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w:t>
            </w:r>
          </w:p>
        </w:tc>
        <w:tc>
          <w:tcPr>
            <w:tcW w:w="804"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lang w:eastAsia="zh-CN"/>
              </w:rPr>
            </w:pPr>
            <w:r>
              <w:rPr>
                <w:rFonts w:hint="eastAsia" w:cs="仿宋_GB2312"/>
                <w:sz w:val="24"/>
                <w:szCs w:val="24"/>
                <w:lang w:val="en-US" w:eastAsia="zh-CN"/>
              </w:rPr>
              <w:t>3</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ascii="仿宋_GB2312" w:hAnsi="仿宋_GB2312" w:eastAsia="仿宋_GB2312" w:cs="仿宋_GB2312"/>
                <w:sz w:val="24"/>
                <w:szCs w:val="24"/>
                <w:lang w:val="en-US" w:eastAsia="zh-CN"/>
              </w:rPr>
            </w:pPr>
            <w:r>
              <w:rPr>
                <w:rFonts w:hint="eastAsia" w:cs="仿宋_GB2312"/>
                <w:sz w:val="24"/>
                <w:szCs w:val="24"/>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0" w:type="dxa"/>
            <w:gridSpan w:val="5"/>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合计</w:t>
            </w:r>
          </w:p>
        </w:tc>
        <w:tc>
          <w:tcPr>
            <w:tcW w:w="804"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33</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ascii="仿宋_GB2312" w:hAnsi="仿宋_GB2312" w:eastAsia="仿宋_GB2312" w:cs="仿宋_GB2312"/>
                <w:sz w:val="24"/>
                <w:szCs w:val="24"/>
                <w:lang w:val="en-US" w:eastAsia="zh-CN"/>
              </w:rPr>
            </w:pPr>
            <w:r>
              <w:rPr>
                <w:rFonts w:hint="eastAsia" w:cs="仿宋_GB2312"/>
                <w:sz w:val="24"/>
                <w:szCs w:val="24"/>
                <w:lang w:val="en-US" w:eastAsia="zh-CN"/>
              </w:rPr>
              <w:t>31</w:t>
            </w:r>
          </w:p>
        </w:tc>
      </w:tr>
    </w:tbl>
    <w:p>
      <w:pPr>
        <w:rPr>
          <w:rFonts w:hint="default" w:cs="仿宋_GB2312"/>
          <w:b w:val="0"/>
          <w:bCs w:val="0"/>
          <w:szCs w:val="32"/>
          <w:lang w:val="en-US" w:eastAsia="zh-CN"/>
        </w:rPr>
      </w:pPr>
      <w:r>
        <w:rPr>
          <w:rFonts w:hint="eastAsia" w:cs="仿宋_GB2312"/>
          <w:szCs w:val="32"/>
          <w:lang w:val="en-US" w:eastAsia="zh-CN"/>
        </w:rPr>
        <w:t>本次社会效益和生态效益指标评分主要采用专家评价打分得方式，其中</w:t>
      </w:r>
      <w:r>
        <w:rPr>
          <w:rFonts w:hint="eastAsia" w:cs="仿宋_GB2312"/>
          <w:b/>
          <w:bCs/>
          <w:szCs w:val="32"/>
          <w:lang w:val="en-US" w:eastAsia="zh-CN"/>
        </w:rPr>
        <w:t>关于“提升城市品质”指标</w:t>
      </w:r>
      <w:r>
        <w:rPr>
          <w:rFonts w:hint="eastAsia" w:cs="仿宋_GB2312"/>
          <w:szCs w:val="32"/>
          <w:lang w:val="en-US" w:eastAsia="zh-CN"/>
        </w:rPr>
        <w:t>是专家依据山亭区住建局2019年对城市建设规划、管理、具体实施情况以及城市建设获得的各种荣誉等因素进行综合评价，最终得分9.5分。</w:t>
      </w:r>
      <w:r>
        <w:rPr>
          <w:rFonts w:hint="eastAsia" w:cs="仿宋_GB2312"/>
          <w:b/>
          <w:bCs/>
          <w:szCs w:val="32"/>
          <w:lang w:val="en-US" w:eastAsia="zh-CN"/>
        </w:rPr>
        <w:t>关于“推动城乡一体化发展”指标</w:t>
      </w:r>
      <w:r>
        <w:rPr>
          <w:rFonts w:hint="eastAsia" w:cs="仿宋_GB2312"/>
          <w:szCs w:val="32"/>
          <w:lang w:val="en-US" w:eastAsia="zh-CN"/>
        </w:rPr>
        <w:t>是专家依据山亭区住建局2019年实施的城乡环卫一体化、美丽村居、危房改造等建设项目进行综合评价，最终得分6分。</w:t>
      </w:r>
      <w:r>
        <w:rPr>
          <w:rFonts w:hint="eastAsia" w:cs="仿宋_GB2312"/>
          <w:b/>
          <w:bCs/>
          <w:szCs w:val="32"/>
          <w:lang w:val="en-US" w:eastAsia="zh-CN"/>
        </w:rPr>
        <w:t>关于“维护社会和谐稳定”指标</w:t>
      </w:r>
      <w:r>
        <w:rPr>
          <w:rFonts w:hint="eastAsia" w:cs="仿宋_GB2312"/>
          <w:szCs w:val="32"/>
          <w:lang w:val="en-US" w:eastAsia="zh-CN"/>
        </w:rPr>
        <w:t>是专家依据山亭区住建局2019年通过住房保障履职情况、建筑事故发生率、住房与城乡建设相关上访率等因素进行综合评价，最终得分5分。</w:t>
      </w:r>
      <w:r>
        <w:rPr>
          <w:rFonts w:hint="eastAsia" w:cs="仿宋_GB2312"/>
          <w:b/>
          <w:bCs/>
          <w:szCs w:val="32"/>
          <w:lang w:val="en-US" w:eastAsia="zh-CN"/>
        </w:rPr>
        <w:t>关于“改善人居环境指标”</w:t>
      </w:r>
      <w:r>
        <w:rPr>
          <w:rFonts w:hint="eastAsia" w:cs="仿宋_GB2312"/>
          <w:b w:val="0"/>
          <w:bCs w:val="0"/>
          <w:szCs w:val="32"/>
          <w:lang w:val="en-US" w:eastAsia="zh-CN"/>
        </w:rPr>
        <w:t>是专家依据改善人居环境等获得的各种荣誉、奖项等因素进行综合评价，最终得分6分。</w:t>
      </w:r>
    </w:p>
    <w:p>
      <w:pPr>
        <w:rPr>
          <w:rFonts w:hint="default" w:cs="仿宋_GB2312"/>
          <w:szCs w:val="32"/>
          <w:lang w:val="en-US" w:eastAsia="zh-CN"/>
        </w:rPr>
      </w:pPr>
      <w:r>
        <w:rPr>
          <w:rFonts w:hint="eastAsia" w:cs="仿宋_GB2312"/>
          <w:b/>
          <w:bCs/>
          <w:szCs w:val="32"/>
          <w:lang w:val="en-US" w:eastAsia="zh-CN"/>
        </w:rPr>
        <w:t>关于“部门人员培训有效性”指标：</w:t>
      </w:r>
      <w:r>
        <w:rPr>
          <w:rFonts w:hint="eastAsia" w:cs="仿宋_GB2312"/>
          <w:szCs w:val="32"/>
          <w:lang w:val="en-US" w:eastAsia="zh-CN"/>
        </w:rPr>
        <w:t>通过访谈了解，部门内2019年基本未开展或参加与部门职责相关的培训项目，人力资源建设方面有待加强。根据评分标准，部门人员培训有效性”指标得1分，扣1分。</w:t>
      </w:r>
    </w:p>
    <w:p>
      <w:pPr>
        <w:rPr>
          <w:rFonts w:hint="default" w:cs="仿宋_GB2312"/>
          <w:szCs w:val="32"/>
          <w:lang w:val="en-US" w:eastAsia="zh-CN"/>
        </w:rPr>
      </w:pPr>
      <w:r>
        <w:rPr>
          <w:rFonts w:hint="eastAsia" w:cs="仿宋_GB2312"/>
          <w:b/>
          <w:bCs/>
          <w:szCs w:val="32"/>
          <w:lang w:val="en-US" w:eastAsia="zh-CN"/>
        </w:rPr>
        <w:t>关于“党风廉政建设情况”指标：</w:t>
      </w:r>
      <w:r>
        <w:rPr>
          <w:rFonts w:hint="eastAsia" w:cs="仿宋_GB2312"/>
          <w:szCs w:val="32"/>
          <w:lang w:val="en-US" w:eastAsia="zh-CN"/>
        </w:rPr>
        <w:t>2019年度部门未发生党纪政纪处分和刑事处罚，根据评分标准，“党风廉政建设情况”指标得指标满分值1分。</w:t>
      </w:r>
    </w:p>
    <w:p>
      <w:pPr>
        <w:rPr>
          <w:rFonts w:hint="eastAsia"/>
          <w:lang w:val="en-US" w:eastAsia="zh-CN"/>
        </w:rPr>
      </w:pPr>
      <w:r>
        <w:rPr>
          <w:rFonts w:hint="eastAsia" w:cs="仿宋_GB2312"/>
          <w:b/>
          <w:bCs/>
          <w:szCs w:val="32"/>
          <w:lang w:val="en-US" w:eastAsia="zh-CN"/>
        </w:rPr>
        <w:t>关于“部门工作成效”指标：</w:t>
      </w:r>
      <w:r>
        <w:rPr>
          <w:rFonts w:hint="eastAsia" w:cs="仿宋_GB2312"/>
          <w:b w:val="0"/>
          <w:bCs w:val="0"/>
          <w:szCs w:val="32"/>
          <w:lang w:val="en-US" w:eastAsia="zh-CN"/>
        </w:rPr>
        <w:t>经现场访谈及现场核查，山亭区住建局2019年大部分工作活动（项目）效益发挥的可持续性较强，但农厕改造项目后续的管护机制，包括管护人员、管护资金等条件未落实到位，可持续性影响不高。根据评分标准，“部门工作成效”指标得2.5分，扣0.5分。</w:t>
      </w:r>
    </w:p>
    <w:p>
      <w:pPr>
        <w:pStyle w:val="2"/>
        <w:bidi w:val="0"/>
        <w:rPr>
          <w:rFonts w:hint="eastAsia"/>
          <w:lang w:val="en-US" w:eastAsia="zh-CN"/>
        </w:rPr>
      </w:pPr>
      <w:bookmarkStart w:id="23" w:name="_Toc6692"/>
      <w:r>
        <w:rPr>
          <w:rFonts w:hint="eastAsia"/>
          <w:lang w:val="en-US" w:eastAsia="zh-CN"/>
        </w:rPr>
        <w:t>六、部门主要绩效</w:t>
      </w:r>
      <w:bookmarkEnd w:id="23"/>
    </w:p>
    <w:p>
      <w:pPr>
        <w:pStyle w:val="3"/>
        <w:bidi w:val="0"/>
        <w:rPr>
          <w:rFonts w:hint="default"/>
          <w:lang w:val="en-US" w:eastAsia="zh-CN"/>
        </w:rPr>
      </w:pPr>
      <w:bookmarkStart w:id="24" w:name="_Toc7214"/>
      <w:r>
        <w:rPr>
          <w:rFonts w:hint="eastAsia"/>
          <w:lang w:val="en-US" w:eastAsia="zh-CN"/>
        </w:rPr>
        <w:t>（一）工作成绩</w:t>
      </w:r>
      <w:bookmarkEnd w:id="24"/>
    </w:p>
    <w:p>
      <w:pPr>
        <w:rPr>
          <w:rFonts w:hint="eastAsia"/>
          <w:lang w:val="en-US" w:eastAsia="zh-CN"/>
        </w:rPr>
      </w:pPr>
      <w:r>
        <w:rPr>
          <w:rFonts w:hint="default"/>
          <w:lang w:val="en-US" w:eastAsia="zh-CN"/>
        </w:rPr>
        <w:t>2019年</w:t>
      </w:r>
      <w:r>
        <w:rPr>
          <w:rFonts w:hint="eastAsia"/>
          <w:lang w:val="en-US" w:eastAsia="zh-CN"/>
        </w:rPr>
        <w:t>山亭区</w:t>
      </w:r>
      <w:r>
        <w:rPr>
          <w:rFonts w:hint="default"/>
          <w:lang w:val="en-US" w:eastAsia="zh-CN"/>
        </w:rPr>
        <w:t>住建局紧紧围绕区委、区政府的决策部署，以推进城乡建设高质量发展为引领，以推进城建项目建设为重点，强化责任担当，狠抓工作落实，城市功能品质显著增强，城乡人居环境得到优化。</w:t>
      </w:r>
      <w:r>
        <w:rPr>
          <w:rFonts w:hint="eastAsia"/>
          <w:lang w:val="en-US" w:eastAsia="zh-CN"/>
        </w:rPr>
        <w:t>主要绩效表现在以下方面：</w:t>
      </w:r>
    </w:p>
    <w:p>
      <w:pPr>
        <w:pStyle w:val="4"/>
        <w:bidi w:val="0"/>
        <w:rPr>
          <w:rFonts w:hint="eastAsia"/>
          <w:lang w:val="en-US" w:eastAsia="zh-CN"/>
        </w:rPr>
      </w:pPr>
      <w:r>
        <w:rPr>
          <w:rFonts w:hint="eastAsia"/>
          <w:lang w:val="en-US" w:eastAsia="zh-CN"/>
        </w:rPr>
        <w:t>1、全面加强机关党建，持续推进从严治党</w:t>
      </w:r>
    </w:p>
    <w:p>
      <w:pPr>
        <w:rPr>
          <w:rFonts w:hint="eastAsia"/>
          <w:lang w:val="en-US" w:eastAsia="zh-CN"/>
        </w:rPr>
      </w:pPr>
      <w:r>
        <w:rPr>
          <w:rFonts w:hint="eastAsia"/>
          <w:lang w:val="en-US" w:eastAsia="zh-CN"/>
        </w:rPr>
        <w:t>一是加强政治建设。2019年召开党建交流推进会6次，党员大会2次，讲授党课2次，专题民主生活会3次。带头贯彻执行民主集中制，凡属重大问题，由集体讨论、按少数服从多数作出决定。建立党建工作巡查机制，局党建办不定期对各支部明察暗访，严肃规范党内政治生活。</w:t>
      </w:r>
    </w:p>
    <w:p>
      <w:pPr>
        <w:rPr>
          <w:rFonts w:hint="eastAsia"/>
          <w:lang w:val="en-US" w:eastAsia="zh-CN"/>
        </w:rPr>
      </w:pPr>
      <w:r>
        <w:rPr>
          <w:rFonts w:hint="eastAsia"/>
          <w:lang w:val="en-US" w:eastAsia="zh-CN"/>
        </w:rPr>
        <w:t>二是加强思想建设。带领党员领导干部到鲁南抗日民主政权纪念馆和薛城区铁道游击队纪念馆参观学习，组织机关人员观看张富清、黄文秀等时代楷模先进事迹。一年来，开展局党组理论学习中心组集中学习18次，十九届四中全会专题宣讲1次，举办各类集中学习40期3650余人次。</w:t>
      </w:r>
    </w:p>
    <w:p>
      <w:pPr>
        <w:rPr>
          <w:rFonts w:hint="eastAsia"/>
          <w:lang w:val="en-US" w:eastAsia="zh-CN"/>
        </w:rPr>
      </w:pPr>
      <w:r>
        <w:rPr>
          <w:rFonts w:hint="eastAsia"/>
          <w:lang w:val="en-US" w:eastAsia="zh-CN"/>
        </w:rPr>
        <w:t>三是加强组织建设。选举成立局机关委员会，督促班子成员履行“一岗双责”，指导各单位同步健全党的基层组织和党建工作机构。依托区委党校住建局分校平台，先后组织业务工作培训会6次。自来水公司党支部、房屋建设综合开发公司党支部分别荣获市、区先进基层党组织。</w:t>
      </w:r>
    </w:p>
    <w:p>
      <w:pPr>
        <w:rPr>
          <w:rFonts w:hint="eastAsia"/>
          <w:lang w:val="en-US" w:eastAsia="zh-CN"/>
        </w:rPr>
      </w:pPr>
      <w:r>
        <w:rPr>
          <w:rFonts w:hint="eastAsia"/>
          <w:lang w:val="en-US" w:eastAsia="zh-CN"/>
        </w:rPr>
        <w:t>四是加强作风建设。带头签订全面从严治党承诺书，在各窗口单位、科室推行首问负责制、服务承诺制等，转变干部作风，提升办事效能。企业用水报装由12日缩减至6日内办结，企业用气报装由20日缩减至10日内办结，企业用热报装由30日缩减至15日内办结。</w:t>
      </w:r>
    </w:p>
    <w:p>
      <w:pPr>
        <w:rPr>
          <w:rFonts w:hint="eastAsia"/>
          <w:lang w:val="en-US" w:eastAsia="zh-CN"/>
        </w:rPr>
      </w:pPr>
      <w:r>
        <w:rPr>
          <w:rFonts w:hint="eastAsia"/>
          <w:lang w:val="en-US" w:eastAsia="zh-CN"/>
        </w:rPr>
        <w:t>五是加强纪律建设。始终把纪律和规矩挺在前面，强化警示教育和日常监督。对系统内6名受到党纪处分的党员领导干部开展警示谈话。一年来，先后组织参观警示基地、观看廉政片、举办以案释法专题讲座13次。持续释放正风肃纪的强烈信号。</w:t>
      </w:r>
    </w:p>
    <w:p>
      <w:pPr>
        <w:pStyle w:val="4"/>
        <w:bidi w:val="0"/>
        <w:rPr>
          <w:rFonts w:hint="eastAsia"/>
          <w:lang w:val="en-US" w:eastAsia="zh-CN"/>
        </w:rPr>
      </w:pPr>
      <w:r>
        <w:rPr>
          <w:rFonts w:hint="eastAsia"/>
          <w:lang w:val="en-US" w:eastAsia="zh-CN"/>
        </w:rPr>
        <w:t>2、聚焦重点任务落实，工作成绩显著</w:t>
      </w:r>
    </w:p>
    <w:p>
      <w:pPr>
        <w:rPr>
          <w:rFonts w:hint="eastAsia"/>
          <w:lang w:val="en-US" w:eastAsia="zh-CN"/>
        </w:rPr>
      </w:pPr>
      <w:r>
        <w:rPr>
          <w:rFonts w:hint="eastAsia"/>
          <w:lang w:val="en-US" w:eastAsia="zh-CN"/>
        </w:rPr>
        <w:t>一是畅通城市路网。完成府前东路和运河路升级改造，新建林荫停车场4处，建设停车位185个；启动实施北京西路新建工程，预计2020年五一前竣工。</w:t>
      </w:r>
    </w:p>
    <w:p>
      <w:pPr>
        <w:rPr>
          <w:rFonts w:hint="eastAsia"/>
          <w:lang w:val="en-US" w:eastAsia="zh-CN"/>
        </w:rPr>
      </w:pPr>
      <w:r>
        <w:rPr>
          <w:rFonts w:hint="eastAsia"/>
          <w:lang w:val="en-US" w:eastAsia="zh-CN"/>
        </w:rPr>
        <w:t>二是实施绿化提质。实施城区公园、广场、道路节点的景观改造，栽植各类鲜花30余万株；新建12条生态街巷，推进巷道街景化建设；加大林荫路建设力度，补植法桐、白蜡、栾树800余棵；打造沈庄社区公园、青屏路社区公园2处公园游园。</w:t>
      </w:r>
    </w:p>
    <w:p>
      <w:pPr>
        <w:rPr>
          <w:rFonts w:hint="eastAsia"/>
          <w:lang w:val="en-US" w:eastAsia="zh-CN"/>
        </w:rPr>
      </w:pPr>
      <w:r>
        <w:rPr>
          <w:rFonts w:hint="eastAsia"/>
          <w:lang w:val="en-US" w:eastAsia="zh-CN"/>
        </w:rPr>
        <w:t>三是完善设施配套。启动实施翼云山水厂改造及华润用水替换项目；新建丰泽湖中水处理站，配套完善十字河污水处理站；实施3个老旧小区的供热改造，铺设管道1200余米；启动山亭区余热利用集中供热项目，改蒸汽供热为双循环水供热。</w:t>
      </w:r>
    </w:p>
    <w:p>
      <w:pPr>
        <w:rPr>
          <w:rFonts w:hint="eastAsia"/>
          <w:lang w:val="en-US" w:eastAsia="zh-CN"/>
        </w:rPr>
      </w:pPr>
      <w:r>
        <w:rPr>
          <w:rFonts w:hint="eastAsia"/>
          <w:lang w:val="en-US" w:eastAsia="zh-CN"/>
        </w:rPr>
        <w:t>四是整治环境卫生。强化环卫精细化管理，提升非机动车道、人行道冲刷力度，确保机扫率、洒水率、冲洗率不低于96%，城区清扫保洁率达到100％。推行城市生活垃圾分类, 建设垃圾分类亭40余处。</w:t>
      </w:r>
    </w:p>
    <w:p>
      <w:pPr>
        <w:rPr>
          <w:rFonts w:hint="eastAsia"/>
          <w:lang w:val="en-US" w:eastAsia="zh-CN"/>
        </w:rPr>
      </w:pPr>
      <w:r>
        <w:rPr>
          <w:rFonts w:hint="eastAsia"/>
          <w:lang w:val="en-US" w:eastAsia="zh-CN"/>
        </w:rPr>
        <w:t>五是提升夜景亮化。春节、国庆期间，高标准打造府前路、世纪大道、汉诺路亮化示范街及文化广场、紫云湖公园亮化示范片区，悬挂LED中国结191套、红灯笼114个、国旗灯60套；在道路节点、公园广场、小区和学校周围精心打造15处精神堡垒。</w:t>
      </w:r>
    </w:p>
    <w:p>
      <w:pPr>
        <w:rPr>
          <w:rFonts w:hint="eastAsia"/>
          <w:lang w:val="en-US" w:eastAsia="zh-CN"/>
        </w:rPr>
      </w:pPr>
      <w:r>
        <w:rPr>
          <w:rFonts w:hint="eastAsia"/>
          <w:lang w:val="en-US" w:eastAsia="zh-CN"/>
        </w:rPr>
        <w:t>六是强化住房保障。加强保障性住房分配使用管理，清退公租房4套；加快实施东西鲁棚改项目，一期工程1100套已于5月23日回迁安置，二期工程2500多套，目前68栋正在施工建设，30栋楼已完成主体封顶，2020年底可实现回迁。</w:t>
      </w:r>
    </w:p>
    <w:p>
      <w:pPr>
        <w:rPr>
          <w:rFonts w:hint="eastAsia"/>
          <w:lang w:val="en-US" w:eastAsia="zh-CN"/>
        </w:rPr>
      </w:pPr>
      <w:r>
        <w:rPr>
          <w:rFonts w:hint="eastAsia"/>
          <w:lang w:val="en-US" w:eastAsia="zh-CN"/>
        </w:rPr>
        <w:t>七是打造美丽村居。上半年全市城乡环卫一体化工作群众满意度调查中山亭位居全市第二；完成四类重点人员危房改造104户；完成涉农街道农厕改造8406户；2019年成功申报1个省级美丽村居试点和11个市级美丽村居培育试点，城头镇东岭村、冯卯镇朱元村、付庄村3个村入选第五批国家级传统村落。</w:t>
      </w:r>
    </w:p>
    <w:p>
      <w:pPr>
        <w:pStyle w:val="4"/>
        <w:bidi w:val="0"/>
        <w:rPr>
          <w:rFonts w:hint="default"/>
          <w:lang w:val="en-US" w:eastAsia="zh-CN"/>
        </w:rPr>
      </w:pPr>
      <w:r>
        <w:rPr>
          <w:rFonts w:hint="eastAsia"/>
          <w:lang w:val="en-US" w:eastAsia="zh-CN"/>
        </w:rPr>
        <w:t>3、</w:t>
      </w:r>
      <w:r>
        <w:rPr>
          <w:rFonts w:hint="default"/>
          <w:lang w:val="en-US" w:eastAsia="zh-CN"/>
        </w:rPr>
        <w:t>强化行业监督管理，全面提升服务质量</w:t>
      </w:r>
    </w:p>
    <w:p>
      <w:pPr>
        <w:rPr>
          <w:rFonts w:hint="default"/>
          <w:lang w:val="en-US" w:eastAsia="zh-CN"/>
        </w:rPr>
      </w:pPr>
      <w:r>
        <w:rPr>
          <w:rFonts w:hint="default"/>
          <w:lang w:val="en-US" w:eastAsia="zh-CN"/>
        </w:rPr>
        <w:t>一是建筑行业管理日益规范。开展专项整治行动，加大检查频次和执法力度，减少违法、违规开工建设项目。全年组织开展各类检查70余次，累计下达《责令停止违法行为通知书》23份、《责令限期改正通知书》85份，提出整改意见500余条。联合检查在建项目农民工工资发放情况，约谈3个项目负责人，处理了5起上访问题，协调解决拖欠工资530余万元。</w:t>
      </w:r>
    </w:p>
    <w:p>
      <w:pPr>
        <w:rPr>
          <w:rFonts w:hint="default"/>
          <w:lang w:val="en-US" w:eastAsia="zh-CN"/>
        </w:rPr>
      </w:pPr>
      <w:r>
        <w:rPr>
          <w:rFonts w:hint="default"/>
          <w:lang w:val="en-US" w:eastAsia="zh-CN"/>
        </w:rPr>
        <w:t>二是公共事业水平不断提升。围绕供热、供气、供水等民生保障和安全生产工作目标，完善热力燃气工程备案机制，认真搞好行业管理。供气上，开展入户宣传，普及安全常识，提高群众的安全意识。联合执法局查处流动倒气商贩，发现违规及时移交。供水上，实行高低压分区供水，确保供水安全稳定，严把供水质量关，严格水质检测频次，保证水质符合要求。供热上，实施“冬病夏治”，及时对上个供暖期暴露出的问题进行排查解决，实现城市集中供热效率升级。</w:t>
      </w:r>
    </w:p>
    <w:p>
      <w:pPr>
        <w:rPr>
          <w:rFonts w:hint="default"/>
          <w:lang w:val="en-US" w:eastAsia="zh-CN"/>
        </w:rPr>
      </w:pPr>
      <w:r>
        <w:rPr>
          <w:rFonts w:hint="default"/>
          <w:lang w:val="en-US" w:eastAsia="zh-CN"/>
        </w:rPr>
        <w:t>三是房地产市场监管取得实效。开展了全区房地产业执法检查，对未办理施工许可证擅自施工的欧亚城二期项目进行处罚并补办证件。实行房地产经纪机构备案制度，加强二手房中介市场监管力度，共下达备案通知单17份，责令整改通知单21份，要求限期整改；加强保障性住房分配使用管理，清退公租房4套，检查全区35家房产中介机构，对于涉及保障性住房的所有交易一律不予办理，杜绝违规转租、转借等行为。</w:t>
      </w:r>
    </w:p>
    <w:p>
      <w:pPr>
        <w:pStyle w:val="3"/>
        <w:bidi w:val="0"/>
        <w:rPr>
          <w:rFonts w:hint="eastAsia"/>
          <w:lang w:val="en-US" w:eastAsia="zh-CN"/>
        </w:rPr>
      </w:pPr>
      <w:bookmarkStart w:id="25" w:name="_Toc9185"/>
      <w:r>
        <w:rPr>
          <w:rFonts w:hint="eastAsia"/>
          <w:lang w:val="en-US" w:eastAsia="zh-CN"/>
        </w:rPr>
        <w:t>（二）工作亮点</w:t>
      </w:r>
      <w:bookmarkEnd w:id="25"/>
    </w:p>
    <w:p>
      <w:pPr>
        <w:pStyle w:val="4"/>
        <w:bidi w:val="0"/>
        <w:rPr>
          <w:rFonts w:hint="eastAsia"/>
        </w:rPr>
      </w:pPr>
      <w:r>
        <w:rPr>
          <w:rFonts w:hint="eastAsia"/>
          <w:lang w:val="en-US" w:eastAsia="zh-CN"/>
        </w:rPr>
        <w:t>1、</w:t>
      </w:r>
      <w:r>
        <w:rPr>
          <w:rFonts w:hint="eastAsia"/>
        </w:rPr>
        <w:t>居住环境调查成绩位居全省第16名</w:t>
      </w:r>
    </w:p>
    <w:p>
      <w:pPr>
        <w:bidi w:val="0"/>
        <w:rPr>
          <w:rFonts w:hint="eastAsia"/>
        </w:rPr>
      </w:pPr>
      <w:r>
        <w:rPr>
          <w:rFonts w:hint="eastAsia"/>
        </w:rPr>
        <w:t>全省2019年度城乡居民民生工作群众满意度评价结果，山亭区总体评价获91.65分，领先第二名2.4分，实现“十一连冠”。 其中，居住环境考核得分92.14分，获全市第一，全省137个区（市）位次第16名。</w:t>
      </w:r>
    </w:p>
    <w:p>
      <w:pPr>
        <w:pStyle w:val="4"/>
        <w:bidi w:val="0"/>
        <w:rPr>
          <w:rFonts w:hint="eastAsia"/>
        </w:rPr>
      </w:pPr>
      <w:r>
        <w:rPr>
          <w:rFonts w:hint="eastAsia"/>
          <w:lang w:val="en-US" w:eastAsia="zh-CN"/>
        </w:rPr>
        <w:t>2、</w:t>
      </w:r>
      <w:r>
        <w:rPr>
          <w:rFonts w:hint="eastAsia"/>
        </w:rPr>
        <w:t>美丽村居试点建设取得好成绩</w:t>
      </w:r>
    </w:p>
    <w:p>
      <w:pPr>
        <w:bidi w:val="0"/>
        <w:rPr>
          <w:rFonts w:hint="eastAsia"/>
        </w:rPr>
      </w:pPr>
      <w:r>
        <w:rPr>
          <w:rFonts w:hint="eastAsia"/>
        </w:rPr>
        <w:t>2019年底，省住建厅公示第二批美丽村居建设省级试点名单，枣庄市有4个村入选,其中包括山亭区冯卯镇冯卯村。省住建厅对全市美丽村居考核，山亭区北庄镇洪门村得分94分，滕州市级索镇郝屯村考核得分74.5分。市里考核洪门村得分5.64分，全市排名第一。</w:t>
      </w:r>
    </w:p>
    <w:p>
      <w:pPr>
        <w:pStyle w:val="4"/>
        <w:bidi w:val="0"/>
        <w:rPr>
          <w:rFonts w:hint="eastAsia"/>
        </w:rPr>
      </w:pPr>
      <w:r>
        <w:rPr>
          <w:rFonts w:hint="eastAsia"/>
          <w:lang w:val="en-US" w:eastAsia="zh-CN"/>
        </w:rPr>
        <w:t>3、</w:t>
      </w:r>
      <w:r>
        <w:rPr>
          <w:rFonts w:hint="eastAsia"/>
        </w:rPr>
        <w:t>“厕所革命”惠及更多百姓</w:t>
      </w:r>
    </w:p>
    <w:p>
      <w:pPr>
        <w:bidi w:val="0"/>
        <w:rPr>
          <w:rFonts w:hint="eastAsia"/>
        </w:rPr>
      </w:pPr>
      <w:r>
        <w:rPr>
          <w:rFonts w:hint="eastAsia"/>
        </w:rPr>
        <w:t>2019年完成山城街道8406户农厕改造任务。加大农村公厕建设推进力度，全区300户以上自然村已建公厕39处，农村公厕普及率39%。市住建局对山亭区农村改厕工作考核，最终得分13.09分(总分14份，满意度调查得分7.23分，普及率得分5.86分），全市排名第二。市城管局对山亭区农村公厕考核，得分6分（满分6分）。</w:t>
      </w:r>
    </w:p>
    <w:p>
      <w:pPr>
        <w:pStyle w:val="4"/>
        <w:bidi w:val="0"/>
        <w:rPr>
          <w:rFonts w:hint="eastAsia"/>
        </w:rPr>
      </w:pPr>
      <w:r>
        <w:rPr>
          <w:rFonts w:hint="eastAsia"/>
          <w:lang w:val="en-US" w:eastAsia="zh-CN"/>
        </w:rPr>
        <w:t>4、</w:t>
      </w:r>
      <w:r>
        <w:rPr>
          <w:rFonts w:hint="eastAsia"/>
        </w:rPr>
        <w:t>城乡环卫一体化建设成效显著</w:t>
      </w:r>
    </w:p>
    <w:p>
      <w:pPr>
        <w:bidi w:val="0"/>
        <w:rPr>
          <w:rFonts w:hint="eastAsia"/>
        </w:rPr>
      </w:pPr>
      <w:r>
        <w:rPr>
          <w:rFonts w:hint="eastAsia"/>
        </w:rPr>
        <w:t>全区城乡环卫一体化实现规范化、制度化、市场化、长效化运作，各镇街新增垃圾清扫车、洒水车、压缩车等环卫车辆15辆，新购置垃圾桶（箱）8000个，全年累计处理垃圾量5.8万吨。上半年全市城乡环卫一体化工作群众满意度调查</w:t>
      </w:r>
      <w:r>
        <w:rPr>
          <w:rFonts w:hint="eastAsia"/>
          <w:lang w:val="en-US" w:eastAsia="zh-CN"/>
        </w:rPr>
        <w:t>中，</w:t>
      </w:r>
      <w:r>
        <w:rPr>
          <w:rFonts w:hint="eastAsia"/>
          <w:lang w:eastAsia="zh-CN"/>
        </w:rPr>
        <w:t>山亭区</w:t>
      </w:r>
      <w:r>
        <w:rPr>
          <w:rFonts w:hint="eastAsia"/>
        </w:rPr>
        <w:t>全市第二。</w:t>
      </w:r>
    </w:p>
    <w:p>
      <w:pPr>
        <w:pStyle w:val="2"/>
        <w:bidi w:val="0"/>
        <w:rPr>
          <w:rFonts w:hint="eastAsia"/>
        </w:rPr>
      </w:pPr>
      <w:bookmarkStart w:id="26" w:name="_Toc10434"/>
      <w:r>
        <w:rPr>
          <w:rFonts w:hint="eastAsia"/>
          <w:lang w:val="en-US" w:eastAsia="zh-CN"/>
        </w:rPr>
        <w:t>七</w:t>
      </w:r>
      <w:r>
        <w:rPr>
          <w:rFonts w:hint="eastAsia"/>
        </w:rPr>
        <w:t>、存在的问题</w:t>
      </w:r>
      <w:bookmarkEnd w:id="26"/>
    </w:p>
    <w:p>
      <w:pPr>
        <w:rPr>
          <w:rFonts w:hint="default"/>
          <w:color w:val="auto"/>
          <w:lang w:val="en-US" w:eastAsia="zh-CN"/>
        </w:rPr>
      </w:pPr>
      <w:r>
        <w:rPr>
          <w:rFonts w:hint="eastAsia"/>
          <w:b/>
          <w:bCs/>
          <w:color w:val="auto"/>
          <w:lang w:eastAsia="zh-CN"/>
        </w:rPr>
        <w:t>（</w:t>
      </w:r>
      <w:r>
        <w:rPr>
          <w:rFonts w:hint="eastAsia"/>
          <w:b/>
          <w:bCs/>
          <w:color w:val="auto"/>
          <w:lang w:val="en-US" w:eastAsia="zh-CN"/>
        </w:rPr>
        <w:t>一</w:t>
      </w:r>
      <w:r>
        <w:rPr>
          <w:rFonts w:hint="eastAsia"/>
          <w:b/>
          <w:bCs/>
          <w:color w:val="auto"/>
          <w:lang w:eastAsia="zh-CN"/>
        </w:rPr>
        <w:t>）</w:t>
      </w:r>
      <w:r>
        <w:rPr>
          <w:rFonts w:hint="eastAsia"/>
          <w:b/>
          <w:bCs/>
          <w:color w:val="auto"/>
          <w:lang w:val="en-US" w:eastAsia="zh-CN"/>
        </w:rPr>
        <w:t>部门职能不够清晰、机构、人员众多。</w:t>
      </w:r>
      <w:r>
        <w:rPr>
          <w:rFonts w:hint="eastAsia"/>
          <w:color w:val="auto"/>
          <w:lang w:val="en-US" w:eastAsia="zh-CN"/>
        </w:rPr>
        <w:t>自2019年3月30 日起执行的《山亭区住房和城乡建设局职能配置、内设机构和人员编制规定》中提出，山亭区住建局内设办公室、城市建设管理股、工程建设管理股、村镇建设管理股、房地产业管理股五个股室。经评价工作组现场核实，山亭区住建局2019年实际内设城市建设管理股、工程建设管理股、村镇建设管理股、房地产业管理股、公用事业股、污水处理中心、信息宣传股、法制股、党建办公室、安全生产监督管理办公室、人事股、办公室（含档案室、事务中心）、工会（计生办）、机关团委、财务审计股、住房保障服务中心（含房改办、物业办、房产交易所）等16个机构；三定方案中仅有行政编制数15人，目前实际工作人员135人，其中行政编10人，事业编68人（全部为下属事业单位抽调人员），人事代理34人，企业编23人。职能、机构、编制均与三定方案不符。</w:t>
      </w:r>
      <w:r>
        <w:rPr>
          <w:rFonts w:hint="eastAsia"/>
          <w:color w:val="auto"/>
          <w:lang w:val="en-US" w:eastAsia="zh-CN"/>
        </w:rPr>
        <w:tab/>
      </w:r>
    </w:p>
    <w:p>
      <w:pPr>
        <w:rPr>
          <w:rFonts w:hint="default"/>
          <w:color w:val="auto"/>
          <w:lang w:val="en-US" w:eastAsia="zh-CN"/>
        </w:rPr>
      </w:pPr>
      <w:r>
        <w:rPr>
          <w:rFonts w:hint="eastAsia"/>
          <w:b/>
          <w:bCs/>
          <w:color w:val="auto"/>
          <w:lang w:val="en-US" w:eastAsia="zh-CN"/>
        </w:rPr>
        <w:t>（二）未设置绩效目标，预算绩效管理工作有待加强。</w:t>
      </w:r>
      <w:r>
        <w:rPr>
          <w:rFonts w:hint="eastAsia"/>
          <w:color w:val="auto"/>
          <w:lang w:val="en-US" w:eastAsia="zh-CN"/>
        </w:rPr>
        <w:t>《中共中央 国务院关于全面实施预算绩效管理的意见》（中发〔2018〕34号）提出，各地区各部门编制预算时要贯彻落实党中央、国务院各项决策部署，分解细化各项工作要求，结合本地区本部门实际情况，全面设置部门和单位整体绩效目标、政策及项目绩效目标。山亭区住建局在编制年初预算时未按照上级文件要求，设置部门和单位整体绩效目标及项目绩效目标，预算绩效管理工作有待加强。</w:t>
      </w:r>
    </w:p>
    <w:p>
      <w:pPr>
        <w:rPr>
          <w:rFonts w:hint="default"/>
          <w:color w:val="auto"/>
          <w:lang w:val="en-US" w:eastAsia="zh-CN"/>
        </w:rPr>
      </w:pPr>
      <w:r>
        <w:rPr>
          <w:rFonts w:hint="eastAsia"/>
          <w:b/>
          <w:bCs/>
          <w:color w:val="auto"/>
          <w:lang w:val="en-US" w:eastAsia="zh-CN"/>
        </w:rPr>
        <w:t>（三）城市建设未严格按照城建计划执行。</w:t>
      </w:r>
      <w:r>
        <w:rPr>
          <w:rFonts w:hint="eastAsia"/>
          <w:color w:val="auto"/>
          <w:lang w:val="en-US" w:eastAsia="zh-CN"/>
        </w:rPr>
        <w:t>山亭区住建局2019年实施的例如山亭区运河路升级改造工程、北新巷改造工程、西集绿化节点等4个城建项目，未在年初制定并获得区政府研究通过的城建计划范围之内。城建计划是住建部门城建项目的年度指导计划，实际执行若与计划建设不相一致，一是不利于预算管理，二是目标的结果导向性作用不明显，最终的项目效果难以保证。</w:t>
      </w:r>
    </w:p>
    <w:p>
      <w:pPr>
        <w:rPr>
          <w:rFonts w:hint="default"/>
          <w:color w:val="auto"/>
          <w:lang w:val="en-US" w:eastAsia="zh-CN"/>
        </w:rPr>
      </w:pPr>
      <w:r>
        <w:rPr>
          <w:rFonts w:hint="eastAsia"/>
          <w:b/>
          <w:bCs/>
          <w:color w:val="auto"/>
          <w:lang w:val="en-US" w:eastAsia="zh-CN"/>
        </w:rPr>
        <w:t>（四）预算编制不够完整，测算依据不够充分。</w:t>
      </w:r>
      <w:r>
        <w:rPr>
          <w:rFonts w:hint="eastAsia"/>
          <w:color w:val="auto"/>
          <w:lang w:val="en-US" w:eastAsia="zh-CN"/>
        </w:rPr>
        <w:t>据核查，2019年山亭区住建局在编制预算时</w:t>
      </w:r>
      <w:r>
        <w:rPr>
          <w:rFonts w:hint="eastAsia" w:cs="仿宋_GB2312"/>
          <w:b w:val="0"/>
          <w:bCs/>
          <w:color w:val="auto"/>
          <w:szCs w:val="32"/>
          <w:lang w:val="en-US" w:eastAsia="zh-CN"/>
        </w:rPr>
        <w:t>未将2018年结转资金、2019年上级资金以及2019年政府性基金收入等列入预算，预算编制不够完整，导致最终决算支出和预算支出差别较大；政府采购预算数为0，实际执行数为4.01万元，项目支出3000万元预算数的子项目列示不够清晰，无法与绩效目标相匹配，预算测算的依据不够充分。</w:t>
      </w:r>
    </w:p>
    <w:p>
      <w:pPr>
        <w:rPr>
          <w:rFonts w:hint="eastAsia"/>
          <w:color w:val="auto"/>
          <w:lang w:val="en-US" w:eastAsia="zh-CN"/>
        </w:rPr>
      </w:pPr>
      <w:r>
        <w:rPr>
          <w:rFonts w:hint="eastAsia"/>
          <w:b/>
          <w:bCs/>
          <w:color w:val="auto"/>
          <w:lang w:val="en-US" w:eastAsia="zh-CN"/>
        </w:rPr>
        <w:t>（五）固定资产管理不够规范，存在账实不符的问题。</w:t>
      </w:r>
      <w:r>
        <w:rPr>
          <w:rFonts w:hint="eastAsia"/>
          <w:color w:val="auto"/>
          <w:lang w:val="en-US" w:eastAsia="zh-CN"/>
        </w:rPr>
        <w:t>经现场核查，2019年山亭区住建局固定资产未有专人管理，存在资产管理和财务管理上的不衔接、部分资产已报废或者已移交但财务未处理账务等问题。</w:t>
      </w:r>
    </w:p>
    <w:p>
      <w:pPr>
        <w:rPr>
          <w:rFonts w:hint="default" w:cs="仿宋_GB2312"/>
          <w:b w:val="0"/>
          <w:bCs/>
          <w:color w:val="auto"/>
          <w:szCs w:val="32"/>
          <w:lang w:val="en-US" w:eastAsia="zh-CN"/>
        </w:rPr>
      </w:pPr>
      <w:r>
        <w:rPr>
          <w:rFonts w:hint="eastAsia" w:cs="仿宋_GB2312"/>
          <w:b/>
          <w:bCs w:val="0"/>
          <w:color w:val="auto"/>
          <w:szCs w:val="32"/>
          <w:lang w:val="en-US" w:eastAsia="zh-CN"/>
        </w:rPr>
        <w:t>（六）人力资源建设工作有待加强。</w:t>
      </w:r>
      <w:r>
        <w:rPr>
          <w:rFonts w:hint="eastAsia" w:cs="仿宋_GB2312"/>
          <w:b w:val="0"/>
          <w:bCs/>
          <w:color w:val="auto"/>
          <w:szCs w:val="32"/>
          <w:lang w:val="en-US" w:eastAsia="zh-CN"/>
        </w:rPr>
        <w:t>访谈中获知，近年来，住建局在人才引进方面缺乏力度，2019年也未组织开展或者参加与部门职责相关的培训，对人力资源培养与建设方面未能充分重视。这不利于部门的可持续性发展。</w:t>
      </w:r>
    </w:p>
    <w:p>
      <w:pPr>
        <w:rPr>
          <w:rFonts w:hint="default"/>
          <w:color w:val="auto"/>
          <w:lang w:val="en-US" w:eastAsia="zh-CN"/>
        </w:rPr>
      </w:pPr>
    </w:p>
    <w:p>
      <w:pPr>
        <w:pStyle w:val="2"/>
        <w:bidi w:val="0"/>
        <w:rPr>
          <w:rFonts w:hint="eastAsia"/>
          <w:color w:val="auto"/>
        </w:rPr>
      </w:pPr>
      <w:bookmarkStart w:id="27" w:name="_Toc4344"/>
      <w:bookmarkStart w:id="28" w:name="_Toc13798"/>
      <w:r>
        <w:rPr>
          <w:rFonts w:hint="eastAsia"/>
          <w:color w:val="auto"/>
          <w:lang w:val="en-US" w:eastAsia="zh-CN"/>
        </w:rPr>
        <w:t>八</w:t>
      </w:r>
      <w:r>
        <w:rPr>
          <w:rFonts w:hint="eastAsia"/>
          <w:color w:val="auto"/>
        </w:rPr>
        <w:t>、整改措施或建议</w:t>
      </w:r>
      <w:bookmarkEnd w:id="27"/>
      <w:bookmarkEnd w:id="28"/>
    </w:p>
    <w:p>
      <w:pPr>
        <w:bidi w:val="0"/>
        <w:rPr>
          <w:rFonts w:hint="default"/>
          <w:color w:val="auto"/>
          <w:lang w:val="en-US" w:eastAsia="zh-CN"/>
        </w:rPr>
      </w:pPr>
      <w:r>
        <w:rPr>
          <w:rFonts w:hint="eastAsia"/>
          <w:b/>
          <w:bCs/>
          <w:color w:val="auto"/>
          <w:lang w:val="en-US" w:eastAsia="zh-CN"/>
        </w:rPr>
        <w:t>（一）捋清职能，建设新型政府部门。</w:t>
      </w:r>
      <w:r>
        <w:rPr>
          <w:rFonts w:hint="eastAsia"/>
          <w:color w:val="auto"/>
          <w:lang w:val="en-US" w:eastAsia="zh-CN"/>
        </w:rPr>
        <w:t>由于特定的历史原因，山亭住建系统既履行了城乡建设的行政监管职能，又承担了具体的建设、运营职责 ，在城乡快速发展中发挥了重要的作用。但也由此造成了住建局职能（职责）多、岗位多、人员多，且从事具体建设、运营人员数量占比较高，时至今日，无法符合三定方案的要求。这种情况下，部门无法编制清晰的基本支出预算，不利于财政管理；另外，管、建一体使得政企边界模糊，为部门领导带来决策上的风险，长远来看也不利于部门行政职能的发挥。建议住建局按照三定方案要求，强化行政职能，建设责权清晰的政府部门，符合现代化政府公共管理的需求。</w:t>
      </w:r>
    </w:p>
    <w:p>
      <w:pPr>
        <w:bidi w:val="0"/>
        <w:rPr>
          <w:rFonts w:hint="eastAsia"/>
          <w:color w:val="auto"/>
          <w:lang w:val="en-US" w:eastAsia="zh-CN"/>
        </w:rPr>
      </w:pPr>
      <w:r>
        <w:rPr>
          <w:rFonts w:hint="eastAsia"/>
          <w:b/>
          <w:bCs/>
          <w:color w:val="auto"/>
          <w:lang w:val="en-US" w:eastAsia="zh-CN"/>
        </w:rPr>
        <w:t>（二）强化绩效理念，合理设置绩效目标。</w:t>
      </w:r>
      <w:r>
        <w:rPr>
          <w:rFonts w:hint="eastAsia"/>
          <w:color w:val="auto"/>
          <w:lang w:val="en-US" w:eastAsia="zh-CN"/>
        </w:rPr>
        <w:t>我国的预算绩效管理自上世纪90年代开始探索实施，至今已有20多年的历程。2018年9月25日发布的</w:t>
      </w:r>
      <w:r>
        <w:rPr>
          <w:rFonts w:hint="eastAsia"/>
          <w:color w:val="auto"/>
          <w:lang w:val="en-US" w:eastAsia="zh-CN"/>
        </w:rPr>
        <w:fldChar w:fldCharType="begin"/>
      </w:r>
      <w:r>
        <w:rPr>
          <w:rFonts w:hint="eastAsia"/>
          <w:color w:val="auto"/>
          <w:lang w:val="en-US" w:eastAsia="zh-CN"/>
        </w:rPr>
        <w:instrText xml:space="preserve"> HYPERLINK "http://www.cnki.com.cn/Article/CJFDTotal-ZBCG201810004.htm" \t "http://xueshu.baidu.com/usercenter/paper/_blank" </w:instrText>
      </w:r>
      <w:r>
        <w:rPr>
          <w:rFonts w:hint="eastAsia"/>
          <w:color w:val="auto"/>
          <w:lang w:val="en-US" w:eastAsia="zh-CN"/>
        </w:rPr>
        <w:fldChar w:fldCharType="separate"/>
      </w:r>
      <w:r>
        <w:rPr>
          <w:rFonts w:hint="eastAsia"/>
          <w:color w:val="auto"/>
          <w:lang w:val="en-US" w:eastAsia="zh-CN"/>
        </w:rPr>
        <w:t>《中共中央 国务院关于全面实施预算绩效管理的意见》</w:t>
      </w:r>
      <w:r>
        <w:rPr>
          <w:rFonts w:hint="eastAsia"/>
          <w:color w:val="auto"/>
          <w:lang w:val="en-US" w:eastAsia="zh-CN"/>
        </w:rPr>
        <w:fldChar w:fldCharType="end"/>
      </w:r>
      <w:r>
        <w:rPr>
          <w:rFonts w:hint="eastAsia"/>
          <w:color w:val="auto"/>
          <w:lang w:val="en-US" w:eastAsia="zh-CN"/>
        </w:rPr>
        <w:t>（中发〔2018〕34号）提出“全面实施预算绩效管理是推进国家治理体系和治理能力现代化的内在要求”。实施预算绩效管理是国家政策要求，同时也是一种先进的管理方法。</w:t>
      </w:r>
      <w:r>
        <w:rPr>
          <w:rFonts w:hint="eastAsia"/>
          <w:color w:val="auto"/>
          <w:lang w:eastAsia="zh-CN"/>
        </w:rPr>
        <w:t>《</w:t>
      </w:r>
      <w:r>
        <w:rPr>
          <w:rFonts w:hint="default"/>
          <w:color w:val="auto"/>
        </w:rPr>
        <w:t>财政部关于推进预算绩效管理的指导意见</w:t>
      </w:r>
      <w:r>
        <w:rPr>
          <w:rFonts w:hint="eastAsia"/>
          <w:color w:val="auto"/>
          <w:lang w:eastAsia="zh-CN"/>
        </w:rPr>
        <w:t>》（</w:t>
      </w:r>
      <w:r>
        <w:rPr>
          <w:color w:val="auto"/>
        </w:rPr>
        <w:t>财预〔2011〕416号</w:t>
      </w:r>
      <w:r>
        <w:rPr>
          <w:rFonts w:hint="eastAsia"/>
          <w:color w:val="auto"/>
          <w:lang w:eastAsia="zh-CN"/>
        </w:rPr>
        <w:t>）</w:t>
      </w:r>
      <w:r>
        <w:rPr>
          <w:rFonts w:hint="eastAsia"/>
          <w:color w:val="auto"/>
          <w:lang w:val="en-US" w:eastAsia="zh-CN"/>
        </w:rPr>
        <w:t>提出</w:t>
      </w:r>
      <w:r>
        <w:rPr>
          <w:rFonts w:hint="eastAsia"/>
          <w:color w:val="auto"/>
          <w:lang w:eastAsia="zh-CN"/>
        </w:rPr>
        <w:t>“</w:t>
      </w:r>
      <w:r>
        <w:rPr>
          <w:color w:val="auto"/>
        </w:rPr>
        <w:t>绩效目标是预算绩效管理的基础，是整个预算绩效管理系统的前提</w:t>
      </w:r>
      <w:r>
        <w:rPr>
          <w:rFonts w:hint="eastAsia"/>
          <w:color w:val="auto"/>
          <w:lang w:eastAsia="zh-CN"/>
        </w:rPr>
        <w:t>”。</w:t>
      </w:r>
      <w:r>
        <w:rPr>
          <w:rFonts w:hint="eastAsia"/>
          <w:color w:val="auto"/>
          <w:lang w:val="en-US" w:eastAsia="zh-CN"/>
        </w:rPr>
        <w:t>建议山亭区住建局在申报部门预算时合理设置绩效目标，对部门各方履职及效果等进行细化、量化。</w:t>
      </w:r>
    </w:p>
    <w:p>
      <w:pPr>
        <w:bidi w:val="0"/>
        <w:rPr>
          <w:rFonts w:hint="eastAsia"/>
          <w:color w:val="auto"/>
          <w:lang w:val="en-US" w:eastAsia="zh-CN"/>
        </w:rPr>
      </w:pPr>
      <w:r>
        <w:rPr>
          <w:rFonts w:hint="eastAsia"/>
          <w:b/>
          <w:bCs/>
          <w:color w:val="auto"/>
          <w:lang w:val="en-US" w:eastAsia="zh-CN"/>
        </w:rPr>
        <w:t>（三）合理编制城建计划，严格按照批复的计划进行城市建设。</w:t>
      </w:r>
      <w:r>
        <w:rPr>
          <w:rFonts w:hint="eastAsia"/>
          <w:color w:val="auto"/>
          <w:lang w:val="en-US" w:eastAsia="zh-CN"/>
        </w:rPr>
        <w:t>建议山亭区住建局加强前期调研与论证，合理编制下年度城建计划，增强项目与预算的协同性。建议区政府年初研究同意后对城镇计划进行正式批复，年中各单位严格按照批复的城建计划进行建设，加强管控，保证城市建设的整体实施效果。</w:t>
      </w:r>
    </w:p>
    <w:p>
      <w:pPr>
        <w:rPr>
          <w:rFonts w:hint="eastAsia"/>
          <w:color w:val="auto"/>
          <w:lang w:val="en-US" w:eastAsia="zh-CN"/>
        </w:rPr>
      </w:pPr>
      <w:r>
        <w:rPr>
          <w:rFonts w:hint="eastAsia"/>
          <w:b/>
          <w:bCs/>
          <w:color w:val="auto"/>
          <w:lang w:val="en-US" w:eastAsia="zh-CN"/>
        </w:rPr>
        <w:t>（四）加强预算编制的合理性，实行零基预算。</w:t>
      </w:r>
      <w:r>
        <w:rPr>
          <w:rFonts w:hint="eastAsia"/>
          <w:color w:val="auto"/>
          <w:lang w:val="en-US" w:eastAsia="zh-CN"/>
        </w:rPr>
        <w:t>建议山亭区住建局能够完整编制预算，将年初结余结转数、上级资金数以及除一般公共预算以外的其他收入预测数一并列入年初预算中，且不受以前年度预算安排情况影响，能够着眼于新一年的各项工作，提前谋划、合理测算，通过零基预算的方式，打破财政支出固化格局。</w:t>
      </w:r>
    </w:p>
    <w:p>
      <w:pPr>
        <w:rPr>
          <w:rFonts w:hint="eastAsia"/>
          <w:color w:val="auto"/>
          <w:lang w:val="en-US" w:eastAsia="zh-CN"/>
        </w:rPr>
      </w:pPr>
      <w:r>
        <w:rPr>
          <w:rFonts w:hint="eastAsia"/>
          <w:b/>
          <w:bCs/>
          <w:color w:val="auto"/>
          <w:lang w:val="en-US" w:eastAsia="zh-CN"/>
        </w:rPr>
        <w:t>（六）完善固定资产管理制度，规范固定资产的管理工作。</w:t>
      </w:r>
      <w:r>
        <w:rPr>
          <w:rFonts w:hint="eastAsia"/>
          <w:color w:val="auto"/>
          <w:lang w:val="en-US" w:eastAsia="zh-CN"/>
        </w:rPr>
        <w:t>建议山亭区住建局建议健全固定资产使用与发放制度，固定资产定期清查盘点制度，明确资产使用部门及人员责任，对于毁损报废资产应及时报批核销，完善相关手续，并进行相应账务处理，确保账实相符。</w:t>
      </w:r>
    </w:p>
    <w:p>
      <w:pPr>
        <w:rPr>
          <w:rFonts w:hint="default"/>
          <w:color w:val="auto"/>
          <w:lang w:val="en-US" w:eastAsia="zh-CN"/>
        </w:rPr>
      </w:pPr>
      <w:r>
        <w:rPr>
          <w:rFonts w:hint="eastAsia"/>
          <w:b/>
          <w:bCs/>
          <w:color w:val="auto"/>
          <w:lang w:val="en-US" w:eastAsia="zh-CN"/>
        </w:rPr>
        <w:t>（七）重视单位的人才培养，加强人力资源建设。</w:t>
      </w:r>
      <w:r>
        <w:rPr>
          <w:rFonts w:hint="eastAsia"/>
          <w:color w:val="auto"/>
          <w:lang w:val="en-US" w:eastAsia="zh-CN"/>
        </w:rPr>
        <w:t>习近平总书记高度重视人才工作，他指出“人才是事业发展最宝贵的财富，人才资源是党执政兴国的根本性资源”。现代化的政府管理工作对人才提出了更高的要求，建议住建部门通过公开招聘的方式逐步改善原有人员结构，其次加强内部专业知识培训，提升业务水平。</w:t>
      </w:r>
    </w:p>
    <w:p>
      <w:pPr>
        <w:pStyle w:val="2"/>
        <w:bidi w:val="0"/>
        <w:rPr>
          <w:rFonts w:hint="default"/>
          <w:lang w:val="en-US" w:eastAsia="zh-CN"/>
        </w:rPr>
      </w:pPr>
      <w:bookmarkStart w:id="29" w:name="_Toc11282"/>
      <w:r>
        <w:rPr>
          <w:rFonts w:hint="eastAsia"/>
          <w:lang w:val="en-US" w:eastAsia="zh-CN"/>
        </w:rPr>
        <w:t>九、附件</w:t>
      </w:r>
      <w:bookmarkEnd w:id="29"/>
    </w:p>
    <w:p>
      <w:pPr>
        <w:pStyle w:val="3"/>
        <w:bidi w:val="0"/>
        <w:rPr>
          <w:rFonts w:hint="eastAsia"/>
          <w:lang w:val="en-US" w:eastAsia="zh-CN"/>
        </w:rPr>
      </w:pPr>
      <w:bookmarkStart w:id="30" w:name="_Toc24050"/>
      <w:r>
        <w:rPr>
          <w:rFonts w:hint="eastAsia"/>
          <w:lang w:val="en-US" w:eastAsia="zh-CN"/>
        </w:rPr>
        <w:t>附件1：2019年山亭区住建局部门整体支出绩效评价指标体系</w:t>
      </w:r>
      <w:bookmarkEnd w:id="30"/>
    </w:p>
    <w:p>
      <w:pPr>
        <w:pStyle w:val="3"/>
        <w:bidi w:val="0"/>
        <w:rPr>
          <w:rFonts w:hint="eastAsia"/>
          <w:lang w:val="en-US" w:eastAsia="zh-CN"/>
        </w:rPr>
      </w:pPr>
      <w:bookmarkStart w:id="31" w:name="_Toc919"/>
      <w:r>
        <w:rPr>
          <w:rFonts w:hint="eastAsia"/>
          <w:lang w:val="en-US" w:eastAsia="zh-CN"/>
        </w:rPr>
        <w:t>附件2：2019年山亭区住建局部门整体支出绩效评价得分表</w:t>
      </w:r>
      <w:bookmarkEnd w:id="31"/>
    </w:p>
    <w:p>
      <w:pPr>
        <w:pStyle w:val="3"/>
        <w:bidi w:val="0"/>
        <w:rPr>
          <w:rFonts w:hint="eastAsia"/>
          <w:lang w:val="en-US" w:eastAsia="zh-CN"/>
        </w:rPr>
      </w:pPr>
      <w:bookmarkStart w:id="32" w:name="_Toc14215"/>
      <w:r>
        <w:rPr>
          <w:rFonts w:hint="eastAsia"/>
          <w:lang w:val="en-US" w:eastAsia="zh-CN"/>
        </w:rPr>
        <w:t>附件3：2019年山亭区住建局内部机构职能、工作目标及完成工作内容统计情况表</w:t>
      </w:r>
      <w:bookmarkEnd w:id="32"/>
    </w:p>
    <w:p>
      <w:pPr>
        <w:spacing w:line="540" w:lineRule="exact"/>
        <w:ind w:firstLine="640" w:firstLineChars="200"/>
        <w:rPr>
          <w:rFonts w:hint="default" w:hAnsi="仿宋" w:cs="仿宋"/>
          <w:bCs/>
          <w:color w:val="000000"/>
          <w:kern w:val="0"/>
          <w:sz w:val="32"/>
          <w:szCs w:val="32"/>
          <w:lang w:val="en-US" w:eastAsia="zh-CN" w:bidi="ar"/>
        </w:rPr>
      </w:pPr>
    </w:p>
    <w:p>
      <w:pPr>
        <w:pStyle w:val="10"/>
        <w:widowControl/>
        <w:spacing w:beforeAutospacing="0" w:afterAutospacing="0" w:line="540" w:lineRule="exact"/>
        <w:rPr>
          <w:rFonts w:ascii="Times New Roman" w:hAnsi="Times New Roman" w:eastAsia="微软雅黑"/>
          <w:color w:val="000000"/>
        </w:rPr>
      </w:pPr>
    </w:p>
    <w:p/>
    <w:p/>
    <w:sectPr>
      <w:footerReference r:id="rId5" w:type="default"/>
      <w:pgSz w:w="11906" w:h="16838"/>
      <w:pgMar w:top="1587" w:right="1587" w:bottom="1587"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MS Sans Serif">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691579008"/>
                          </w:sdtPr>
                          <w:sdtContent>
                            <w:p>
                              <w:pPr>
                                <w:pStyle w:val="6"/>
                                <w:jc w:val="center"/>
                              </w:pPr>
                              <w:r>
                                <w:fldChar w:fldCharType="begin"/>
                              </w:r>
                              <w:r>
                                <w:instrText xml:space="preserve">PAGE   \* MERGEFORMAT</w:instrText>
                              </w:r>
                              <w:r>
                                <w:fldChar w:fldCharType="separate"/>
                              </w:r>
                              <w:r>
                                <w:rPr>
                                  <w:lang w:val="zh-CN"/>
                                </w:rPr>
                                <w:t>16</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sdt>
                    <w:sdtPr>
                      <w:id w:val="691579008"/>
                    </w:sdtPr>
                    <w:sdtContent>
                      <w:p>
                        <w:pPr>
                          <w:pStyle w:val="6"/>
                          <w:jc w:val="center"/>
                        </w:pPr>
                        <w:r>
                          <w:fldChar w:fldCharType="begin"/>
                        </w:r>
                        <w:r>
                          <w:instrText xml:space="preserve">PAGE   \* MERGEFORMAT</w:instrText>
                        </w:r>
                        <w:r>
                          <w:fldChar w:fldCharType="separate"/>
                        </w:r>
                        <w:r>
                          <w:rPr>
                            <w:lang w:val="zh-CN"/>
                          </w:rPr>
                          <w:t>16</w:t>
                        </w:r>
                        <w:r>
                          <w:fldChar w:fldCharType="end"/>
                        </w:r>
                      </w:p>
                    </w:sdtContent>
                  </w:sdt>
                  <w:p/>
                </w:txbxContent>
              </v:textbox>
            </v:shape>
          </w:pict>
        </mc:Fallback>
      </mc:AlternateContent>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582692054"/>
                          </w:sdtPr>
                          <w:sdtContent>
                            <w:p>
                              <w:pPr>
                                <w:pStyle w:val="6"/>
                                <w:ind w:firstLine="360"/>
                                <w:jc w:val="center"/>
                              </w:pPr>
                              <w:r>
                                <w:fldChar w:fldCharType="begin"/>
                              </w:r>
                              <w:r>
                                <w:instrText xml:space="preserve">PAGE   \* MERGEFORMAT</w:instrText>
                              </w:r>
                              <w:r>
                                <w:fldChar w:fldCharType="separate"/>
                              </w:r>
                              <w:r>
                                <w:rPr>
                                  <w:lang w:val="zh-CN"/>
                                </w:rPr>
                                <w:t>1</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sdt>
                    <w:sdtPr>
                      <w:id w:val="-582692054"/>
                    </w:sdtPr>
                    <w:sdtContent>
                      <w:p>
                        <w:pPr>
                          <w:pStyle w:val="6"/>
                          <w:ind w:firstLine="360"/>
                          <w:jc w:val="center"/>
                        </w:pPr>
                        <w:r>
                          <w:fldChar w:fldCharType="begin"/>
                        </w:r>
                        <w:r>
                          <w:instrText xml:space="preserve">PAGE   \* MERGEFORMAT</w:instrText>
                        </w:r>
                        <w:r>
                          <w:fldChar w:fldCharType="separate"/>
                        </w:r>
                        <w:r>
                          <w:rPr>
                            <w:lang w:val="zh-CN"/>
                          </w:rPr>
                          <w:t>1</w:t>
                        </w:r>
                        <w:r>
                          <w:fldChar w:fldCharType="end"/>
                        </w:r>
                      </w:p>
                    </w:sdtContent>
                  </w:sdt>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3E76B3"/>
    <w:rsid w:val="01183A78"/>
    <w:rsid w:val="02B54B58"/>
    <w:rsid w:val="037F4FEF"/>
    <w:rsid w:val="03D116A6"/>
    <w:rsid w:val="05E81D21"/>
    <w:rsid w:val="0A69381E"/>
    <w:rsid w:val="0BF052C3"/>
    <w:rsid w:val="0C0314D3"/>
    <w:rsid w:val="10234C80"/>
    <w:rsid w:val="11E71539"/>
    <w:rsid w:val="13C16F57"/>
    <w:rsid w:val="14AB4C38"/>
    <w:rsid w:val="200221C9"/>
    <w:rsid w:val="21310ADB"/>
    <w:rsid w:val="213E76B3"/>
    <w:rsid w:val="25863C64"/>
    <w:rsid w:val="25DA43C4"/>
    <w:rsid w:val="27DD60D0"/>
    <w:rsid w:val="287A5B34"/>
    <w:rsid w:val="2CC73F8E"/>
    <w:rsid w:val="2F336D3C"/>
    <w:rsid w:val="301D1EA6"/>
    <w:rsid w:val="339976E4"/>
    <w:rsid w:val="35A9543F"/>
    <w:rsid w:val="36700393"/>
    <w:rsid w:val="3685390B"/>
    <w:rsid w:val="37355943"/>
    <w:rsid w:val="391240A8"/>
    <w:rsid w:val="39C917F9"/>
    <w:rsid w:val="3A326D4D"/>
    <w:rsid w:val="3AAF7226"/>
    <w:rsid w:val="3CB9362A"/>
    <w:rsid w:val="3DFF7552"/>
    <w:rsid w:val="3E7D2171"/>
    <w:rsid w:val="3EA70A37"/>
    <w:rsid w:val="3F7E5258"/>
    <w:rsid w:val="41DF470F"/>
    <w:rsid w:val="4278195E"/>
    <w:rsid w:val="46EA2D7D"/>
    <w:rsid w:val="47B94F6C"/>
    <w:rsid w:val="4BAA0BEB"/>
    <w:rsid w:val="4C557C56"/>
    <w:rsid w:val="50CC1FA3"/>
    <w:rsid w:val="5223482B"/>
    <w:rsid w:val="547E3C5C"/>
    <w:rsid w:val="579152B3"/>
    <w:rsid w:val="59AA59AE"/>
    <w:rsid w:val="5A696980"/>
    <w:rsid w:val="5CDB5DA7"/>
    <w:rsid w:val="61C71747"/>
    <w:rsid w:val="62F07C52"/>
    <w:rsid w:val="64AC1952"/>
    <w:rsid w:val="6678018B"/>
    <w:rsid w:val="668A6604"/>
    <w:rsid w:val="67D14E17"/>
    <w:rsid w:val="680A1F31"/>
    <w:rsid w:val="6A951F87"/>
    <w:rsid w:val="6AEB4F72"/>
    <w:rsid w:val="6C741F1A"/>
    <w:rsid w:val="6E7E496A"/>
    <w:rsid w:val="6FF420CA"/>
    <w:rsid w:val="701C6B8A"/>
    <w:rsid w:val="71685068"/>
    <w:rsid w:val="735155A5"/>
    <w:rsid w:val="73EB37FC"/>
    <w:rsid w:val="75CB6353"/>
    <w:rsid w:val="775C66A5"/>
    <w:rsid w:val="7BB760FE"/>
    <w:rsid w:val="7C8100A9"/>
    <w:rsid w:val="7C9625B5"/>
    <w:rsid w:val="7CAC1D28"/>
    <w:rsid w:val="7CE70AD7"/>
    <w:rsid w:val="7DDB100D"/>
    <w:rsid w:val="7E287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643" w:firstLineChars="200"/>
      <w:jc w:val="both"/>
    </w:pPr>
    <w:rPr>
      <w:rFonts w:ascii="仿宋_GB2312" w:hAnsi="仿宋_GB2312" w:eastAsia="仿宋_GB2312" w:cstheme="minorBidi"/>
      <w:kern w:val="2"/>
      <w:sz w:val="28"/>
      <w:szCs w:val="24"/>
      <w:lang w:val="en-US" w:eastAsia="zh-CN" w:bidi="ar-SA"/>
    </w:rPr>
  </w:style>
  <w:style w:type="paragraph" w:styleId="2">
    <w:name w:val="heading 1"/>
    <w:basedOn w:val="1"/>
    <w:next w:val="1"/>
    <w:qFormat/>
    <w:uiPriority w:val="0"/>
    <w:pPr>
      <w:keepNext/>
      <w:keepLines/>
      <w:spacing w:beforeLines="0" w:beforeAutospacing="0" w:afterLines="0" w:afterAutospacing="0" w:line="580" w:lineRule="exact"/>
      <w:ind w:firstLine="643" w:firstLineChars="200"/>
      <w:outlineLvl w:val="0"/>
    </w:pPr>
    <w:rPr>
      <w:rFonts w:eastAsia="黑体" w:asciiTheme="minorAscii" w:hAnsiTheme="minorAscii"/>
      <w:kern w:val="44"/>
      <w:sz w:val="28"/>
    </w:rPr>
  </w:style>
  <w:style w:type="paragraph" w:styleId="3">
    <w:name w:val="heading 2"/>
    <w:basedOn w:val="1"/>
    <w:next w:val="1"/>
    <w:unhideWhenUsed/>
    <w:qFormat/>
    <w:uiPriority w:val="0"/>
    <w:pPr>
      <w:keepNext/>
      <w:keepLines/>
      <w:spacing w:beforeLines="0" w:beforeAutospacing="0" w:afterLines="0" w:afterAutospacing="0" w:line="580" w:lineRule="exact"/>
      <w:ind w:firstLine="643" w:firstLineChars="200"/>
      <w:outlineLvl w:val="1"/>
    </w:pPr>
    <w:rPr>
      <w:rFonts w:ascii="Arial" w:hAnsi="Arial" w:eastAsia="楷体_GB2312"/>
      <w:sz w:val="28"/>
    </w:rPr>
  </w:style>
  <w:style w:type="paragraph" w:styleId="4">
    <w:name w:val="heading 3"/>
    <w:basedOn w:val="1"/>
    <w:next w:val="1"/>
    <w:unhideWhenUsed/>
    <w:qFormat/>
    <w:uiPriority w:val="0"/>
    <w:pPr>
      <w:keepNext/>
      <w:keepLines/>
      <w:spacing w:beforeLines="0" w:beforeAutospacing="0" w:afterLines="0" w:afterAutospacing="0" w:line="580" w:lineRule="exact"/>
      <w:ind w:firstLine="643" w:firstLineChars="200"/>
      <w:outlineLvl w:val="2"/>
    </w:pPr>
  </w:style>
  <w:style w:type="paragraph" w:styleId="5">
    <w:name w:val="heading 4"/>
    <w:basedOn w:val="1"/>
    <w:next w:val="1"/>
    <w:unhideWhenUsed/>
    <w:qFormat/>
    <w:uiPriority w:val="0"/>
    <w:pPr>
      <w:keepNext/>
      <w:keepLines/>
      <w:spacing w:beforeLines="0" w:beforeAutospacing="0" w:afterLines="0" w:afterAutospacing="0" w:line="580" w:lineRule="exact"/>
      <w:ind w:firstLine="0" w:firstLineChars="0"/>
      <w:outlineLvl w:val="3"/>
    </w:pPr>
    <w:rPr>
      <w:b/>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paragraph" w:styleId="10">
    <w:name w:val="Normal (Web)"/>
    <w:basedOn w:val="1"/>
    <w:qFormat/>
    <w:uiPriority w:val="0"/>
    <w:pPr>
      <w:spacing w:beforeAutospacing="1" w:afterAutospacing="1"/>
      <w:jc w:val="left"/>
    </w:pPr>
    <w:rPr>
      <w:rFonts w:cs="Times New Roman"/>
      <w:kern w:val="0"/>
      <w:sz w:val="24"/>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闻政表"/>
    <w:basedOn w:val="1"/>
    <w:qFormat/>
    <w:uiPriority w:val="0"/>
    <w:pPr>
      <w:spacing w:before="60" w:after="60" w:line="240" w:lineRule="auto"/>
      <w:ind w:firstLine="0" w:firstLineChars="0"/>
      <w:jc w:val="center"/>
    </w:pPr>
    <w:rPr>
      <w:rFonts w:ascii="Times New Roman" w:hAnsi="Times New Roman"/>
      <w:b/>
      <w:sz w:val="24"/>
      <w:szCs w:val="28"/>
    </w:rPr>
  </w:style>
  <w:style w:type="paragraph" w:customStyle="1" w:styleId="15">
    <w:name w:val="标题3"/>
    <w:basedOn w:val="4"/>
    <w:qFormat/>
    <w:uiPriority w:val="0"/>
    <w:pPr>
      <w:spacing w:before="0" w:after="0" w:line="600" w:lineRule="exact"/>
    </w:pPr>
    <w:rPr>
      <w:rFonts w:ascii="Times New Roman" w:hAnsi="Times New Roman"/>
      <w:szCs w:val="28"/>
    </w:rPr>
  </w:style>
  <w:style w:type="character" w:customStyle="1" w:styleId="16">
    <w:name w:val="font21"/>
    <w:basedOn w:val="13"/>
    <w:qFormat/>
    <w:uiPriority w:val="0"/>
    <w:rPr>
      <w:rFonts w:hint="eastAsia" w:ascii="宋体" w:hAnsi="宋体" w:eastAsia="宋体" w:cs="宋体"/>
      <w:b/>
      <w:color w:val="000000"/>
      <w:sz w:val="20"/>
      <w:szCs w:val="20"/>
      <w:u w:val="none"/>
    </w:rPr>
  </w:style>
  <w:style w:type="character" w:customStyle="1" w:styleId="17">
    <w:name w:val="font41"/>
    <w:basedOn w:val="13"/>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2020-04-01T09:14:00Z</dcterms:created>
  <dc:creator>insist</dc:creator>
  <cp:lastModifiedBy>insist</cp:lastModifiedBy>
  <dcterms:modified xsi:type="dcterms:W3CDTF">2020-04-21T01:19:19Z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