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文星简黑体" w:eastAsia="文星简黑体"/>
          <w:sz w:val="52"/>
          <w:szCs w:val="52"/>
        </w:rPr>
      </w:pPr>
    </w:p>
    <w:p>
      <w:pPr>
        <w:spacing w:line="580" w:lineRule="exact"/>
        <w:jc w:val="center"/>
        <w:rPr>
          <w:rFonts w:ascii="文星简黑体" w:eastAsia="文星简黑体"/>
          <w:sz w:val="52"/>
          <w:szCs w:val="52"/>
        </w:rPr>
      </w:pPr>
    </w:p>
    <w:p>
      <w:pPr>
        <w:spacing w:line="580" w:lineRule="exact"/>
        <w:jc w:val="center"/>
        <w:rPr>
          <w:rFonts w:ascii="文星简黑体" w:eastAsia="文星简黑体"/>
          <w:sz w:val="52"/>
          <w:szCs w:val="52"/>
        </w:rPr>
      </w:pPr>
    </w:p>
    <w:p>
      <w:pPr>
        <w:spacing w:line="580" w:lineRule="exact"/>
        <w:jc w:val="center"/>
        <w:rPr>
          <w:rFonts w:ascii="文星简黑体" w:hAnsi="黑体" w:eastAsia="文星简黑体"/>
          <w:sz w:val="52"/>
          <w:szCs w:val="52"/>
        </w:rPr>
      </w:pPr>
    </w:p>
    <w:p>
      <w:pPr>
        <w:spacing w:line="900" w:lineRule="exact"/>
        <w:jc w:val="center"/>
        <w:rPr>
          <w:rFonts w:hint="eastAsia" w:ascii="方正小标宋简体" w:hAnsi="黑体" w:eastAsia="方正小标宋简体"/>
          <w:sz w:val="48"/>
          <w:szCs w:val="48"/>
        </w:rPr>
      </w:pPr>
      <w:r>
        <w:rPr>
          <w:rFonts w:hint="eastAsia" w:ascii="方正小标宋简体" w:hAnsi="黑体" w:eastAsia="方正小标宋简体" w:cs="文星简黑体"/>
          <w:sz w:val="48"/>
          <w:szCs w:val="48"/>
          <w:lang w:val="en-US" w:eastAsia="zh-CN"/>
        </w:rPr>
        <w:t>山亭区融媒体中心山东省影视节目</w:t>
      </w:r>
      <w:r>
        <w:rPr>
          <w:rFonts w:hint="eastAsia" w:ascii="方正小标宋简体" w:hAnsi="黑体" w:eastAsia="方正小标宋简体" w:cs="文星简黑体"/>
          <w:sz w:val="48"/>
          <w:szCs w:val="48"/>
        </w:rPr>
        <w:t>项目支出</w:t>
      </w:r>
    </w:p>
    <w:p>
      <w:pPr>
        <w:spacing w:line="900" w:lineRule="exact"/>
        <w:jc w:val="center"/>
        <w:rPr>
          <w:rFonts w:hint="eastAsia" w:ascii="方正小标宋简体" w:eastAsia="方正小标宋简体"/>
          <w:sz w:val="48"/>
          <w:szCs w:val="48"/>
        </w:rPr>
      </w:pPr>
      <w:r>
        <w:rPr>
          <w:rFonts w:hint="eastAsia" w:ascii="方正小标宋简体" w:eastAsia="方正小标宋简体" w:cs="文星简黑体"/>
          <w:sz w:val="48"/>
          <w:szCs w:val="48"/>
        </w:rPr>
        <w:t>绩效评价报告</w:t>
      </w:r>
    </w:p>
    <w:p>
      <w:pPr>
        <w:spacing w:line="580" w:lineRule="exact"/>
        <w:jc w:val="right"/>
        <w:rPr>
          <w:rFonts w:ascii="文星简黑体" w:eastAsia="文星简黑体"/>
          <w:sz w:val="52"/>
          <w:szCs w:val="52"/>
        </w:rPr>
      </w:pPr>
    </w:p>
    <w:p>
      <w:pPr>
        <w:spacing w:line="580" w:lineRule="exact"/>
        <w:jc w:val="center"/>
        <w:rPr>
          <w:rFonts w:ascii="文星简黑体" w:eastAsia="文星简黑体"/>
          <w:sz w:val="52"/>
          <w:szCs w:val="52"/>
        </w:rPr>
      </w:pPr>
    </w:p>
    <w:p>
      <w:pPr>
        <w:spacing w:line="580" w:lineRule="exact"/>
        <w:jc w:val="center"/>
        <w:rPr>
          <w:rFonts w:ascii="文星简黑体" w:eastAsia="文星简黑体"/>
          <w:sz w:val="52"/>
          <w:szCs w:val="52"/>
        </w:rPr>
      </w:pPr>
    </w:p>
    <w:p>
      <w:pPr>
        <w:spacing w:line="580" w:lineRule="exact"/>
        <w:jc w:val="center"/>
        <w:rPr>
          <w:rFonts w:ascii="文星简黑体" w:eastAsia="文星简黑体"/>
          <w:sz w:val="52"/>
          <w:szCs w:val="52"/>
        </w:rPr>
      </w:pPr>
    </w:p>
    <w:p>
      <w:pPr>
        <w:spacing w:line="580" w:lineRule="exact"/>
        <w:jc w:val="center"/>
        <w:rPr>
          <w:rFonts w:ascii="文星简黑体" w:eastAsia="文星简黑体"/>
          <w:sz w:val="52"/>
          <w:szCs w:val="52"/>
        </w:rPr>
      </w:pPr>
    </w:p>
    <w:p>
      <w:pPr>
        <w:spacing w:before="120" w:after="120" w:line="580" w:lineRule="exact"/>
        <w:jc w:val="center"/>
        <w:rPr>
          <w:rFonts w:ascii="文星简黑体" w:eastAsia="文星简黑体"/>
          <w:sz w:val="28"/>
          <w:szCs w:val="28"/>
        </w:rPr>
      </w:pPr>
    </w:p>
    <w:p>
      <w:pPr>
        <w:spacing w:before="120" w:after="120" w:line="580" w:lineRule="exact"/>
        <w:jc w:val="center"/>
        <w:rPr>
          <w:rFonts w:ascii="文星简黑体" w:eastAsia="文星简黑体"/>
          <w:sz w:val="28"/>
          <w:szCs w:val="28"/>
        </w:rPr>
      </w:pPr>
    </w:p>
    <w:p>
      <w:pPr>
        <w:spacing w:before="120" w:after="120" w:line="580" w:lineRule="exact"/>
        <w:jc w:val="center"/>
        <w:rPr>
          <w:rFonts w:ascii="黑体" w:hAnsi="黑体" w:eastAsia="黑体"/>
          <w:sz w:val="32"/>
          <w:szCs w:val="32"/>
        </w:rPr>
      </w:pPr>
      <w:r>
        <w:rPr>
          <w:rFonts w:ascii="黑体" w:hAnsi="黑体" w:eastAsia="黑体" w:cs="文星简黑体"/>
          <w:sz w:val="32"/>
          <w:szCs w:val="32"/>
        </w:rPr>
        <w:t>20</w:t>
      </w:r>
      <w:r>
        <w:rPr>
          <w:rFonts w:hint="eastAsia" w:ascii="黑体" w:hAnsi="黑体" w:eastAsia="黑体" w:cs="文星简黑体"/>
          <w:sz w:val="32"/>
          <w:szCs w:val="32"/>
          <w:lang w:val="en-US" w:eastAsia="zh-CN"/>
        </w:rPr>
        <w:t>20</w:t>
      </w:r>
      <w:r>
        <w:rPr>
          <w:rFonts w:hint="eastAsia" w:ascii="黑体" w:hAnsi="黑体" w:eastAsia="黑体" w:cs="文星简黑体"/>
          <w:sz w:val="32"/>
          <w:szCs w:val="32"/>
        </w:rPr>
        <w:t>年</w:t>
      </w:r>
      <w:r>
        <w:rPr>
          <w:rFonts w:hint="eastAsia" w:ascii="黑体" w:hAnsi="黑体" w:eastAsia="黑体" w:cs="文星简黑体"/>
          <w:sz w:val="32"/>
          <w:szCs w:val="32"/>
          <w:lang w:val="en-US" w:eastAsia="zh-CN"/>
        </w:rPr>
        <w:t>9</w:t>
      </w:r>
      <w:r>
        <w:rPr>
          <w:rFonts w:hint="eastAsia" w:ascii="黑体" w:hAnsi="黑体" w:eastAsia="黑体" w:cs="文星简黑体"/>
          <w:sz w:val="32"/>
          <w:szCs w:val="32"/>
        </w:rPr>
        <w:t>月</w:t>
      </w:r>
    </w:p>
    <w:p>
      <w:pPr>
        <w:pStyle w:val="16"/>
        <w:rPr>
          <w:rFonts w:hint="eastAsia" w:ascii="宋体" w:hAnsi="宋体" w:cs="宋体"/>
          <w:color w:val="000000"/>
          <w:sz w:val="44"/>
        </w:rPr>
      </w:pPr>
      <w:r>
        <w:rPr>
          <w:rFonts w:eastAsia="仿宋_GB2312"/>
        </w:rPr>
        <w:br w:type="page"/>
      </w:r>
    </w:p>
    <w:p>
      <w:pPr>
        <w:pStyle w:val="16"/>
        <w:rPr>
          <w:rFonts w:ascii="宋体" w:hAnsi="宋体" w:cs="宋体"/>
          <w:color w:val="000000"/>
          <w:sz w:val="44"/>
        </w:rPr>
      </w:pPr>
      <w:r>
        <w:rPr>
          <w:rFonts w:hint="eastAsia" w:asciiTheme="minorEastAsia" w:hAnsiTheme="minorEastAsia" w:eastAsiaTheme="minorEastAsia" w:cstheme="minorEastAsia"/>
          <w:sz w:val="44"/>
          <w:szCs w:val="44"/>
          <w:lang w:val="en-US" w:eastAsia="zh-CN"/>
        </w:rPr>
        <w:t>山亭区融媒体中心山东省影视节目</w:t>
      </w:r>
      <w:r>
        <w:rPr>
          <w:rFonts w:hint="eastAsia" w:ascii="宋体" w:hAnsi="宋体" w:cs="宋体"/>
          <w:color w:val="000000"/>
          <w:sz w:val="44"/>
        </w:rPr>
        <w:t>项目</w:t>
      </w:r>
    </w:p>
    <w:p>
      <w:pPr>
        <w:pStyle w:val="16"/>
        <w:rPr>
          <w:rFonts w:ascii="宋体" w:hAnsi="宋体" w:cs="宋体"/>
          <w:color w:val="000000"/>
          <w:sz w:val="44"/>
        </w:rPr>
      </w:pPr>
      <w:r>
        <w:rPr>
          <w:rFonts w:hint="eastAsia" w:ascii="宋体" w:hAnsi="宋体" w:cs="宋体"/>
          <w:color w:val="000000"/>
          <w:sz w:val="44"/>
        </w:rPr>
        <w:t>绩效评价报告</w:t>
      </w:r>
    </w:p>
    <w:p/>
    <w:p>
      <w:pPr>
        <w:pStyle w:val="57"/>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一、项目基本情况</w:t>
      </w:r>
    </w:p>
    <w:p>
      <w:pPr>
        <w:spacing w:line="580" w:lineRule="exact"/>
        <w:ind w:firstLine="480" w:firstLineChars="150"/>
        <w:jc w:val="left"/>
        <w:rPr>
          <w:rFonts w:hint="eastAsia"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（一）项目简介</w:t>
      </w:r>
    </w:p>
    <w:p>
      <w:pPr>
        <w:spacing w:line="580" w:lineRule="exact"/>
        <w:ind w:firstLine="800" w:firstLineChars="250"/>
        <w:jc w:val="left"/>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（一）全面贯彻执行党中央、国务院和省、市、区各级党委、政府关于广播电视方面的路线、方针、政策，遵守国家、省、市、区广播电视事业管理的法律、法规和各项规定，提供广播电视领域的公共服务。</w:t>
      </w:r>
    </w:p>
    <w:p>
      <w:pPr>
        <w:spacing w:line="580" w:lineRule="exact"/>
        <w:ind w:firstLine="800" w:firstLineChars="250"/>
        <w:jc w:val="left"/>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（二）制定全区广播电视事业的发展规划及工作目标，制定相应的实施计划，促进全区广播电视事业、产业健康有序发展。</w:t>
      </w:r>
    </w:p>
    <w:p>
      <w:pPr>
        <w:spacing w:line="580" w:lineRule="exact"/>
        <w:ind w:firstLine="800" w:firstLineChars="250"/>
        <w:jc w:val="left"/>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（三）把握正确的舆论导向，围绕区委、区政府的中心工作开展宣传，确定宣传工作的指导思想和报道重点，组织开展广播电视的重大宣传活动。</w:t>
      </w:r>
    </w:p>
    <w:p>
      <w:pPr>
        <w:spacing w:line="580" w:lineRule="exact"/>
        <w:ind w:firstLine="800" w:firstLineChars="250"/>
        <w:jc w:val="left"/>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（四）负责全区广播电视新闻节目、文艺节目的采编、录制工作。</w:t>
      </w:r>
    </w:p>
    <w:p>
      <w:pPr>
        <w:spacing w:line="580" w:lineRule="exact"/>
        <w:ind w:firstLine="800" w:firstLineChars="250"/>
        <w:jc w:val="left"/>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（五）负责对中央、省、市上级媒体的对上宣传和报道工作，开展广播电视领域的对外交流与合作。</w:t>
      </w:r>
    </w:p>
    <w:p>
      <w:pPr>
        <w:spacing w:line="580" w:lineRule="exact"/>
        <w:ind w:firstLine="800" w:firstLineChars="250"/>
        <w:jc w:val="left"/>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（六）负责全区广播电视节目的传输、覆盖和安全播出工作，安全优质地转播中央、省、市广播电视节目及重大活动节目。</w:t>
      </w:r>
    </w:p>
    <w:p>
      <w:pPr>
        <w:spacing w:line="580" w:lineRule="exact"/>
        <w:ind w:firstLine="800" w:firstLineChars="250"/>
        <w:jc w:val="left"/>
        <w:rPr>
          <w:rFonts w:hint="default" w:ascii="仿宋" w:hAnsi="仿宋" w:eastAsia="仿宋"/>
          <w:kern w:val="0"/>
          <w:sz w:val="32"/>
          <w:szCs w:val="32"/>
          <w:lang w:val="en-US" w:eastAsia="zh-CN"/>
        </w:rPr>
      </w:pPr>
      <w:r>
        <w:rPr>
          <w:rFonts w:hint="eastAsia" w:ascii="仿宋" w:hAnsi="仿宋" w:eastAsia="仿宋"/>
          <w:kern w:val="0"/>
          <w:sz w:val="32"/>
          <w:szCs w:val="32"/>
          <w:lang w:val="en-US" w:eastAsia="zh-CN"/>
        </w:rPr>
        <w:t>根据《山东省广播电视管理条例》有关规定，山东齐鲁音像出版有限公司（山东省影视节目交流中心）提供供片1989集，7档电视栏目。</w:t>
      </w:r>
    </w:p>
    <w:p>
      <w:pPr>
        <w:spacing w:line="580" w:lineRule="exact"/>
        <w:ind w:firstLine="480" w:firstLineChars="150"/>
        <w:jc w:val="left"/>
        <w:rPr>
          <w:rFonts w:hint="eastAsia"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（二）项目立项</w:t>
      </w:r>
    </w:p>
    <w:p>
      <w:pPr>
        <w:spacing w:line="580" w:lineRule="exact"/>
        <w:ind w:firstLine="480" w:firstLineChars="150"/>
        <w:jc w:val="left"/>
        <w:rPr>
          <w:rFonts w:hint="eastAsia" w:ascii="楷体_GB2312" w:hAnsi="楷体_GB2312" w:eastAsia="楷体_GB2312" w:cs="楷体_GB2312"/>
          <w:kern w:val="0"/>
          <w:sz w:val="32"/>
          <w:szCs w:val="32"/>
          <w:lang w:val="en-US" w:eastAsia="zh-CN" w:bidi="ar-SA"/>
        </w:rPr>
      </w:pPr>
      <w:r>
        <w:rPr>
          <w:rFonts w:hint="eastAsia" w:ascii="仿宋" w:hAnsi="仿宋" w:eastAsia="仿宋"/>
          <w:kern w:val="0"/>
          <w:sz w:val="32"/>
          <w:szCs w:val="32"/>
        </w:rPr>
        <w:t>通过项目实施，山亭电视台有了节目库，按照每天4集播出的标准，充实电视节目，更加丰富了全区人民群众的精神文化生活。</w:t>
      </w:r>
      <w:r>
        <w:rPr>
          <w:rFonts w:hint="eastAsia" w:ascii="楷体_GB2312" w:hAnsi="楷体_GB2312" w:eastAsia="楷体_GB2312" w:cs="楷体_GB2312"/>
          <w:kern w:val="0"/>
          <w:sz w:val="32"/>
          <w:szCs w:val="32"/>
          <w:lang w:val="en-US" w:eastAsia="zh-CN" w:bidi="ar-SA"/>
        </w:rPr>
        <w:t>（三）项目预算</w:t>
      </w:r>
    </w:p>
    <w:p>
      <w:pPr>
        <w:pStyle w:val="16"/>
        <w:ind w:firstLine="643"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山亭区融媒体中心山东省影视节目</w:t>
      </w:r>
      <w:r>
        <w:rPr>
          <w:rFonts w:hint="eastAsia" w:ascii="仿宋_GB2312" w:hAnsi="仿宋_GB2312" w:eastAsia="仿宋_GB2312" w:cs="仿宋_GB2312"/>
          <w:color w:val="000000"/>
          <w:sz w:val="32"/>
          <w:szCs w:val="32"/>
        </w:rPr>
        <w:t>项目</w:t>
      </w:r>
      <w:r>
        <w:rPr>
          <w:rFonts w:hint="eastAsia" w:ascii="仿宋_GB2312" w:hAnsi="仿宋_GB2312" w:eastAsia="仿宋_GB2312" w:cs="仿宋_GB2312"/>
          <w:sz w:val="32"/>
          <w:szCs w:val="32"/>
          <w:lang w:eastAsia="zh-CN"/>
        </w:rPr>
        <w:t>经</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eastAsia="zh-CN"/>
        </w:rPr>
        <w:t>财务部门进行了概算估计，</w:t>
      </w:r>
      <w:r>
        <w:rPr>
          <w:rFonts w:hint="eastAsia" w:ascii="仿宋_GB2312" w:hAnsi="仿宋_GB2312" w:eastAsia="仿宋_GB2312" w:cs="仿宋_GB2312"/>
          <w:kern w:val="0"/>
          <w:sz w:val="32"/>
          <w:szCs w:val="32"/>
        </w:rPr>
        <w:t>计划总投资为</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bCs/>
          <w:sz w:val="32"/>
          <w:szCs w:val="32"/>
        </w:rPr>
        <w:t>财政拨款项目资金</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万元</w:t>
      </w:r>
      <w:r>
        <w:rPr>
          <w:rFonts w:hint="eastAsia" w:ascii="仿宋_GB2312" w:hAnsi="仿宋_GB2312" w:eastAsia="仿宋_GB2312" w:cs="仿宋_GB2312"/>
          <w:kern w:val="0"/>
          <w:sz w:val="32"/>
          <w:szCs w:val="32"/>
        </w:rPr>
        <w:t>。</w:t>
      </w:r>
    </w:p>
    <w:p>
      <w:pPr>
        <w:spacing w:line="580" w:lineRule="exact"/>
        <w:ind w:firstLine="480" w:firstLineChars="150"/>
        <w:jc w:val="left"/>
        <w:rPr>
          <w:rFonts w:hint="eastAsia"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（四）项目计划实施内容</w:t>
      </w:r>
    </w:p>
    <w:p>
      <w:pPr>
        <w:spacing w:line="580" w:lineRule="exact"/>
        <w:ind w:firstLine="480" w:firstLineChars="150"/>
        <w:jc w:val="left"/>
        <w:rPr>
          <w:rFonts w:hint="eastAsia" w:ascii="楷体_GB2312" w:hAnsi="楷体_GB2312" w:eastAsia="楷体_GB2312" w:cs="楷体_GB2312"/>
          <w:kern w:val="0"/>
          <w:sz w:val="32"/>
          <w:szCs w:val="32"/>
          <w:lang w:val="en-US" w:eastAsia="zh-CN" w:bidi="ar-SA"/>
        </w:rPr>
      </w:pPr>
      <w:r>
        <w:rPr>
          <w:rFonts w:hint="eastAsia" w:ascii="仿宋" w:hAnsi="仿宋" w:eastAsia="仿宋"/>
          <w:kern w:val="0"/>
          <w:sz w:val="32"/>
          <w:szCs w:val="32"/>
        </w:rPr>
        <w:t>通过项目实施，山亭电视台有了节目库，按照每天4集播出的标准，充实电视节目，更加丰富了全区人民群众的精神文化生活。</w:t>
      </w:r>
      <w:r>
        <w:rPr>
          <w:rFonts w:hint="eastAsia" w:ascii="楷体_GB2312" w:hAnsi="楷体_GB2312" w:eastAsia="楷体_GB2312" w:cs="楷体_GB2312"/>
          <w:kern w:val="0"/>
          <w:sz w:val="32"/>
          <w:szCs w:val="32"/>
          <w:lang w:val="en-US" w:eastAsia="zh-CN" w:bidi="ar-SA"/>
        </w:rPr>
        <w:t>（五）项目组织管理</w:t>
      </w:r>
    </w:p>
    <w:p>
      <w:pPr>
        <w:spacing w:line="580" w:lineRule="exact"/>
        <w:ind w:firstLine="640" w:firstLineChars="200"/>
        <w:jc w:val="left"/>
        <w:rPr>
          <w:rFonts w:ascii="仿宋" w:hAnsi="仿宋" w:eastAsia="仿宋"/>
          <w:kern w:val="0"/>
          <w:sz w:val="32"/>
          <w:szCs w:val="32"/>
        </w:rPr>
      </w:pPr>
      <w:r>
        <w:rPr>
          <w:rFonts w:hint="eastAsia" w:ascii="仿宋" w:hAnsi="仿宋" w:eastAsia="仿宋"/>
          <w:kern w:val="0"/>
          <w:sz w:val="32"/>
          <w:szCs w:val="32"/>
          <w:lang w:val="en-US" w:eastAsia="zh-CN"/>
        </w:rPr>
        <w:t>枣庄山亭区融媒体中心认真编排电视节目，认真按照电视节目单安排电视节目，丰富电视栏目，确保电视节目质量</w:t>
      </w:r>
      <w:r>
        <w:rPr>
          <w:rFonts w:hint="eastAsia" w:ascii="仿宋" w:hAnsi="仿宋" w:eastAsia="仿宋"/>
          <w:kern w:val="0"/>
          <w:sz w:val="32"/>
          <w:szCs w:val="32"/>
        </w:rPr>
        <w:t>。</w:t>
      </w:r>
    </w:p>
    <w:p>
      <w:pPr>
        <w:spacing w:line="58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二、项目绩效目标</w:t>
      </w:r>
    </w:p>
    <w:p>
      <w:pPr>
        <w:spacing w:line="580" w:lineRule="exact"/>
        <w:ind w:firstLine="480" w:firstLineChars="150"/>
        <w:jc w:val="left"/>
        <w:rPr>
          <w:rFonts w:hint="eastAsia"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（一）长期绩效目标</w:t>
      </w:r>
    </w:p>
    <w:p>
      <w:pPr>
        <w:spacing w:line="580" w:lineRule="exact"/>
        <w:ind w:firstLine="480" w:firstLineChars="150"/>
        <w:jc w:val="left"/>
        <w:rPr>
          <w:rFonts w:hint="eastAsia" w:ascii="仿宋" w:hAnsi="仿宋" w:eastAsia="仿宋"/>
          <w:sz w:val="32"/>
          <w:szCs w:val="32"/>
          <w:lang w:val="en-US" w:eastAsia="zh-CN"/>
        </w:rPr>
      </w:pPr>
      <w:r>
        <w:rPr>
          <w:rFonts w:hint="eastAsia" w:ascii="仿宋" w:hAnsi="仿宋" w:eastAsia="仿宋"/>
          <w:sz w:val="32"/>
          <w:szCs w:val="32"/>
          <w:lang w:val="en-US" w:eastAsia="zh-CN"/>
        </w:rPr>
        <w:t>充实电视节目，更加丰富了全区人民群众的精神文化生活。</w:t>
      </w:r>
    </w:p>
    <w:p>
      <w:pPr>
        <w:spacing w:line="580" w:lineRule="exact"/>
        <w:ind w:firstLine="480" w:firstLineChars="150"/>
        <w:jc w:val="left"/>
        <w:rPr>
          <w:rFonts w:hint="eastAsia"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（二）年度绩效目标</w:t>
      </w:r>
    </w:p>
    <w:p>
      <w:pPr>
        <w:spacing w:line="580" w:lineRule="exact"/>
        <w:ind w:firstLine="640" w:firstLineChars="200"/>
        <w:jc w:val="left"/>
        <w:rPr>
          <w:rFonts w:hint="default" w:ascii="黑体" w:hAnsi="黑体" w:eastAsia="仿宋" w:cs="黑体"/>
          <w:sz w:val="32"/>
          <w:szCs w:val="32"/>
          <w:lang w:val="en-US" w:eastAsia="zh-CN"/>
        </w:rPr>
      </w:pPr>
      <w:r>
        <w:rPr>
          <w:rFonts w:hint="eastAsia" w:ascii="仿宋" w:hAnsi="仿宋" w:eastAsia="仿宋"/>
          <w:kern w:val="0"/>
          <w:sz w:val="32"/>
          <w:szCs w:val="32"/>
          <w:lang w:eastAsia="zh-CN"/>
        </w:rPr>
        <w:t>按计划按节目单完成播出任务</w:t>
      </w:r>
      <w:r>
        <w:rPr>
          <w:rFonts w:hint="eastAsia" w:ascii="仿宋" w:hAnsi="仿宋" w:eastAsia="仿宋"/>
          <w:sz w:val="32"/>
          <w:szCs w:val="32"/>
          <w:lang w:val="en-US" w:eastAsia="zh-CN"/>
        </w:rPr>
        <w:t>。</w:t>
      </w:r>
    </w:p>
    <w:tbl>
      <w:tblPr>
        <w:tblStyle w:val="17"/>
        <w:tblW w:w="9218" w:type="dxa"/>
        <w:tblInd w:w="0" w:type="dxa"/>
        <w:shd w:val="clear" w:color="auto" w:fill="auto"/>
        <w:tblLayout w:type="autofit"/>
        <w:tblCellMar>
          <w:top w:w="0" w:type="dxa"/>
          <w:left w:w="0" w:type="dxa"/>
          <w:bottom w:w="0" w:type="dxa"/>
          <w:right w:w="0" w:type="dxa"/>
        </w:tblCellMar>
      </w:tblPr>
      <w:tblGrid>
        <w:gridCol w:w="639"/>
        <w:gridCol w:w="1175"/>
        <w:gridCol w:w="5824"/>
        <w:gridCol w:w="1580"/>
      </w:tblGrid>
      <w:tr>
        <w:tblPrEx>
          <w:shd w:val="clear" w:color="auto" w:fill="auto"/>
          <w:tblCellMar>
            <w:top w:w="0" w:type="dxa"/>
            <w:left w:w="0" w:type="dxa"/>
            <w:bottom w:w="0" w:type="dxa"/>
            <w:right w:w="0" w:type="dxa"/>
          </w:tblCellMar>
        </w:tblPrEx>
        <w:trPr>
          <w:trHeight w:val="30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一级指标</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二级指标</w:t>
            </w:r>
          </w:p>
        </w:tc>
        <w:tc>
          <w:tcPr>
            <w:tcW w:w="58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三级指标</w:t>
            </w: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指标值</w:t>
            </w:r>
          </w:p>
        </w:tc>
      </w:tr>
      <w:tr>
        <w:tblPrEx>
          <w:tblCellMar>
            <w:top w:w="0" w:type="dxa"/>
            <w:left w:w="0" w:type="dxa"/>
            <w:bottom w:w="0" w:type="dxa"/>
            <w:right w:w="0" w:type="dxa"/>
          </w:tblCellMar>
        </w:tblPrEx>
        <w:trPr>
          <w:trHeight w:val="300" w:hRule="atLeast"/>
        </w:trPr>
        <w:tc>
          <w:tcPr>
            <w:tcW w:w="63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产出指标</w:t>
            </w:r>
          </w:p>
        </w:tc>
        <w:tc>
          <w:tcPr>
            <w:tcW w:w="1175"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数量指标</w:t>
            </w:r>
          </w:p>
        </w:tc>
        <w:tc>
          <w:tcPr>
            <w:tcW w:w="58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lang w:val="en-US" w:eastAsia="zh-CN"/>
              </w:rPr>
            </w:pPr>
            <w:r>
              <w:rPr>
                <w:rFonts w:hint="eastAsia"/>
              </w:rPr>
              <w:t>电视栏目</w:t>
            </w: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7个</w:t>
            </w:r>
          </w:p>
        </w:tc>
      </w:tr>
      <w:tr>
        <w:tblPrEx>
          <w:tblCellMar>
            <w:top w:w="0" w:type="dxa"/>
            <w:left w:w="0" w:type="dxa"/>
            <w:bottom w:w="0" w:type="dxa"/>
            <w:right w:w="0" w:type="dxa"/>
          </w:tblCellMar>
        </w:tblPrEx>
        <w:trPr>
          <w:trHeight w:val="300" w:hRule="atLeast"/>
        </w:trPr>
        <w:tc>
          <w:tcPr>
            <w:tcW w:w="63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175"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58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lang w:val="en-US" w:eastAsia="zh-CN"/>
              </w:rPr>
            </w:pPr>
            <w:r>
              <w:rPr>
                <w:rFonts w:hint="eastAsia" w:ascii="仿宋_GB2312" w:hAnsi="宋体" w:eastAsia="仿宋_GB2312" w:cs="仿宋_GB2312"/>
                <w:i w:val="0"/>
                <w:color w:val="000000"/>
                <w:sz w:val="22"/>
                <w:szCs w:val="22"/>
                <w:u w:val="none"/>
                <w:lang w:val="en-US" w:eastAsia="zh-CN"/>
              </w:rPr>
              <w:t>供片数量</w:t>
            </w: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rPr>
              <w:t>1989</w:t>
            </w:r>
          </w:p>
        </w:tc>
      </w:tr>
      <w:tr>
        <w:tblPrEx>
          <w:tblCellMar>
            <w:top w:w="0" w:type="dxa"/>
            <w:left w:w="0" w:type="dxa"/>
            <w:bottom w:w="0" w:type="dxa"/>
            <w:right w:w="0" w:type="dxa"/>
          </w:tblCellMar>
        </w:tblPrEx>
        <w:trPr>
          <w:trHeight w:val="300" w:hRule="atLeast"/>
        </w:trPr>
        <w:tc>
          <w:tcPr>
            <w:tcW w:w="63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175"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58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lang w:val="en-US" w:eastAsia="zh-CN"/>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eastAsia="zh-CN"/>
              </w:rPr>
            </w:pPr>
          </w:p>
        </w:tc>
      </w:tr>
      <w:tr>
        <w:tblPrEx>
          <w:tblCellMar>
            <w:top w:w="0" w:type="dxa"/>
            <w:left w:w="0" w:type="dxa"/>
            <w:bottom w:w="0" w:type="dxa"/>
            <w:right w:w="0" w:type="dxa"/>
          </w:tblCellMar>
        </w:tblPrEx>
        <w:trPr>
          <w:trHeight w:val="420" w:hRule="atLeast"/>
        </w:trPr>
        <w:tc>
          <w:tcPr>
            <w:tcW w:w="63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17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质量指标</w:t>
            </w:r>
          </w:p>
        </w:tc>
        <w:tc>
          <w:tcPr>
            <w:tcW w:w="5824"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tbl>
            <w:tblPr>
              <w:tblStyle w:val="17"/>
              <w:tblW w:w="5800" w:type="dxa"/>
              <w:tblInd w:w="-20" w:type="dxa"/>
              <w:shd w:val="clear" w:color="auto" w:fill="auto"/>
              <w:tblLayout w:type="autofit"/>
              <w:tblCellMar>
                <w:top w:w="0" w:type="dxa"/>
                <w:left w:w="0" w:type="dxa"/>
                <w:bottom w:w="0" w:type="dxa"/>
                <w:right w:w="0" w:type="dxa"/>
              </w:tblCellMar>
            </w:tblPr>
            <w:tblGrid>
              <w:gridCol w:w="5800"/>
            </w:tblGrid>
            <w:tr>
              <w:tblPrEx>
                <w:shd w:val="clear" w:color="auto" w:fill="auto"/>
                <w:tblCellMar>
                  <w:top w:w="0" w:type="dxa"/>
                  <w:left w:w="0" w:type="dxa"/>
                  <w:bottom w:w="0" w:type="dxa"/>
                  <w:right w:w="0" w:type="dxa"/>
                </w:tblCellMar>
              </w:tblPrEx>
              <w:trPr>
                <w:trHeight w:val="384" w:hRule="atLeast"/>
              </w:trPr>
              <w:tc>
                <w:tcPr>
                  <w:tcW w:w="5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电视节目播出率</w:t>
                  </w:r>
                </w:p>
              </w:tc>
            </w:tr>
            <w:tr>
              <w:tblPrEx>
                <w:tblCellMar>
                  <w:top w:w="0" w:type="dxa"/>
                  <w:left w:w="0" w:type="dxa"/>
                  <w:bottom w:w="0" w:type="dxa"/>
                  <w:right w:w="0" w:type="dxa"/>
                </w:tblCellMar>
              </w:tblPrEx>
              <w:trPr>
                <w:trHeight w:val="329" w:hRule="atLeast"/>
              </w:trPr>
              <w:tc>
                <w:tcPr>
                  <w:tcW w:w="5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电视节目质量</w:t>
                  </w:r>
                </w:p>
              </w:tc>
            </w:tr>
            <w:tr>
              <w:tblPrEx>
                <w:tblCellMar>
                  <w:top w:w="0" w:type="dxa"/>
                  <w:left w:w="0" w:type="dxa"/>
                  <w:bottom w:w="0" w:type="dxa"/>
                  <w:right w:w="0" w:type="dxa"/>
                </w:tblCellMar>
              </w:tblPrEx>
              <w:trPr>
                <w:trHeight w:val="329" w:hRule="atLeast"/>
              </w:trPr>
              <w:tc>
                <w:tcPr>
                  <w:tcW w:w="5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329" w:hRule="atLeast"/>
              </w:trPr>
              <w:tc>
                <w:tcPr>
                  <w:tcW w:w="5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329" w:hRule="atLeast"/>
              </w:trPr>
              <w:tc>
                <w:tcPr>
                  <w:tcW w:w="5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339" w:hRule="atLeast"/>
              </w:trPr>
              <w:tc>
                <w:tcPr>
                  <w:tcW w:w="5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p>
              </w:tc>
            </w:tr>
          </w:tbl>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sz w:val="20"/>
                <w:szCs w:val="20"/>
                <w:u w:val="none"/>
              </w:rPr>
              <w:t>100%</w:t>
            </w:r>
          </w:p>
        </w:tc>
      </w:tr>
      <w:tr>
        <w:tblPrEx>
          <w:tblCellMar>
            <w:top w:w="0" w:type="dxa"/>
            <w:left w:w="0" w:type="dxa"/>
            <w:bottom w:w="0" w:type="dxa"/>
            <w:right w:w="0" w:type="dxa"/>
          </w:tblCellMar>
        </w:tblPrEx>
        <w:trPr>
          <w:trHeight w:val="333" w:hRule="atLeast"/>
        </w:trPr>
        <w:tc>
          <w:tcPr>
            <w:tcW w:w="63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p>
        </w:tc>
        <w:tc>
          <w:tcPr>
            <w:tcW w:w="117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p>
        </w:tc>
        <w:tc>
          <w:tcPr>
            <w:tcW w:w="582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有效保障</w:t>
            </w:r>
          </w:p>
        </w:tc>
      </w:tr>
      <w:tr>
        <w:tblPrEx>
          <w:tblCellMar>
            <w:top w:w="0" w:type="dxa"/>
            <w:left w:w="0" w:type="dxa"/>
            <w:bottom w:w="0" w:type="dxa"/>
            <w:right w:w="0" w:type="dxa"/>
          </w:tblCellMar>
        </w:tblPrEx>
        <w:trPr>
          <w:trHeight w:val="333" w:hRule="atLeast"/>
        </w:trPr>
        <w:tc>
          <w:tcPr>
            <w:tcW w:w="63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117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582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r>
      <w:tr>
        <w:tblPrEx>
          <w:tblCellMar>
            <w:top w:w="0" w:type="dxa"/>
            <w:left w:w="0" w:type="dxa"/>
            <w:bottom w:w="0" w:type="dxa"/>
            <w:right w:w="0" w:type="dxa"/>
          </w:tblCellMar>
        </w:tblPrEx>
        <w:trPr>
          <w:trHeight w:val="319" w:hRule="atLeast"/>
        </w:trPr>
        <w:tc>
          <w:tcPr>
            <w:tcW w:w="63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117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582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r>
      <w:tr>
        <w:tblPrEx>
          <w:tblCellMar>
            <w:top w:w="0" w:type="dxa"/>
            <w:left w:w="0" w:type="dxa"/>
            <w:bottom w:w="0" w:type="dxa"/>
            <w:right w:w="0" w:type="dxa"/>
          </w:tblCellMar>
        </w:tblPrEx>
        <w:trPr>
          <w:trHeight w:val="361" w:hRule="atLeast"/>
        </w:trPr>
        <w:tc>
          <w:tcPr>
            <w:tcW w:w="63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117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582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r>
      <w:tr>
        <w:tblPrEx>
          <w:tblCellMar>
            <w:top w:w="0" w:type="dxa"/>
            <w:left w:w="0" w:type="dxa"/>
            <w:bottom w:w="0" w:type="dxa"/>
            <w:right w:w="0" w:type="dxa"/>
          </w:tblCellMar>
        </w:tblPrEx>
        <w:trPr>
          <w:trHeight w:val="295" w:hRule="atLeast"/>
        </w:trPr>
        <w:tc>
          <w:tcPr>
            <w:tcW w:w="63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1175" w:type="dxa"/>
            <w:vMerge w:val="continue"/>
            <w:tcBorders>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5824"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r>
      <w:tr>
        <w:tblPrEx>
          <w:tblCellMar>
            <w:top w:w="0" w:type="dxa"/>
            <w:left w:w="0" w:type="dxa"/>
            <w:bottom w:w="0" w:type="dxa"/>
            <w:right w:w="0" w:type="dxa"/>
          </w:tblCellMar>
        </w:tblPrEx>
        <w:trPr>
          <w:trHeight w:val="525" w:hRule="atLeast"/>
        </w:trPr>
        <w:tc>
          <w:tcPr>
            <w:tcW w:w="63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175"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时效指标</w:t>
            </w:r>
          </w:p>
        </w:tc>
        <w:tc>
          <w:tcPr>
            <w:tcW w:w="58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lang w:val="en-US" w:eastAsia="zh-CN"/>
              </w:rPr>
            </w:pPr>
            <w:r>
              <w:rPr>
                <w:rFonts w:hint="eastAsia" w:ascii="仿宋_GB2312" w:hAnsi="宋体" w:eastAsia="仿宋_GB2312" w:cs="仿宋_GB2312"/>
                <w:i w:val="0"/>
                <w:color w:val="000000"/>
                <w:sz w:val="22"/>
                <w:szCs w:val="22"/>
                <w:u w:val="none"/>
                <w:lang w:val="en-US" w:eastAsia="zh-CN"/>
              </w:rPr>
              <w:t>项目按计划完成率</w:t>
            </w: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100%</w:t>
            </w:r>
          </w:p>
        </w:tc>
      </w:tr>
      <w:tr>
        <w:tblPrEx>
          <w:tblCellMar>
            <w:top w:w="0" w:type="dxa"/>
            <w:left w:w="0" w:type="dxa"/>
            <w:bottom w:w="0" w:type="dxa"/>
            <w:right w:w="0" w:type="dxa"/>
          </w:tblCellMar>
        </w:tblPrEx>
        <w:trPr>
          <w:trHeight w:val="300" w:hRule="atLeast"/>
        </w:trPr>
        <w:tc>
          <w:tcPr>
            <w:tcW w:w="63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17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成本指标</w:t>
            </w:r>
          </w:p>
        </w:tc>
        <w:tc>
          <w:tcPr>
            <w:tcW w:w="58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lang w:val="en-US" w:eastAsia="zh-CN"/>
              </w:rPr>
            </w:pPr>
            <w:r>
              <w:rPr>
                <w:rFonts w:hint="eastAsia" w:ascii="仿宋_GB2312" w:hAnsi="宋体" w:eastAsia="仿宋_GB2312" w:cs="仿宋_GB2312"/>
                <w:i w:val="0"/>
                <w:color w:val="000000"/>
                <w:sz w:val="22"/>
                <w:szCs w:val="22"/>
                <w:u w:val="none"/>
                <w:lang w:val="en-US" w:eastAsia="zh-CN"/>
              </w:rPr>
              <w:t>节目供片总成本</w:t>
            </w: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sz w:val="22"/>
                <w:szCs w:val="22"/>
                <w:u w:val="none"/>
              </w:rPr>
              <w:t>≤4万元</w:t>
            </w:r>
          </w:p>
        </w:tc>
      </w:tr>
      <w:tr>
        <w:tblPrEx>
          <w:tblCellMar>
            <w:top w:w="0" w:type="dxa"/>
            <w:left w:w="0" w:type="dxa"/>
            <w:bottom w:w="0" w:type="dxa"/>
            <w:right w:w="0" w:type="dxa"/>
          </w:tblCellMar>
        </w:tblPrEx>
        <w:trPr>
          <w:trHeight w:val="300" w:hRule="atLeast"/>
        </w:trPr>
        <w:tc>
          <w:tcPr>
            <w:tcW w:w="639" w:type="dxa"/>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175" w:type="dxa"/>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p>
        </w:tc>
        <w:tc>
          <w:tcPr>
            <w:tcW w:w="58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p>
        </w:tc>
      </w:tr>
      <w:tr>
        <w:tblPrEx>
          <w:tblCellMar>
            <w:top w:w="0" w:type="dxa"/>
            <w:left w:w="0" w:type="dxa"/>
            <w:bottom w:w="0" w:type="dxa"/>
            <w:right w:w="0" w:type="dxa"/>
          </w:tblCellMar>
        </w:tblPrEx>
        <w:trPr>
          <w:trHeight w:val="288" w:hRule="atLeast"/>
        </w:trPr>
        <w:tc>
          <w:tcPr>
            <w:tcW w:w="639"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效益指标</w:t>
            </w:r>
          </w:p>
        </w:tc>
        <w:tc>
          <w:tcPr>
            <w:tcW w:w="11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经济效益指标</w:t>
            </w:r>
          </w:p>
        </w:tc>
        <w:tc>
          <w:tcPr>
            <w:tcW w:w="5824"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p>
        </w:tc>
      </w:tr>
      <w:tr>
        <w:tblPrEx>
          <w:tblCellMar>
            <w:top w:w="0" w:type="dxa"/>
            <w:left w:w="0" w:type="dxa"/>
            <w:bottom w:w="0" w:type="dxa"/>
            <w:right w:w="0" w:type="dxa"/>
          </w:tblCellMar>
        </w:tblPrEx>
        <w:trPr>
          <w:trHeight w:val="288" w:hRule="atLeast"/>
        </w:trPr>
        <w:tc>
          <w:tcPr>
            <w:tcW w:w="639"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p>
        </w:tc>
        <w:tc>
          <w:tcPr>
            <w:tcW w:w="1175"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社会效益指标</w:t>
            </w:r>
          </w:p>
        </w:tc>
        <w:tc>
          <w:tcPr>
            <w:tcW w:w="5824"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sz w:val="22"/>
                <w:szCs w:val="22"/>
                <w:u w:val="none"/>
              </w:rPr>
              <w:t>保障节目正常播放</w:t>
            </w: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default" w:ascii="仿宋_GB2312" w:hAnsi="宋体" w:eastAsia="仿宋_GB2312" w:cs="仿宋_GB2312"/>
                <w:i w:val="0"/>
                <w:color w:val="000000"/>
                <w:kern w:val="0"/>
                <w:sz w:val="22"/>
                <w:szCs w:val="22"/>
                <w:u w:val="none"/>
                <w:lang w:val="en-US" w:eastAsia="zh-CN" w:bidi="ar"/>
              </w:rPr>
              <w:t>有效保障</w:t>
            </w:r>
          </w:p>
        </w:tc>
      </w:tr>
      <w:tr>
        <w:tblPrEx>
          <w:tblCellMar>
            <w:top w:w="0" w:type="dxa"/>
            <w:left w:w="0" w:type="dxa"/>
            <w:bottom w:w="0" w:type="dxa"/>
            <w:right w:w="0" w:type="dxa"/>
          </w:tblCellMar>
        </w:tblPrEx>
        <w:trPr>
          <w:trHeight w:val="435" w:hRule="atLeast"/>
        </w:trPr>
        <w:tc>
          <w:tcPr>
            <w:tcW w:w="639"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17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5824"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lang w:val="en-US" w:eastAsia="zh-CN"/>
              </w:rPr>
            </w:pPr>
          </w:p>
        </w:tc>
      </w:tr>
      <w:tr>
        <w:tblPrEx>
          <w:tblCellMar>
            <w:top w:w="0" w:type="dxa"/>
            <w:left w:w="0" w:type="dxa"/>
            <w:bottom w:w="0" w:type="dxa"/>
            <w:right w:w="0" w:type="dxa"/>
          </w:tblCellMar>
        </w:tblPrEx>
        <w:trPr>
          <w:trHeight w:val="435" w:hRule="atLeast"/>
        </w:trPr>
        <w:tc>
          <w:tcPr>
            <w:tcW w:w="639"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175" w:type="dxa"/>
            <w:vMerge w:val="continue"/>
            <w:tcBorders>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5824"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p>
        </w:tc>
      </w:tr>
      <w:tr>
        <w:tblPrEx>
          <w:tblCellMar>
            <w:top w:w="0" w:type="dxa"/>
            <w:left w:w="0" w:type="dxa"/>
            <w:bottom w:w="0" w:type="dxa"/>
            <w:right w:w="0" w:type="dxa"/>
          </w:tblCellMar>
        </w:tblPrEx>
        <w:trPr>
          <w:trHeight w:val="435" w:hRule="atLeast"/>
        </w:trPr>
        <w:tc>
          <w:tcPr>
            <w:tcW w:w="639"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1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可持续影响指标</w:t>
            </w:r>
          </w:p>
        </w:tc>
        <w:tc>
          <w:tcPr>
            <w:tcW w:w="5824"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sz w:val="22"/>
                <w:szCs w:val="22"/>
                <w:u w:val="none"/>
              </w:rPr>
              <w:t>保障电视节目正常播放</w:t>
            </w: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长期有效</w:t>
            </w:r>
          </w:p>
        </w:tc>
      </w:tr>
      <w:tr>
        <w:tblPrEx>
          <w:tblCellMar>
            <w:top w:w="0" w:type="dxa"/>
            <w:left w:w="0" w:type="dxa"/>
            <w:bottom w:w="0" w:type="dxa"/>
            <w:right w:w="0" w:type="dxa"/>
          </w:tblCellMar>
        </w:tblPrEx>
        <w:trPr>
          <w:trHeight w:val="576" w:hRule="atLeast"/>
        </w:trPr>
        <w:tc>
          <w:tcPr>
            <w:tcW w:w="639"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175"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社会公众或服务对象满意度指标</w:t>
            </w:r>
          </w:p>
        </w:tc>
        <w:tc>
          <w:tcPr>
            <w:tcW w:w="5824"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sz w:val="22"/>
                <w:szCs w:val="22"/>
                <w:u w:val="none"/>
              </w:rPr>
              <w:t>服务对象满意度</w:t>
            </w: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sz w:val="22"/>
                <w:szCs w:val="22"/>
                <w:u w:val="none"/>
              </w:rPr>
              <w:t>≥95%</w:t>
            </w:r>
          </w:p>
        </w:tc>
      </w:tr>
      <w:tr>
        <w:tblPrEx>
          <w:tblCellMar>
            <w:top w:w="0" w:type="dxa"/>
            <w:left w:w="0" w:type="dxa"/>
            <w:bottom w:w="0" w:type="dxa"/>
            <w:right w:w="0" w:type="dxa"/>
          </w:tblCellMar>
        </w:tblPrEx>
        <w:trPr>
          <w:trHeight w:val="576" w:hRule="atLeast"/>
        </w:trPr>
        <w:tc>
          <w:tcPr>
            <w:tcW w:w="639" w:type="dxa"/>
            <w:tcBorders>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175" w:type="dxa"/>
            <w:vMerge w:val="continue"/>
            <w:tcBorders>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p>
        </w:tc>
        <w:tc>
          <w:tcPr>
            <w:tcW w:w="5824"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p>
        </w:tc>
      </w:tr>
    </w:tbl>
    <w:p>
      <w:pPr>
        <w:spacing w:line="580" w:lineRule="exact"/>
        <w:ind w:firstLine="640" w:firstLineChars="200"/>
        <w:jc w:val="left"/>
        <w:rPr>
          <w:rFonts w:hint="eastAsia" w:ascii="黑体" w:hAnsi="黑体" w:eastAsia="黑体" w:cs="黑体"/>
          <w:sz w:val="32"/>
          <w:szCs w:val="32"/>
        </w:rPr>
      </w:pPr>
    </w:p>
    <w:p>
      <w:pPr>
        <w:spacing w:line="580" w:lineRule="exact"/>
        <w:ind w:firstLine="640" w:firstLineChars="200"/>
        <w:jc w:val="left"/>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绩效评价情况</w:t>
      </w:r>
    </w:p>
    <w:p>
      <w:pPr>
        <w:spacing w:line="580" w:lineRule="exact"/>
        <w:ind w:firstLine="480" w:firstLineChars="150"/>
        <w:jc w:val="left"/>
        <w:rPr>
          <w:rFonts w:hint="eastAsia"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（一）评价目的</w:t>
      </w:r>
    </w:p>
    <w:p>
      <w:pPr>
        <w:spacing w:line="580" w:lineRule="exact"/>
        <w:ind w:firstLine="640" w:firstLineChars="200"/>
        <w:jc w:val="left"/>
        <w:rPr>
          <w:rFonts w:ascii="仿宋" w:hAnsi="仿宋" w:eastAsia="仿宋" w:cs="楷体_GB2312"/>
          <w:sz w:val="32"/>
          <w:szCs w:val="32"/>
        </w:rPr>
      </w:pPr>
      <w:r>
        <w:rPr>
          <w:rFonts w:hint="eastAsia" w:ascii="仿宋" w:hAnsi="仿宋" w:eastAsia="仿宋" w:cs="楷体_GB2312"/>
          <w:sz w:val="32"/>
          <w:szCs w:val="32"/>
        </w:rPr>
        <w:t>本次绩效评价，旨在通过对项目申报、管理、完成、绩效、违规违纪情况等的逐项分析，全面评价</w:t>
      </w:r>
      <w:r>
        <w:rPr>
          <w:rFonts w:hint="eastAsia" w:ascii="仿宋" w:hAnsi="仿宋" w:eastAsia="仿宋"/>
          <w:kern w:val="0"/>
          <w:sz w:val="32"/>
          <w:szCs w:val="32"/>
          <w:lang w:val="en-US" w:eastAsia="zh-CN"/>
        </w:rPr>
        <w:t>山亭区融媒体中心山东省影视节目项目</w:t>
      </w:r>
      <w:r>
        <w:rPr>
          <w:rFonts w:hint="eastAsia" w:ascii="仿宋" w:hAnsi="仿宋" w:eastAsia="仿宋"/>
          <w:sz w:val="32"/>
          <w:szCs w:val="32"/>
          <w:lang w:val="en-US" w:eastAsia="zh-CN"/>
        </w:rPr>
        <w:t>的</w:t>
      </w:r>
      <w:r>
        <w:rPr>
          <w:rFonts w:hint="eastAsia" w:ascii="仿宋" w:hAnsi="仿宋" w:eastAsia="仿宋" w:cs="楷体_GB2312"/>
          <w:sz w:val="32"/>
          <w:szCs w:val="32"/>
        </w:rPr>
        <w:t>实现情况，查找项目管理中存在的问题，总结工作经验，落实长效运行机制，以推动项目效益的持续提升，促进财政专项资金绩效最大化显现。</w:t>
      </w:r>
    </w:p>
    <w:p>
      <w:pPr>
        <w:spacing w:line="580" w:lineRule="exact"/>
        <w:ind w:firstLine="480" w:firstLineChars="150"/>
        <w:jc w:val="left"/>
        <w:rPr>
          <w:rFonts w:hint="eastAsia"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（二）评价对象与范围</w:t>
      </w:r>
    </w:p>
    <w:p>
      <w:pPr>
        <w:spacing w:line="58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评价对象为</w:t>
      </w:r>
      <w:r>
        <w:rPr>
          <w:rFonts w:hint="eastAsia" w:ascii="仿宋" w:hAnsi="仿宋" w:eastAsia="仿宋" w:cs="仿宋_GB2312"/>
          <w:sz w:val="32"/>
          <w:szCs w:val="32"/>
          <w:lang w:eastAsia="zh-CN"/>
        </w:rPr>
        <w:t>财政拨款项目资金</w:t>
      </w:r>
      <w:r>
        <w:rPr>
          <w:rFonts w:hint="eastAsia" w:ascii="仿宋" w:hAnsi="仿宋" w:eastAsia="仿宋" w:cs="仿宋_GB2312"/>
          <w:sz w:val="32"/>
          <w:szCs w:val="32"/>
          <w:lang w:val="en-US" w:eastAsia="zh-CN"/>
        </w:rPr>
        <w:t>4万元</w:t>
      </w:r>
      <w:r>
        <w:rPr>
          <w:rFonts w:hint="eastAsia" w:ascii="仿宋" w:hAnsi="仿宋" w:eastAsia="仿宋" w:cs="仿宋_GB2312"/>
          <w:sz w:val="32"/>
          <w:szCs w:val="32"/>
        </w:rPr>
        <w:t>的绩效，评价范围为</w:t>
      </w:r>
      <w:r>
        <w:rPr>
          <w:rFonts w:hint="eastAsia" w:ascii="仿宋" w:hAnsi="仿宋" w:eastAsia="仿宋"/>
          <w:kern w:val="0"/>
          <w:sz w:val="32"/>
          <w:szCs w:val="32"/>
          <w:lang w:val="en-US" w:eastAsia="zh-CN"/>
        </w:rPr>
        <w:t>山亭区融媒体中心山东省影视节目项目</w:t>
      </w:r>
      <w:r>
        <w:rPr>
          <w:rFonts w:hint="eastAsia" w:ascii="仿宋" w:hAnsi="仿宋" w:eastAsia="仿宋" w:cs="仿宋_GB2312"/>
          <w:sz w:val="32"/>
          <w:szCs w:val="32"/>
        </w:rPr>
        <w:t>。评价基准日为</w:t>
      </w:r>
      <w:r>
        <w:rPr>
          <w:rFonts w:ascii="仿宋" w:hAnsi="仿宋" w:eastAsia="仿宋" w:cs="仿宋_GB2312"/>
          <w:sz w:val="32"/>
          <w:szCs w:val="32"/>
        </w:rPr>
        <w:t>20</w:t>
      </w:r>
      <w:r>
        <w:rPr>
          <w:rFonts w:hint="eastAsia" w:ascii="仿宋" w:hAnsi="仿宋" w:eastAsia="仿宋" w:cs="仿宋_GB2312"/>
          <w:sz w:val="32"/>
          <w:szCs w:val="32"/>
          <w:lang w:val="en-US" w:eastAsia="zh-CN"/>
        </w:rPr>
        <w:t>19</w:t>
      </w: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12</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31</w:t>
      </w:r>
      <w:r>
        <w:rPr>
          <w:rFonts w:hint="eastAsia" w:ascii="仿宋" w:hAnsi="仿宋" w:eastAsia="仿宋" w:cs="仿宋_GB2312"/>
          <w:sz w:val="32"/>
          <w:szCs w:val="32"/>
        </w:rPr>
        <w:t>日。</w:t>
      </w:r>
    </w:p>
    <w:p>
      <w:pPr>
        <w:spacing w:line="580" w:lineRule="exact"/>
        <w:ind w:firstLine="420" w:firstLineChars="150"/>
        <w:jc w:val="center"/>
        <w:rPr>
          <w:rFonts w:ascii="宋体" w:hAnsi="宋体" w:cs="宋体"/>
          <w:sz w:val="28"/>
          <w:szCs w:val="28"/>
        </w:rPr>
      </w:pPr>
      <w:r>
        <w:rPr>
          <w:rFonts w:hint="eastAsia" w:ascii="宋体" w:hAnsi="宋体" w:cs="宋体"/>
          <w:sz w:val="28"/>
          <w:szCs w:val="28"/>
        </w:rPr>
        <w:t>表</w:t>
      </w:r>
      <w:r>
        <w:rPr>
          <w:rFonts w:ascii="宋体" w:hAnsi="宋体" w:cs="宋体"/>
          <w:sz w:val="28"/>
          <w:szCs w:val="28"/>
        </w:rPr>
        <w:t>1</w:t>
      </w:r>
      <w:r>
        <w:rPr>
          <w:rFonts w:hint="eastAsia" w:ascii="宋体" w:hAnsi="宋体" w:cs="宋体"/>
          <w:sz w:val="28"/>
          <w:szCs w:val="28"/>
        </w:rPr>
        <w:t>：山亭区</w:t>
      </w:r>
      <w:r>
        <w:rPr>
          <w:rFonts w:hint="eastAsia" w:ascii="宋体" w:hAnsi="宋体" w:cs="宋体"/>
          <w:sz w:val="28"/>
          <w:szCs w:val="28"/>
          <w:lang w:eastAsia="zh-CN"/>
        </w:rPr>
        <w:t>融媒体中心山东省影视节目</w:t>
      </w:r>
      <w:r>
        <w:rPr>
          <w:rFonts w:hint="eastAsia" w:ascii="宋体" w:hAnsi="宋体" w:cs="宋体"/>
          <w:sz w:val="28"/>
          <w:szCs w:val="28"/>
        </w:rPr>
        <w:t>项目专项资金预算和支出情况表</w:t>
      </w:r>
    </w:p>
    <w:tbl>
      <w:tblPr>
        <w:tblStyle w:val="17"/>
        <w:tblW w:w="8028" w:type="dxa"/>
        <w:tblInd w:w="119" w:type="dxa"/>
        <w:tblLayout w:type="fixed"/>
        <w:tblCellMar>
          <w:top w:w="0" w:type="dxa"/>
          <w:left w:w="108" w:type="dxa"/>
          <w:bottom w:w="0" w:type="dxa"/>
          <w:right w:w="108" w:type="dxa"/>
        </w:tblCellMar>
      </w:tblPr>
      <w:tblGrid>
        <w:gridCol w:w="713"/>
        <w:gridCol w:w="1544"/>
        <w:gridCol w:w="1197"/>
        <w:gridCol w:w="1071"/>
        <w:gridCol w:w="1276"/>
        <w:gridCol w:w="1134"/>
        <w:gridCol w:w="655"/>
        <w:gridCol w:w="438"/>
      </w:tblGrid>
      <w:tr>
        <w:tblPrEx>
          <w:tblCellMar>
            <w:top w:w="0" w:type="dxa"/>
            <w:left w:w="108" w:type="dxa"/>
            <w:bottom w:w="0" w:type="dxa"/>
            <w:right w:w="108" w:type="dxa"/>
          </w:tblCellMar>
        </w:tblPrEx>
        <w:trPr>
          <w:trHeight w:val="756" w:hRule="atLeast"/>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序号</w:t>
            </w:r>
          </w:p>
        </w:tc>
        <w:tc>
          <w:tcPr>
            <w:tcW w:w="1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执行单位</w:t>
            </w: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资金</w:t>
            </w:r>
            <w:r>
              <w:rPr>
                <w:rFonts w:hint="eastAsia" w:ascii="宋体" w:hAnsi="宋体" w:cs="宋体"/>
                <w:b/>
                <w:bCs/>
                <w:color w:val="000000"/>
                <w:kern w:val="0"/>
                <w:sz w:val="18"/>
                <w:szCs w:val="18"/>
                <w:lang w:val="en-US" w:eastAsia="zh-CN"/>
              </w:rPr>
              <w:t>使用</w:t>
            </w:r>
            <w:r>
              <w:rPr>
                <w:rFonts w:hint="eastAsia" w:ascii="宋体" w:hAnsi="宋体" w:cs="宋体"/>
                <w:b/>
                <w:bCs/>
                <w:color w:val="000000"/>
                <w:kern w:val="0"/>
                <w:sz w:val="18"/>
                <w:szCs w:val="18"/>
              </w:rPr>
              <w:t>内容</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专项资金</w:t>
            </w:r>
          </w:p>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（万元）</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lang w:val="en-US" w:eastAsia="zh-CN"/>
              </w:rPr>
              <w:t>培训</w:t>
            </w:r>
            <w:r>
              <w:rPr>
                <w:rFonts w:hint="eastAsia" w:ascii="宋体" w:hAnsi="宋体" w:cs="宋体"/>
                <w:b/>
                <w:bCs/>
                <w:color w:val="000000"/>
                <w:kern w:val="0"/>
                <w:sz w:val="18"/>
                <w:szCs w:val="18"/>
              </w:rPr>
              <w:t>审定金额（万元）</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实际拨付金额（万元）</w:t>
            </w:r>
          </w:p>
        </w:tc>
        <w:tc>
          <w:tcPr>
            <w:tcW w:w="6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欠付金额（万元）</w:t>
            </w:r>
          </w:p>
        </w:tc>
        <w:tc>
          <w:tcPr>
            <w:tcW w:w="4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备注</w:t>
            </w:r>
          </w:p>
        </w:tc>
      </w:tr>
      <w:tr>
        <w:tblPrEx>
          <w:tblCellMar>
            <w:top w:w="0" w:type="dxa"/>
            <w:left w:w="108" w:type="dxa"/>
            <w:bottom w:w="0" w:type="dxa"/>
            <w:right w:w="108" w:type="dxa"/>
          </w:tblCellMar>
        </w:tblPrEx>
        <w:trPr>
          <w:trHeight w:val="1532" w:hRule="atLeast"/>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b/>
                <w:bCs/>
                <w:color w:val="000000"/>
                <w:kern w:val="0"/>
                <w:sz w:val="18"/>
                <w:szCs w:val="18"/>
              </w:rPr>
            </w:pPr>
            <w:r>
              <w:rPr>
                <w:rFonts w:hint="eastAsia" w:ascii="宋体" w:hAnsi="宋体" w:cs="宋体"/>
                <w:b/>
                <w:bCs/>
                <w:color w:val="000000"/>
                <w:kern w:val="0"/>
                <w:sz w:val="18"/>
                <w:szCs w:val="18"/>
              </w:rPr>
              <w:t>1</w:t>
            </w:r>
          </w:p>
        </w:tc>
        <w:tc>
          <w:tcPr>
            <w:tcW w:w="1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rPr>
              <w:t>枣庄市山亭区</w:t>
            </w:r>
            <w:r>
              <w:rPr>
                <w:rFonts w:hint="eastAsia" w:ascii="宋体" w:hAnsi="宋体" w:cs="宋体"/>
                <w:b/>
                <w:bCs/>
                <w:color w:val="000000"/>
                <w:kern w:val="0"/>
                <w:sz w:val="18"/>
                <w:szCs w:val="18"/>
                <w:lang w:val="en-US" w:eastAsia="zh-CN"/>
              </w:rPr>
              <w:t>融媒体中心</w:t>
            </w: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lang w:eastAsia="zh-CN"/>
              </w:rPr>
              <w:t>山东省影视节目</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4</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4</w:t>
            </w:r>
          </w:p>
        </w:tc>
        <w:tc>
          <w:tcPr>
            <w:tcW w:w="6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b/>
                <w:bCs/>
                <w:color w:val="000000"/>
                <w:kern w:val="0"/>
                <w:sz w:val="18"/>
                <w:szCs w:val="18"/>
                <w:lang w:val="en-US"/>
              </w:rPr>
            </w:pPr>
          </w:p>
        </w:tc>
        <w:tc>
          <w:tcPr>
            <w:tcW w:w="4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8"/>
                <w:szCs w:val="18"/>
              </w:rPr>
            </w:pPr>
          </w:p>
        </w:tc>
      </w:tr>
      <w:tr>
        <w:tblPrEx>
          <w:tblCellMar>
            <w:top w:w="0" w:type="dxa"/>
            <w:left w:w="108" w:type="dxa"/>
            <w:bottom w:w="0" w:type="dxa"/>
            <w:right w:w="108" w:type="dxa"/>
          </w:tblCellMar>
        </w:tblPrEx>
        <w:trPr>
          <w:trHeight w:val="377" w:hRule="atLeast"/>
        </w:trPr>
        <w:tc>
          <w:tcPr>
            <w:tcW w:w="345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合计</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4</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4</w:t>
            </w:r>
          </w:p>
        </w:tc>
        <w:tc>
          <w:tcPr>
            <w:tcW w:w="6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kern w:val="0"/>
                <w:sz w:val="18"/>
                <w:szCs w:val="18"/>
              </w:rPr>
            </w:pPr>
          </w:p>
        </w:tc>
        <w:tc>
          <w:tcPr>
            <w:tcW w:w="438"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bCs/>
                <w:color w:val="000000"/>
                <w:kern w:val="0"/>
                <w:sz w:val="18"/>
                <w:szCs w:val="18"/>
              </w:rPr>
            </w:pPr>
          </w:p>
        </w:tc>
      </w:tr>
    </w:tbl>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本次绩效评价是在项目执行的基础上对所有项目资料进行书面评审。</w:t>
      </w:r>
    </w:p>
    <w:p>
      <w:pPr>
        <w:spacing w:line="580" w:lineRule="exact"/>
        <w:ind w:firstLine="480" w:firstLineChars="150"/>
        <w:jc w:val="left"/>
        <w:rPr>
          <w:rFonts w:hint="eastAsia"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（三）评价依据</w:t>
      </w:r>
    </w:p>
    <w:p>
      <w:pPr>
        <w:spacing w:line="580" w:lineRule="exact"/>
        <w:ind w:firstLine="640" w:firstLineChars="200"/>
        <w:jc w:val="left"/>
        <w:rPr>
          <w:rFonts w:hint="eastAsia" w:ascii="仿宋" w:hAnsi="仿宋" w:eastAsia="仿宋" w:cs="仿宋_GB2312"/>
          <w:sz w:val="32"/>
          <w:szCs w:val="32"/>
          <w:lang w:eastAsia="zh-CN"/>
        </w:rPr>
      </w:pPr>
      <w:r>
        <w:rPr>
          <w:rFonts w:hint="eastAsia" w:ascii="仿宋" w:hAnsi="仿宋" w:eastAsia="仿宋" w:cs="仿宋_GB2312"/>
          <w:sz w:val="32"/>
          <w:szCs w:val="32"/>
        </w:rPr>
        <w:t>《中华人民共和国预算法》</w:t>
      </w:r>
      <w:r>
        <w:rPr>
          <w:rFonts w:hint="eastAsia" w:ascii="仿宋" w:hAnsi="仿宋" w:eastAsia="仿宋" w:cs="仿宋_GB2312"/>
          <w:sz w:val="32"/>
          <w:szCs w:val="32"/>
          <w:highlight w:val="none"/>
          <w:lang w:eastAsia="zh-CN"/>
        </w:rPr>
        <w:t>（</w:t>
      </w:r>
      <w:r>
        <w:rPr>
          <w:rFonts w:hint="eastAsia" w:ascii="仿宋" w:hAnsi="仿宋" w:eastAsia="仿宋" w:cs="仿宋_GB2312"/>
          <w:sz w:val="32"/>
          <w:szCs w:val="32"/>
        </w:rPr>
        <w:t>中华人民共和国主席令第二十二号</w:t>
      </w:r>
      <w:r>
        <w:rPr>
          <w:rFonts w:hint="eastAsia" w:ascii="仿宋" w:hAnsi="仿宋" w:eastAsia="仿宋" w:cs="仿宋_GB2312"/>
          <w:sz w:val="32"/>
          <w:szCs w:val="32"/>
          <w:highlight w:val="none"/>
          <w:lang w:eastAsia="zh-CN"/>
        </w:rPr>
        <w:t>）</w:t>
      </w:r>
    </w:p>
    <w:p>
      <w:pPr>
        <w:ind w:left="1" w:hanging="1"/>
        <w:jc w:val="center"/>
        <w:rPr>
          <w:rFonts w:ascii="仿宋" w:hAnsi="仿宋" w:eastAsia="仿宋" w:cs="仿宋_GB2312"/>
          <w:sz w:val="32"/>
          <w:szCs w:val="32"/>
        </w:rPr>
      </w:pPr>
      <w:r>
        <w:rPr>
          <w:rFonts w:hint="eastAsia" w:ascii="仿宋" w:hAnsi="仿宋" w:eastAsia="仿宋" w:cs="仿宋_GB2312"/>
          <w:sz w:val="32"/>
          <w:szCs w:val="32"/>
        </w:rPr>
        <w:t xml:space="preserve"> </w:t>
      </w:r>
      <w:r>
        <w:rPr>
          <w:rFonts w:ascii="仿宋" w:hAnsi="仿宋" w:eastAsia="仿宋" w:cs="仿宋_GB2312"/>
          <w:sz w:val="32"/>
          <w:szCs w:val="32"/>
        </w:rPr>
        <w:t xml:space="preserve"> </w:t>
      </w:r>
      <w:r>
        <w:rPr>
          <w:rFonts w:hint="eastAsia" w:ascii="仿宋" w:hAnsi="仿宋" w:eastAsia="仿宋" w:cs="仿宋_GB2312"/>
          <w:sz w:val="32"/>
          <w:szCs w:val="32"/>
        </w:rPr>
        <w:t>《山亭区部门预算绩效目标管理办法》</w:t>
      </w:r>
      <w:r>
        <w:rPr>
          <w:rFonts w:hint="eastAsia" w:ascii="仿宋_GB2312" w:hAnsi="仿宋" w:eastAsia="仿宋_GB2312" w:cs="仿宋_GB2312"/>
          <w:color w:val="000000"/>
          <w:sz w:val="32"/>
          <w:szCs w:val="32"/>
        </w:rPr>
        <w:t>山财绩〔</w:t>
      </w:r>
      <w:r>
        <w:rPr>
          <w:rFonts w:ascii="仿宋_GB2312" w:hAnsi="仿宋" w:eastAsia="仿宋_GB2312" w:cs="仿宋_GB2312"/>
          <w:color w:val="000000"/>
          <w:sz w:val="32"/>
          <w:szCs w:val="32"/>
        </w:rPr>
        <w:t>2019</w:t>
      </w:r>
      <w:r>
        <w:rPr>
          <w:rFonts w:hint="eastAsia" w:ascii="仿宋_GB2312" w:hAnsi="仿宋" w:eastAsia="仿宋_GB2312" w:cs="仿宋_GB2312"/>
          <w:color w:val="000000"/>
          <w:sz w:val="32"/>
          <w:szCs w:val="32"/>
        </w:rPr>
        <w:t>〕</w:t>
      </w:r>
      <w:r>
        <w:rPr>
          <w:rFonts w:ascii="仿宋_GB2312" w:hAnsi="仿宋" w:eastAsia="仿宋_GB2312" w:cs="仿宋_GB2312"/>
          <w:color w:val="000000"/>
          <w:sz w:val="32"/>
          <w:szCs w:val="32"/>
        </w:rPr>
        <w:t>1</w:t>
      </w:r>
      <w:r>
        <w:rPr>
          <w:rFonts w:hint="eastAsia" w:ascii="仿宋_GB2312" w:hAnsi="仿宋" w:eastAsia="仿宋_GB2312" w:cs="仿宋_GB2312"/>
          <w:color w:val="000000"/>
          <w:sz w:val="32"/>
          <w:szCs w:val="32"/>
        </w:rPr>
        <w:t>号</w:t>
      </w:r>
      <w:r>
        <w:rPr>
          <w:rFonts w:hint="eastAsia" w:ascii="仿宋_GB2312" w:hAnsi="仿宋" w:eastAsia="仿宋_GB2312"/>
          <w:b/>
          <w:bCs/>
          <w:color w:val="000000"/>
          <w:sz w:val="32"/>
          <w:szCs w:val="32"/>
          <w:highlight w:val="none"/>
          <w:lang w:eastAsia="zh-CN"/>
        </w:rPr>
        <w:t>《</w:t>
      </w:r>
      <w:r>
        <w:rPr>
          <w:rFonts w:hint="eastAsia" w:ascii="仿宋" w:hAnsi="仿宋" w:eastAsia="仿宋" w:cs="仿宋_GB2312"/>
          <w:sz w:val="32"/>
          <w:szCs w:val="32"/>
        </w:rPr>
        <w:t>《中共山东省委、山东省人民政府印发〈关于“担当作为、狠抓落实”重点任务的实施方案〉的通知</w:t>
      </w:r>
      <w:r>
        <w:rPr>
          <w:rFonts w:hint="eastAsia" w:ascii="仿宋" w:hAnsi="仿宋" w:eastAsia="仿宋" w:cs="仿宋_GB2312"/>
          <w:sz w:val="32"/>
          <w:szCs w:val="32"/>
          <w:highlight w:val="none"/>
          <w:lang w:eastAsia="zh-CN"/>
        </w:rPr>
        <w:t>》</w:t>
      </w:r>
      <w:r>
        <w:rPr>
          <w:rFonts w:hint="eastAsia" w:ascii="仿宋" w:hAnsi="仿宋" w:eastAsia="仿宋" w:cs="仿宋_GB2312"/>
          <w:sz w:val="32"/>
          <w:szCs w:val="32"/>
        </w:rPr>
        <w:t>（鲁发电〔2019〕9号）</w:t>
      </w:r>
    </w:p>
    <w:p>
      <w:pPr>
        <w:spacing w:line="580" w:lineRule="exact"/>
        <w:ind w:firstLine="480" w:firstLineChars="150"/>
        <w:jc w:val="left"/>
        <w:rPr>
          <w:rFonts w:hint="eastAsia" w:ascii="仿宋" w:hAnsi="仿宋" w:eastAsia="仿宋" w:cs="仿宋_GB2312"/>
          <w:sz w:val="32"/>
          <w:szCs w:val="32"/>
        </w:rPr>
      </w:pPr>
      <w:r>
        <w:rPr>
          <w:rFonts w:hint="eastAsia" w:ascii="仿宋" w:hAnsi="仿宋" w:eastAsia="仿宋" w:cs="仿宋_GB2312"/>
          <w:sz w:val="32"/>
          <w:szCs w:val="32"/>
        </w:rPr>
        <w:t>《山东省广播电视管理条例》</w:t>
      </w:r>
    </w:p>
    <w:p>
      <w:pPr>
        <w:spacing w:line="580" w:lineRule="exact"/>
        <w:ind w:firstLine="480" w:firstLineChars="150"/>
        <w:jc w:val="left"/>
        <w:rPr>
          <w:rFonts w:hint="eastAsia"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（四）评价原则、评价方法</w:t>
      </w:r>
    </w:p>
    <w:p>
      <w:pPr>
        <w:spacing w:line="58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本次绩效评价遵循以下原则（包括但不限于）：</w:t>
      </w:r>
    </w:p>
    <w:p>
      <w:pPr>
        <w:spacing w:line="58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1．相关性原则。绩效评价指标与绩效目标有直接的联系，能够正确反映目标的实现程度。</w:t>
      </w:r>
    </w:p>
    <w:p>
      <w:pPr>
        <w:spacing w:line="58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2．重要性原则。优先使用最具部门（单位）或行业代表性、最能反映评价要求的核心指标。</w:t>
      </w:r>
    </w:p>
    <w:p>
      <w:pPr>
        <w:spacing w:line="58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3．可比性原则。对具有相似目标的工作选定共同的绩效目标，保证绩效结果可以相互比较。</w:t>
      </w:r>
    </w:p>
    <w:p>
      <w:pPr>
        <w:spacing w:line="58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4．经济性原则。绩效评价指标设计应当通俗易懂、简便易行，数据的获得应当考虑现实条件和可操作性，符合成本效益原则。</w:t>
      </w:r>
    </w:p>
    <w:p>
      <w:pPr>
        <w:spacing w:line="58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5．系统性原则。绩效评价指标的设置应当将定量指标与定性指标相结合，系统反映财政支出所产生的社会效益、可持续影响等。</w:t>
      </w:r>
    </w:p>
    <w:p>
      <w:pPr>
        <w:spacing w:line="58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本次绩效评价，根据项目的不同特点，并根据现场调研具体实施情况，采用以下方法：</w:t>
      </w:r>
    </w:p>
    <w:p>
      <w:pPr>
        <w:spacing w:line="58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1</w:t>
      </w:r>
      <w:r>
        <w:rPr>
          <w:rFonts w:ascii="仿宋" w:hAnsi="仿宋" w:eastAsia="仿宋" w:cs="仿宋_GB2312"/>
          <w:sz w:val="32"/>
          <w:szCs w:val="32"/>
        </w:rPr>
        <w:t>.</w:t>
      </w:r>
      <w:r>
        <w:rPr>
          <w:rFonts w:hint="eastAsia" w:ascii="仿宋" w:hAnsi="仿宋" w:eastAsia="仿宋" w:cs="仿宋_GB2312"/>
          <w:sz w:val="32"/>
          <w:szCs w:val="32"/>
        </w:rPr>
        <w:t>成本效益分析法。是指将一定时期内的支出与效益进行对比分析，以评价绩效目标实现程度。</w:t>
      </w:r>
    </w:p>
    <w:p>
      <w:pPr>
        <w:spacing w:line="58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2</w:t>
      </w:r>
      <w:r>
        <w:rPr>
          <w:rFonts w:ascii="仿宋" w:hAnsi="仿宋" w:eastAsia="仿宋" w:cs="仿宋_GB2312"/>
          <w:sz w:val="32"/>
          <w:szCs w:val="32"/>
        </w:rPr>
        <w:t>.</w:t>
      </w:r>
      <w:r>
        <w:rPr>
          <w:rFonts w:hint="eastAsia" w:ascii="仿宋" w:hAnsi="仿宋" w:eastAsia="仿宋" w:cs="仿宋_GB2312"/>
          <w:sz w:val="32"/>
          <w:szCs w:val="32"/>
        </w:rPr>
        <w:t>比较分析法。是指通过对绩效目标与实施效果、历史与当期情况、不同部门和地区同类支出的比较，综合分析绩效目标实现程度。</w:t>
      </w:r>
    </w:p>
    <w:p>
      <w:pPr>
        <w:spacing w:line="58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3</w:t>
      </w:r>
      <w:r>
        <w:rPr>
          <w:rFonts w:ascii="仿宋" w:hAnsi="仿宋" w:eastAsia="仿宋" w:cs="仿宋_GB2312"/>
          <w:sz w:val="32"/>
          <w:szCs w:val="32"/>
        </w:rPr>
        <w:t>.</w:t>
      </w:r>
      <w:r>
        <w:rPr>
          <w:rFonts w:hint="eastAsia" w:ascii="仿宋" w:hAnsi="仿宋" w:eastAsia="仿宋" w:cs="仿宋_GB2312"/>
          <w:sz w:val="32"/>
          <w:szCs w:val="32"/>
        </w:rPr>
        <w:t>因素分析法。是指通过综合分析影响绩效目标实现、实施效果的内外因素，评价绩效目标实现程度。</w:t>
      </w:r>
    </w:p>
    <w:p>
      <w:pPr>
        <w:spacing w:line="58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4</w:t>
      </w:r>
      <w:r>
        <w:rPr>
          <w:rFonts w:ascii="仿宋" w:hAnsi="仿宋" w:eastAsia="仿宋" w:cs="仿宋_GB2312"/>
          <w:sz w:val="32"/>
          <w:szCs w:val="32"/>
        </w:rPr>
        <w:t>.</w:t>
      </w:r>
      <w:r>
        <w:rPr>
          <w:rFonts w:hint="eastAsia" w:ascii="仿宋" w:hAnsi="仿宋" w:eastAsia="仿宋" w:cs="仿宋_GB2312"/>
          <w:sz w:val="32"/>
          <w:szCs w:val="32"/>
        </w:rPr>
        <w:t>最低成本法。是指对效益确定却不易计量的多个同类对象的实施成本进行比较，评价绩效目标实现程度。</w:t>
      </w:r>
    </w:p>
    <w:p>
      <w:pPr>
        <w:spacing w:line="58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5</w:t>
      </w:r>
      <w:r>
        <w:rPr>
          <w:rFonts w:ascii="仿宋" w:hAnsi="仿宋" w:eastAsia="仿宋" w:cs="仿宋_GB2312"/>
          <w:sz w:val="32"/>
          <w:szCs w:val="32"/>
        </w:rPr>
        <w:t>.</w:t>
      </w:r>
      <w:r>
        <w:rPr>
          <w:rFonts w:hint="eastAsia" w:ascii="仿宋" w:hAnsi="仿宋" w:eastAsia="仿宋" w:cs="仿宋_GB2312"/>
          <w:sz w:val="32"/>
          <w:szCs w:val="32"/>
        </w:rPr>
        <w:t>公众评判法。是指通过专家评估、公众问卷及抽样调查等对财政支出效果进行评判，评价绩效目标实现程度。</w:t>
      </w:r>
    </w:p>
    <w:p>
      <w:pPr>
        <w:spacing w:line="58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6</w:t>
      </w:r>
      <w:r>
        <w:rPr>
          <w:rFonts w:ascii="仿宋" w:hAnsi="仿宋" w:eastAsia="仿宋" w:cs="仿宋_GB2312"/>
          <w:sz w:val="32"/>
          <w:szCs w:val="32"/>
        </w:rPr>
        <w:t>.</w:t>
      </w:r>
      <w:r>
        <w:rPr>
          <w:rFonts w:hint="eastAsia" w:ascii="仿宋" w:hAnsi="仿宋" w:eastAsia="仿宋" w:cs="仿宋_GB2312"/>
          <w:sz w:val="32"/>
          <w:szCs w:val="32"/>
        </w:rPr>
        <w:t>其他评价法。</w:t>
      </w:r>
    </w:p>
    <w:p>
      <w:pPr>
        <w:spacing w:line="580" w:lineRule="exact"/>
        <w:ind w:firstLine="640" w:firstLineChars="200"/>
        <w:jc w:val="left"/>
        <w:rPr>
          <w:rFonts w:hint="eastAsia"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（五）绩效评价指标体系。</w:t>
      </w:r>
    </w:p>
    <w:p>
      <w:pPr>
        <w:spacing w:line="58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根据</w:t>
      </w:r>
      <w:r>
        <w:rPr>
          <w:rFonts w:hint="eastAsia" w:ascii="仿宋" w:hAnsi="仿宋" w:eastAsia="仿宋" w:cs="仿宋_GB2312"/>
          <w:sz w:val="32"/>
          <w:szCs w:val="32"/>
          <w:lang w:val="en-US" w:eastAsia="zh-CN"/>
        </w:rPr>
        <w:t>山亭区</w:t>
      </w:r>
      <w:r>
        <w:rPr>
          <w:rFonts w:hint="eastAsia" w:ascii="仿宋" w:hAnsi="仿宋" w:eastAsia="仿宋"/>
          <w:kern w:val="0"/>
          <w:sz w:val="32"/>
          <w:szCs w:val="32"/>
          <w:lang w:val="en-US" w:eastAsia="zh-CN"/>
        </w:rPr>
        <w:t>融媒体中心山东省影视节目</w:t>
      </w:r>
      <w:r>
        <w:rPr>
          <w:rFonts w:hint="eastAsia" w:ascii="仿宋" w:hAnsi="仿宋" w:eastAsia="仿宋" w:cs="仿宋_GB2312"/>
          <w:sz w:val="32"/>
          <w:szCs w:val="32"/>
        </w:rPr>
        <w:t>项目资金特点，结合山东省财政厅绩效评价处重点项目绩效评价指标体系，在与项目相关人员充分讨论后，在绩效评价专家监督把关下制定该绩效评价指标体系，评价指标总标准分值为100分，包括项目决策、项目管理、项目产出、项目效果四个一级指标，项目立项、资金落实、资金使用、管理机制的有效性、项目质量可控性、项目产出数量、项目产出质量、项目时效、项目成本、项目效果等十二个二级指标、十八个三级指标和二十二个四级指标。</w:t>
      </w:r>
    </w:p>
    <w:p>
      <w:pPr>
        <w:numPr>
          <w:ilvl w:val="0"/>
          <w:numId w:val="3"/>
        </w:numPr>
        <w:spacing w:line="58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具体指标解释、评价标准、指标权重、数据来源方式等见</w:t>
      </w:r>
      <w:r>
        <w:rPr>
          <w:rFonts w:hint="eastAsia" w:ascii="仿宋" w:hAnsi="仿宋" w:eastAsia="仿宋" w:cs="仿宋_GB2312"/>
          <w:sz w:val="32"/>
          <w:szCs w:val="32"/>
          <w:lang w:eastAsia="zh-CN"/>
        </w:rPr>
        <w:t>附件</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w:t>
      </w:r>
    </w:p>
    <w:p>
      <w:pPr>
        <w:pStyle w:val="57"/>
        <w:widowControl w:val="0"/>
        <w:spacing w:line="60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ascii="仿宋_GB2312" w:eastAsia="仿宋_GB2312"/>
          <w:sz w:val="32"/>
          <w:szCs w:val="32"/>
        </w:rPr>
        <w:t>绩效评价等级</w:t>
      </w:r>
    </w:p>
    <w:p>
      <w:pPr>
        <w:pStyle w:val="57"/>
        <w:widowControl w:val="0"/>
        <w:spacing w:line="600" w:lineRule="exact"/>
        <w:ind w:firstLine="640" w:firstLineChars="200"/>
        <w:rPr>
          <w:rFonts w:hint="eastAsia" w:ascii="仿宋" w:hAnsi="仿宋" w:eastAsia="仿宋" w:cs="仿宋_GB2312"/>
          <w:sz w:val="32"/>
          <w:szCs w:val="32"/>
        </w:rPr>
      </w:pPr>
      <w:r>
        <w:rPr>
          <w:rFonts w:ascii="仿宋_GB2312" w:eastAsia="仿宋_GB2312"/>
          <w:sz w:val="32"/>
          <w:szCs w:val="32"/>
        </w:rPr>
        <w:t>评价标准等级分为</w:t>
      </w:r>
      <w:r>
        <w:rPr>
          <w:rFonts w:hint="eastAsia" w:ascii="仿宋_GB2312" w:eastAsia="仿宋_GB2312"/>
          <w:sz w:val="32"/>
          <w:szCs w:val="32"/>
          <w:lang w:eastAsia="zh-CN"/>
        </w:rPr>
        <w:t>：</w:t>
      </w:r>
      <w:r>
        <w:rPr>
          <w:rFonts w:hint="eastAsia" w:ascii="仿宋_GB2312" w:eastAsia="仿宋_GB2312"/>
          <w:sz w:val="32"/>
          <w:szCs w:val="32"/>
        </w:rPr>
        <w:t>90（含）-100分为优、80（含）-90分为良、60（含）-80分为中、60分以下为差。</w:t>
      </w:r>
    </w:p>
    <w:p>
      <w:pPr>
        <w:spacing w:line="580" w:lineRule="exact"/>
        <w:ind w:firstLine="640" w:firstLineChars="200"/>
        <w:jc w:val="left"/>
        <w:rPr>
          <w:rFonts w:hint="eastAsia"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（六）评价人员组成。</w:t>
      </w:r>
    </w:p>
    <w:p>
      <w:pPr>
        <w:spacing w:line="580" w:lineRule="exact"/>
        <w:ind w:firstLine="640" w:firstLineChars="200"/>
        <w:jc w:val="left"/>
        <w:rPr>
          <w:rFonts w:hint="eastAsia" w:eastAsia="仿宋_GB2312"/>
          <w:sz w:val="32"/>
          <w:szCs w:val="32"/>
          <w:lang w:val="en-US" w:eastAsia="zh-CN"/>
        </w:rPr>
      </w:pPr>
      <w:r>
        <w:rPr>
          <w:rFonts w:eastAsia="仿宋_GB2312"/>
          <w:sz w:val="32"/>
          <w:szCs w:val="32"/>
        </w:rPr>
        <w:t>绩效评价小组成员与被绩效评价项目不存在任何利益冲突。</w:t>
      </w:r>
      <w:r>
        <w:rPr>
          <w:rFonts w:hint="eastAsia" w:eastAsia="仿宋_GB2312"/>
          <w:sz w:val="32"/>
          <w:szCs w:val="32"/>
          <w:lang w:val="en-US" w:eastAsia="zh-CN"/>
        </w:rPr>
        <w:t>人员组成：</w:t>
      </w:r>
    </w:p>
    <w:p>
      <w:pPr>
        <w:spacing w:line="580" w:lineRule="exact"/>
        <w:ind w:firstLine="640" w:firstLineChars="200"/>
        <w:jc w:val="left"/>
        <w:rPr>
          <w:rFonts w:hint="eastAsia" w:eastAsia="仿宋_GB2312"/>
          <w:sz w:val="32"/>
          <w:szCs w:val="32"/>
          <w:lang w:val="en-US" w:eastAsia="zh-CN"/>
        </w:rPr>
      </w:pPr>
      <w:r>
        <w:rPr>
          <w:rFonts w:hint="eastAsia" w:eastAsia="仿宋_GB2312"/>
          <w:sz w:val="32"/>
          <w:szCs w:val="32"/>
          <w:lang w:val="en-US" w:eastAsia="zh-CN"/>
        </w:rPr>
        <w:t>高洁  山亭区广播影视台台长</w:t>
      </w:r>
    </w:p>
    <w:p>
      <w:pPr>
        <w:spacing w:line="580" w:lineRule="exact"/>
        <w:ind w:firstLine="640" w:firstLineChars="200"/>
        <w:jc w:val="left"/>
        <w:rPr>
          <w:rFonts w:hint="eastAsia" w:eastAsia="仿宋_GB2312"/>
          <w:sz w:val="32"/>
          <w:szCs w:val="32"/>
          <w:lang w:val="en-US" w:eastAsia="zh-CN"/>
        </w:rPr>
      </w:pPr>
      <w:r>
        <w:rPr>
          <w:rFonts w:hint="eastAsia" w:eastAsia="仿宋_GB2312"/>
          <w:sz w:val="32"/>
          <w:szCs w:val="32"/>
          <w:lang w:val="en-US" w:eastAsia="zh-CN"/>
        </w:rPr>
        <w:t>仰光 出纳</w:t>
      </w:r>
    </w:p>
    <w:p>
      <w:pPr>
        <w:spacing w:line="580" w:lineRule="exact"/>
        <w:ind w:firstLine="640" w:firstLineChars="200"/>
        <w:jc w:val="left"/>
        <w:rPr>
          <w:rFonts w:hint="default" w:eastAsia="仿宋_GB2312"/>
          <w:sz w:val="32"/>
          <w:szCs w:val="32"/>
          <w:lang w:val="en-US" w:eastAsia="zh-CN"/>
        </w:rPr>
      </w:pPr>
      <w:r>
        <w:rPr>
          <w:rFonts w:hint="eastAsia" w:eastAsia="仿宋_GB2312"/>
          <w:sz w:val="32"/>
          <w:szCs w:val="32"/>
          <w:lang w:val="en-US" w:eastAsia="zh-CN"/>
        </w:rPr>
        <w:t>柏传玲 会计</w:t>
      </w:r>
    </w:p>
    <w:p>
      <w:pPr>
        <w:spacing w:line="580" w:lineRule="exact"/>
        <w:ind w:firstLine="640" w:firstLineChars="200"/>
        <w:jc w:val="left"/>
        <w:rPr>
          <w:rFonts w:hint="eastAsia"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（七）绩效评价工作过程。</w:t>
      </w:r>
    </w:p>
    <w:p>
      <w:pPr>
        <w:widowControl w:val="0"/>
        <w:spacing w:line="600" w:lineRule="exact"/>
        <w:ind w:firstLine="640" w:firstLineChars="200"/>
        <w:jc w:val="left"/>
        <w:rPr>
          <w:rFonts w:eastAsia="仿宋_GB2312"/>
          <w:sz w:val="32"/>
          <w:szCs w:val="32"/>
        </w:rPr>
      </w:pPr>
      <w:r>
        <w:rPr>
          <w:rFonts w:eastAsia="仿宋_GB2312"/>
          <w:sz w:val="32"/>
          <w:szCs w:val="32"/>
        </w:rPr>
        <w:t>绩效评价工作过程包括前期准备、设计发放社会调查（满意度调查）问卷、撰写与提交评价报告等。</w:t>
      </w:r>
    </w:p>
    <w:p>
      <w:pPr>
        <w:widowControl w:val="0"/>
        <w:spacing w:line="600" w:lineRule="exact"/>
        <w:ind w:firstLine="640" w:firstLineChars="200"/>
        <w:jc w:val="left"/>
        <w:rPr>
          <w:rFonts w:eastAsia="仿宋_GB2312"/>
          <w:sz w:val="32"/>
          <w:szCs w:val="32"/>
        </w:rPr>
      </w:pPr>
      <w:r>
        <w:rPr>
          <w:rFonts w:eastAsia="仿宋_GB2312"/>
          <w:sz w:val="32"/>
          <w:szCs w:val="32"/>
        </w:rPr>
        <w:t>1.前期准备：制定评价实施方案。评价机构在调研、了解评价项目及相关单位基本情况的基础上，与业务主管部门充分交流、共同研究拟订评价实施方案。实施方案主要包括评价对象、评价依据、评价方法、评价指标体系、实施步骤、评价项目负责人、评价工作人员、时间安排、满意度调查问卷等内容。评价指标体系包含共性指标和个性指标。共性指标根据《关于印发山东省省级预算支出项目第三方绩效评价工作规程（试行）的通知》（鲁财绩〔2018〕7 号）中附件 1《省级预算支出项目绩效评价共性指标体系》，结合项目实际情况进一步细化而成。个性指标由评价机构根据本项目实际情况，参照已有评价办法，在共性指标体系框架内进一步细化设置。</w:t>
      </w:r>
    </w:p>
    <w:p>
      <w:pPr>
        <w:pStyle w:val="8"/>
        <w:kinsoku w:val="0"/>
        <w:overflowPunct w:val="0"/>
        <w:spacing w:before="48" w:line="600" w:lineRule="exact"/>
        <w:ind w:left="180" w:firstLine="559"/>
        <w:rPr>
          <w:rFonts w:hAnsi="仿宋" w:cs="仿宋"/>
          <w:spacing w:val="-2"/>
          <w:sz w:val="32"/>
        </w:rPr>
        <w:sectPr>
          <w:pgSz w:w="11910" w:h="16840"/>
          <w:pgMar w:top="1300" w:right="1000" w:bottom="540" w:left="1680" w:header="1103" w:footer="347" w:gutter="0"/>
          <w:lnNumType w:countBy="0" w:distance="360"/>
          <w:cols w:space="720" w:num="1"/>
        </w:sectPr>
      </w:pPr>
      <w:r>
        <w:rPr>
          <w:rFonts w:eastAsia="仿宋_GB2312"/>
          <w:sz w:val="32"/>
          <w:szCs w:val="32"/>
        </w:rPr>
        <w:t>2.设计发放社会调查（满意度调查）问卷，详见下表。评价小组根据本项目的具体情况，针对本项目的受益对象设计满意度调查问卷，并明确调查的目的、方式方法等。</w:t>
      </w:r>
    </w:p>
    <w:tbl>
      <w:tblPr>
        <w:tblStyle w:val="17"/>
        <w:tblW w:w="14469" w:type="dxa"/>
        <w:jc w:val="right"/>
        <w:shd w:val="clear" w:color="auto" w:fill="auto"/>
        <w:tblLayout w:type="fixed"/>
        <w:tblCellMar>
          <w:top w:w="0" w:type="dxa"/>
          <w:left w:w="0" w:type="dxa"/>
          <w:bottom w:w="0" w:type="dxa"/>
          <w:right w:w="0" w:type="dxa"/>
        </w:tblCellMar>
      </w:tblPr>
      <w:tblGrid>
        <w:gridCol w:w="2046"/>
        <w:gridCol w:w="4958"/>
        <w:gridCol w:w="1279"/>
        <w:gridCol w:w="1347"/>
        <w:gridCol w:w="1233"/>
        <w:gridCol w:w="1299"/>
        <w:gridCol w:w="1200"/>
        <w:gridCol w:w="1107"/>
      </w:tblGrid>
      <w:tr>
        <w:tblPrEx>
          <w:shd w:val="clear" w:color="auto" w:fill="auto"/>
          <w:tblCellMar>
            <w:top w:w="0" w:type="dxa"/>
            <w:left w:w="0" w:type="dxa"/>
            <w:bottom w:w="0" w:type="dxa"/>
            <w:right w:w="0" w:type="dxa"/>
          </w:tblCellMar>
        </w:tblPrEx>
        <w:trPr>
          <w:trHeight w:val="564" w:hRule="atLeast"/>
          <w:jc w:val="right"/>
        </w:trPr>
        <w:tc>
          <w:tcPr>
            <w:tcW w:w="14469" w:type="dxa"/>
            <w:gridSpan w:val="8"/>
            <w:tcBorders>
              <w:top w:val="nil"/>
              <w:left w:val="nil"/>
              <w:bottom w:val="nil"/>
              <w:right w:val="nil"/>
            </w:tcBorders>
            <w:shd w:val="clear" w:color="auto" w:fill="auto"/>
            <w:tcMar>
              <w:top w:w="12" w:type="dxa"/>
              <w:left w:w="12" w:type="dxa"/>
              <w:right w:w="12" w:type="dxa"/>
            </w:tcMar>
            <w:vAlign w:val="center"/>
          </w:tcPr>
          <w:p>
            <w:pPr>
              <w:kinsoku w:val="0"/>
              <w:overflowPunct w:val="0"/>
              <w:spacing w:line="600" w:lineRule="exact"/>
              <w:ind w:left="182" w:right="166" w:firstLine="2209" w:firstLineChars="500"/>
              <w:jc w:val="center"/>
              <w:rPr>
                <w:rFonts w:hint="eastAsia" w:ascii="宋体" w:hAnsi="宋体" w:eastAsia="宋体" w:cs="宋体"/>
                <w:b/>
                <w:i w:val="0"/>
                <w:color w:val="000000"/>
                <w:sz w:val="44"/>
                <w:szCs w:val="44"/>
                <w:u w:val="none"/>
              </w:rPr>
            </w:pPr>
            <w:r>
              <w:rPr>
                <w:rFonts w:hint="eastAsia" w:ascii="宋体" w:hAnsi="宋体" w:cs="宋体"/>
                <w:b/>
                <w:i w:val="0"/>
                <w:color w:val="000000"/>
                <w:kern w:val="0"/>
                <w:sz w:val="44"/>
                <w:szCs w:val="44"/>
                <w:u w:val="none"/>
                <w:lang w:val="en-US" w:eastAsia="zh-CN" w:bidi="ar"/>
              </w:rPr>
              <w:t>山亭区融媒体中心山东省影视节目项目</w:t>
            </w:r>
            <w:r>
              <w:rPr>
                <w:rFonts w:hint="eastAsia" w:ascii="宋体" w:hAnsi="宋体" w:eastAsia="宋体" w:cs="宋体"/>
                <w:b/>
                <w:i w:val="0"/>
                <w:color w:val="000000"/>
                <w:kern w:val="0"/>
                <w:sz w:val="44"/>
                <w:szCs w:val="44"/>
                <w:u w:val="none"/>
                <w:lang w:val="en-US" w:eastAsia="zh-CN" w:bidi="ar"/>
              </w:rPr>
              <w:t>支出问卷调查</w:t>
            </w:r>
          </w:p>
        </w:tc>
      </w:tr>
      <w:tr>
        <w:tblPrEx>
          <w:tblCellMar>
            <w:top w:w="0" w:type="dxa"/>
            <w:left w:w="0" w:type="dxa"/>
            <w:bottom w:w="0" w:type="dxa"/>
            <w:right w:w="0" w:type="dxa"/>
          </w:tblCellMar>
        </w:tblPrEx>
        <w:trPr>
          <w:trHeight w:val="340" w:hRule="atLeast"/>
          <w:jc w:val="right"/>
        </w:trPr>
        <w:tc>
          <w:tcPr>
            <w:tcW w:w="2046"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44"/>
                <w:szCs w:val="44"/>
                <w:u w:val="none"/>
              </w:rPr>
            </w:pPr>
          </w:p>
        </w:tc>
        <w:tc>
          <w:tcPr>
            <w:tcW w:w="4958"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44"/>
                <w:szCs w:val="44"/>
                <w:u w:val="none"/>
              </w:rPr>
            </w:pPr>
          </w:p>
        </w:tc>
        <w:tc>
          <w:tcPr>
            <w:tcW w:w="1279"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44"/>
                <w:szCs w:val="44"/>
                <w:u w:val="none"/>
              </w:rPr>
            </w:pPr>
          </w:p>
        </w:tc>
        <w:tc>
          <w:tcPr>
            <w:tcW w:w="1347"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44"/>
                <w:szCs w:val="44"/>
                <w:u w:val="none"/>
              </w:rPr>
            </w:pPr>
          </w:p>
        </w:tc>
        <w:tc>
          <w:tcPr>
            <w:tcW w:w="1233"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44"/>
                <w:szCs w:val="44"/>
                <w:u w:val="none"/>
              </w:rPr>
            </w:pPr>
          </w:p>
        </w:tc>
        <w:tc>
          <w:tcPr>
            <w:tcW w:w="1299"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44"/>
                <w:szCs w:val="44"/>
                <w:u w:val="none"/>
              </w:rPr>
            </w:pPr>
          </w:p>
        </w:tc>
        <w:tc>
          <w:tcPr>
            <w:tcW w:w="1200"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44"/>
                <w:szCs w:val="44"/>
                <w:u w:val="none"/>
              </w:rPr>
            </w:pPr>
          </w:p>
        </w:tc>
        <w:tc>
          <w:tcPr>
            <w:tcW w:w="1107"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44"/>
                <w:szCs w:val="44"/>
                <w:u w:val="none"/>
              </w:rPr>
            </w:pPr>
          </w:p>
        </w:tc>
      </w:tr>
      <w:tr>
        <w:tblPrEx>
          <w:tblCellMar>
            <w:top w:w="0" w:type="dxa"/>
            <w:left w:w="0" w:type="dxa"/>
            <w:bottom w:w="0" w:type="dxa"/>
            <w:right w:w="0" w:type="dxa"/>
          </w:tblCellMar>
        </w:tblPrEx>
        <w:trPr>
          <w:trHeight w:val="540" w:hRule="atLeast"/>
          <w:jc w:val="right"/>
        </w:trPr>
        <w:tc>
          <w:tcPr>
            <w:tcW w:w="2046"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被调查人姓名</w:t>
            </w:r>
          </w:p>
        </w:tc>
        <w:tc>
          <w:tcPr>
            <w:tcW w:w="4958"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 xml:space="preserve">                联系电话            </w:t>
            </w:r>
          </w:p>
        </w:tc>
        <w:tc>
          <w:tcPr>
            <w:tcW w:w="7465" w:type="dxa"/>
            <w:gridSpan w:val="6"/>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调查日期：</w:t>
            </w:r>
          </w:p>
        </w:tc>
      </w:tr>
      <w:tr>
        <w:tblPrEx>
          <w:tblCellMar>
            <w:top w:w="0" w:type="dxa"/>
            <w:left w:w="0" w:type="dxa"/>
            <w:bottom w:w="0" w:type="dxa"/>
            <w:right w:w="0" w:type="dxa"/>
          </w:tblCellMar>
        </w:tblPrEx>
        <w:trPr>
          <w:trHeight w:val="312" w:hRule="atLeast"/>
          <w:jc w:val="right"/>
        </w:trPr>
        <w:tc>
          <w:tcPr>
            <w:tcW w:w="2046" w:type="dxa"/>
            <w:tcBorders>
              <w:top w:val="nil"/>
              <w:left w:val="nil"/>
              <w:bottom w:val="nil"/>
              <w:right w:val="nil"/>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4958" w:type="dxa"/>
            <w:tcBorders>
              <w:top w:val="nil"/>
              <w:left w:val="nil"/>
              <w:bottom w:val="nil"/>
              <w:right w:val="nil"/>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1279"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347"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233"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299"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200"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107"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bl>
    <w:p>
      <w:pPr>
        <w:pStyle w:val="8"/>
        <w:numPr>
          <w:ilvl w:val="0"/>
          <w:numId w:val="4"/>
        </w:numPr>
        <w:kinsoku w:val="0"/>
        <w:overflowPunct w:val="0"/>
        <w:spacing w:before="48" w:line="600" w:lineRule="exact"/>
        <w:ind w:left="180" w:firstLine="559"/>
        <w:rPr>
          <w:rFonts w:hint="eastAsia" w:hAnsi="仿宋" w:cs="仿宋"/>
          <w:spacing w:val="-2"/>
          <w:sz w:val="32"/>
          <w:lang w:val="en-US" w:eastAsia="zh-CN"/>
        </w:rPr>
      </w:pPr>
      <w:r>
        <w:rPr>
          <w:rFonts w:hint="eastAsia" w:hAnsi="仿宋" w:cs="仿宋"/>
          <w:spacing w:val="-2"/>
          <w:sz w:val="32"/>
          <w:lang w:val="en-US" w:eastAsia="zh-CN"/>
        </w:rPr>
        <w:t>您的年龄是</w:t>
      </w:r>
    </w:p>
    <w:p>
      <w:pPr>
        <w:pStyle w:val="8"/>
        <w:numPr>
          <w:ilvl w:val="0"/>
          <w:numId w:val="0"/>
        </w:numPr>
        <w:kinsoku w:val="0"/>
        <w:overflowPunct w:val="0"/>
        <w:spacing w:before="48" w:line="600" w:lineRule="exact"/>
        <w:ind w:left="739" w:leftChars="0" w:firstLine="316" w:firstLineChars="100"/>
        <w:rPr>
          <w:rFonts w:hint="eastAsia" w:hAnsi="仿宋" w:cs="仿宋"/>
          <w:spacing w:val="-2"/>
          <w:sz w:val="32"/>
          <w:lang w:val="en-US" w:eastAsia="zh-CN"/>
        </w:rPr>
      </w:pPr>
      <w:r>
        <w:rPr>
          <w:rFonts w:hint="eastAsia" w:hAnsi="仿宋" w:cs="仿宋"/>
          <w:spacing w:val="-2"/>
          <w:sz w:val="32"/>
          <w:lang w:val="en-US" w:eastAsia="zh-CN"/>
        </w:rPr>
        <w:t>□18岁以下     □18-30岁     □30-40岁       □40-50岁      □50岁以上</w:t>
      </w:r>
    </w:p>
    <w:p>
      <w:pPr>
        <w:pStyle w:val="8"/>
        <w:numPr>
          <w:ilvl w:val="0"/>
          <w:numId w:val="0"/>
        </w:numPr>
        <w:kinsoku w:val="0"/>
        <w:overflowPunct w:val="0"/>
        <w:spacing w:before="48" w:line="600" w:lineRule="exact"/>
        <w:rPr>
          <w:rFonts w:hint="default" w:hAnsi="仿宋" w:cs="仿宋"/>
          <w:spacing w:val="-2"/>
          <w:sz w:val="32"/>
          <w:lang w:val="en-US" w:eastAsia="zh-CN"/>
        </w:rPr>
      </w:pPr>
      <w:r>
        <w:rPr>
          <w:rFonts w:hint="eastAsia" w:hAnsi="仿宋" w:cs="仿宋"/>
          <w:spacing w:val="-2"/>
          <w:sz w:val="32"/>
          <w:lang w:val="en-US" w:eastAsia="zh-CN"/>
        </w:rPr>
        <w:t xml:space="preserve">     2、您工作年限</w:t>
      </w:r>
    </w:p>
    <w:p>
      <w:pPr>
        <w:pStyle w:val="8"/>
        <w:numPr>
          <w:ilvl w:val="0"/>
          <w:numId w:val="0"/>
        </w:numPr>
        <w:kinsoku w:val="0"/>
        <w:overflowPunct w:val="0"/>
        <w:spacing w:before="48" w:line="600" w:lineRule="exact"/>
        <w:ind w:left="739" w:leftChars="0" w:firstLine="316" w:firstLineChars="100"/>
        <w:rPr>
          <w:rFonts w:hint="default" w:hAnsi="仿宋" w:cs="仿宋"/>
          <w:spacing w:val="-2"/>
          <w:sz w:val="32"/>
          <w:lang w:val="en-US" w:eastAsia="zh-CN"/>
        </w:rPr>
      </w:pPr>
      <w:r>
        <w:rPr>
          <w:rFonts w:hint="eastAsia" w:hAnsi="仿宋" w:cs="仿宋"/>
          <w:spacing w:val="-2"/>
          <w:sz w:val="32"/>
          <w:lang w:val="en-US" w:eastAsia="zh-CN"/>
        </w:rPr>
        <w:t>□10年以下     □10-15年     □16—20年     □20-25年      □25年以上</w:t>
      </w:r>
    </w:p>
    <w:p>
      <w:pPr>
        <w:pStyle w:val="8"/>
        <w:numPr>
          <w:ilvl w:val="0"/>
          <w:numId w:val="0"/>
        </w:numPr>
        <w:kinsoku w:val="0"/>
        <w:overflowPunct w:val="0"/>
        <w:spacing w:before="48" w:line="600" w:lineRule="exact"/>
        <w:ind w:firstLine="632" w:firstLineChars="200"/>
        <w:rPr>
          <w:rFonts w:hint="eastAsia" w:hAnsi="仿宋" w:cs="仿宋"/>
          <w:spacing w:val="-2"/>
          <w:sz w:val="32"/>
          <w:lang w:val="en-US" w:eastAsia="zh-CN"/>
        </w:rPr>
      </w:pPr>
      <w:r>
        <w:rPr>
          <w:rFonts w:hint="eastAsia" w:hAnsi="仿宋" w:cs="仿宋"/>
          <w:spacing w:val="-2"/>
          <w:sz w:val="32"/>
          <w:lang w:val="en-US" w:eastAsia="zh-CN"/>
        </w:rPr>
        <w:t>3、您对影视内容感觉如何</w:t>
      </w:r>
    </w:p>
    <w:p>
      <w:pPr>
        <w:pStyle w:val="8"/>
        <w:numPr>
          <w:ilvl w:val="0"/>
          <w:numId w:val="0"/>
        </w:numPr>
        <w:kinsoku w:val="0"/>
        <w:overflowPunct w:val="0"/>
        <w:spacing w:before="48" w:line="600" w:lineRule="exact"/>
        <w:ind w:left="739" w:leftChars="0" w:firstLine="316" w:firstLineChars="100"/>
        <w:rPr>
          <w:rFonts w:hint="eastAsia" w:hAnsi="仿宋" w:cs="仿宋"/>
          <w:spacing w:val="-2"/>
          <w:sz w:val="32"/>
          <w:lang w:val="en-US" w:eastAsia="zh-CN"/>
        </w:rPr>
      </w:pPr>
      <w:r>
        <w:rPr>
          <w:rFonts w:hint="eastAsia" w:hAnsi="仿宋" w:cs="仿宋"/>
          <w:spacing w:val="-2"/>
          <w:sz w:val="32"/>
          <w:lang w:val="en-US" w:eastAsia="zh-CN"/>
        </w:rPr>
        <w:t>□非常满意              □满意               □不满意              □非常不满意</w:t>
      </w:r>
    </w:p>
    <w:p>
      <w:pPr>
        <w:pStyle w:val="8"/>
        <w:numPr>
          <w:ilvl w:val="0"/>
          <w:numId w:val="0"/>
        </w:numPr>
        <w:kinsoku w:val="0"/>
        <w:overflowPunct w:val="0"/>
        <w:spacing w:before="48" w:line="600" w:lineRule="exact"/>
        <w:ind w:firstLine="632" w:firstLineChars="200"/>
        <w:rPr>
          <w:rFonts w:hint="eastAsia" w:hAnsi="仿宋" w:cs="仿宋"/>
          <w:spacing w:val="-2"/>
          <w:sz w:val="32"/>
          <w:lang w:val="en-US" w:eastAsia="zh-CN"/>
        </w:rPr>
      </w:pPr>
      <w:r>
        <w:rPr>
          <w:rFonts w:hint="eastAsia" w:hAnsi="仿宋" w:cs="仿宋"/>
          <w:spacing w:val="-2"/>
          <w:sz w:val="32"/>
          <w:lang w:val="en-US" w:eastAsia="zh-CN"/>
        </w:rPr>
        <w:t>4、您对电视节目如何</w:t>
      </w:r>
    </w:p>
    <w:p>
      <w:pPr>
        <w:pStyle w:val="8"/>
        <w:numPr>
          <w:ilvl w:val="0"/>
          <w:numId w:val="0"/>
        </w:numPr>
        <w:kinsoku w:val="0"/>
        <w:overflowPunct w:val="0"/>
        <w:spacing w:before="48" w:line="600" w:lineRule="exact"/>
        <w:ind w:left="739" w:leftChars="0" w:firstLine="316" w:firstLineChars="100"/>
        <w:rPr>
          <w:rFonts w:hint="eastAsia" w:hAnsi="仿宋" w:cs="仿宋"/>
          <w:spacing w:val="-2"/>
          <w:sz w:val="32"/>
          <w:lang w:val="en-US" w:eastAsia="zh-CN"/>
        </w:rPr>
      </w:pPr>
      <w:r>
        <w:rPr>
          <w:rFonts w:hint="eastAsia" w:hAnsi="仿宋" w:cs="仿宋"/>
          <w:spacing w:val="-2"/>
          <w:sz w:val="32"/>
          <w:lang w:val="en-US" w:eastAsia="zh-CN"/>
        </w:rPr>
        <w:t>□非常满意              □满意               □不满意              □非常不满意</w:t>
      </w:r>
    </w:p>
    <w:p>
      <w:pPr>
        <w:pStyle w:val="8"/>
        <w:numPr>
          <w:ilvl w:val="0"/>
          <w:numId w:val="0"/>
        </w:numPr>
        <w:kinsoku w:val="0"/>
        <w:overflowPunct w:val="0"/>
        <w:spacing w:before="48" w:line="600" w:lineRule="exact"/>
        <w:ind w:firstLine="632" w:firstLineChars="200"/>
        <w:rPr>
          <w:rFonts w:hint="default" w:hAnsi="仿宋" w:cs="仿宋"/>
          <w:spacing w:val="-2"/>
          <w:sz w:val="32"/>
          <w:lang w:val="en-US" w:eastAsia="zh-CN"/>
        </w:rPr>
      </w:pPr>
      <w:r>
        <w:rPr>
          <w:rFonts w:hint="eastAsia" w:hAnsi="仿宋" w:cs="仿宋"/>
          <w:spacing w:val="-2"/>
          <w:sz w:val="32"/>
          <w:lang w:val="en-US" w:eastAsia="zh-CN"/>
        </w:rPr>
        <w:t>5、节目对您有吸引力吗</w:t>
      </w:r>
    </w:p>
    <w:p>
      <w:pPr>
        <w:pStyle w:val="8"/>
        <w:numPr>
          <w:ilvl w:val="0"/>
          <w:numId w:val="0"/>
        </w:numPr>
        <w:kinsoku w:val="0"/>
        <w:overflowPunct w:val="0"/>
        <w:spacing w:before="48" w:line="600" w:lineRule="exact"/>
        <w:ind w:left="739" w:leftChars="0" w:firstLine="316" w:firstLineChars="100"/>
        <w:rPr>
          <w:rFonts w:hint="eastAsia" w:hAnsi="仿宋" w:cs="仿宋"/>
          <w:spacing w:val="-2"/>
          <w:sz w:val="32"/>
          <w:lang w:val="en-US" w:eastAsia="zh-CN"/>
        </w:rPr>
      </w:pPr>
      <w:r>
        <w:rPr>
          <w:rFonts w:hint="eastAsia" w:hAnsi="仿宋" w:cs="仿宋"/>
          <w:spacing w:val="-2"/>
          <w:sz w:val="32"/>
          <w:lang w:val="en-US" w:eastAsia="zh-CN"/>
        </w:rPr>
        <w:t xml:space="preserve">□非常吸引              □一般                □不吸引          </w:t>
      </w:r>
    </w:p>
    <w:p>
      <w:pPr>
        <w:pStyle w:val="8"/>
        <w:numPr>
          <w:ilvl w:val="0"/>
          <w:numId w:val="0"/>
        </w:numPr>
        <w:kinsoku w:val="0"/>
        <w:overflowPunct w:val="0"/>
        <w:spacing w:before="48" w:line="600" w:lineRule="exact"/>
        <w:ind w:firstLine="632" w:firstLineChars="200"/>
        <w:rPr>
          <w:rFonts w:hint="default" w:hAnsi="仿宋" w:cs="仿宋"/>
          <w:spacing w:val="-2"/>
          <w:sz w:val="32"/>
          <w:lang w:val="en-US" w:eastAsia="zh-CN"/>
        </w:rPr>
      </w:pPr>
      <w:r>
        <w:rPr>
          <w:rFonts w:hint="eastAsia" w:hAnsi="仿宋" w:cs="仿宋"/>
          <w:spacing w:val="-2"/>
          <w:sz w:val="32"/>
          <w:lang w:val="en-US" w:eastAsia="zh-CN"/>
        </w:rPr>
        <w:t>6、您觉得节目对您有帮助吗</w:t>
      </w:r>
    </w:p>
    <w:p>
      <w:pPr>
        <w:pStyle w:val="8"/>
        <w:numPr>
          <w:ilvl w:val="0"/>
          <w:numId w:val="0"/>
        </w:numPr>
        <w:kinsoku w:val="0"/>
        <w:overflowPunct w:val="0"/>
        <w:spacing w:before="48" w:line="600" w:lineRule="exact"/>
        <w:ind w:left="739" w:leftChars="0" w:firstLine="316" w:firstLineChars="100"/>
        <w:rPr>
          <w:rFonts w:hint="eastAsia" w:hAnsi="仿宋" w:cs="仿宋"/>
          <w:spacing w:val="-2"/>
          <w:sz w:val="32"/>
          <w:lang w:val="en-US" w:eastAsia="zh-CN"/>
        </w:rPr>
      </w:pPr>
      <w:r>
        <w:rPr>
          <w:rFonts w:hint="eastAsia" w:hAnsi="仿宋" w:cs="仿宋"/>
          <w:spacing w:val="-2"/>
          <w:sz w:val="32"/>
          <w:lang w:val="en-US" w:eastAsia="zh-CN"/>
        </w:rPr>
        <w:t xml:space="preserve">□有帮助             □一般              □无帮助            </w:t>
      </w:r>
    </w:p>
    <w:p>
      <w:pPr>
        <w:pStyle w:val="8"/>
        <w:numPr>
          <w:ilvl w:val="0"/>
          <w:numId w:val="0"/>
        </w:numPr>
        <w:kinsoku w:val="0"/>
        <w:overflowPunct w:val="0"/>
        <w:spacing w:before="48" w:line="600" w:lineRule="exact"/>
        <w:ind w:firstLine="632" w:firstLineChars="200"/>
        <w:rPr>
          <w:rFonts w:hint="eastAsia" w:hAnsi="仿宋" w:cs="仿宋"/>
          <w:spacing w:val="-2"/>
          <w:sz w:val="32"/>
          <w:lang w:val="en-US" w:eastAsia="zh-CN"/>
        </w:rPr>
      </w:pPr>
      <w:r>
        <w:rPr>
          <w:rFonts w:hint="eastAsia" w:hAnsi="仿宋" w:cs="仿宋"/>
          <w:spacing w:val="-2"/>
          <w:sz w:val="32"/>
          <w:lang w:val="en-US" w:eastAsia="zh-CN"/>
        </w:rPr>
        <w:t>7、其他需要改进的地方</w:t>
      </w:r>
    </w:p>
    <w:p>
      <w:pPr>
        <w:pStyle w:val="8"/>
        <w:numPr>
          <w:ilvl w:val="0"/>
          <w:numId w:val="0"/>
        </w:numPr>
        <w:kinsoku w:val="0"/>
        <w:overflowPunct w:val="0"/>
        <w:spacing w:before="48" w:line="600" w:lineRule="exact"/>
        <w:ind w:left="739" w:leftChars="0" w:firstLine="316" w:firstLineChars="100"/>
        <w:rPr>
          <w:rFonts w:hint="default" w:hAnsi="仿宋" w:cs="仿宋"/>
          <w:spacing w:val="-2"/>
          <w:sz w:val="32"/>
          <w:u w:val="single"/>
          <w:lang w:val="en-US" w:eastAsia="zh-CN"/>
        </w:rPr>
      </w:pPr>
      <w:r>
        <w:rPr>
          <w:rFonts w:hint="eastAsia" w:hAnsi="仿宋" w:cs="仿宋"/>
          <w:spacing w:val="-2"/>
          <w:sz w:val="32"/>
          <w:u w:val="single"/>
          <w:lang w:val="en-US" w:eastAsia="zh-CN"/>
        </w:rPr>
        <w:t xml:space="preserve">                                                                                </w:t>
      </w:r>
    </w:p>
    <w:p>
      <w:pPr>
        <w:pStyle w:val="8"/>
        <w:numPr>
          <w:ilvl w:val="0"/>
          <w:numId w:val="0"/>
        </w:numPr>
        <w:kinsoku w:val="0"/>
        <w:overflowPunct w:val="0"/>
        <w:spacing w:before="48" w:line="600" w:lineRule="exact"/>
        <w:ind w:left="739" w:leftChars="0" w:firstLine="316" w:firstLineChars="100"/>
        <w:rPr>
          <w:rFonts w:hint="eastAsia" w:hAnsi="仿宋" w:cs="仿宋"/>
          <w:spacing w:val="-2"/>
          <w:sz w:val="32"/>
          <w:lang w:val="en-US" w:eastAsia="zh-CN"/>
        </w:rPr>
      </w:pPr>
    </w:p>
    <w:p>
      <w:pPr>
        <w:pStyle w:val="8"/>
        <w:numPr>
          <w:ilvl w:val="0"/>
          <w:numId w:val="0"/>
        </w:numPr>
        <w:kinsoku w:val="0"/>
        <w:overflowPunct w:val="0"/>
        <w:spacing w:before="48" w:line="600" w:lineRule="exact"/>
        <w:ind w:left="739" w:leftChars="0"/>
        <w:rPr>
          <w:rFonts w:hint="eastAsia" w:hAnsi="仿宋" w:cs="仿宋"/>
          <w:spacing w:val="-2"/>
          <w:sz w:val="32"/>
          <w:lang w:val="en-US" w:eastAsia="zh-CN"/>
        </w:rPr>
      </w:pPr>
    </w:p>
    <w:p>
      <w:pPr>
        <w:pStyle w:val="8"/>
        <w:kinsoku w:val="0"/>
        <w:overflowPunct w:val="0"/>
        <w:spacing w:before="48" w:line="600" w:lineRule="exact"/>
        <w:ind w:left="180" w:firstLine="559"/>
        <w:rPr>
          <w:rFonts w:hAnsi="仿宋" w:cs="仿宋"/>
          <w:spacing w:val="-2"/>
          <w:sz w:val="32"/>
        </w:rPr>
      </w:pPr>
    </w:p>
    <w:p>
      <w:pPr>
        <w:pStyle w:val="8"/>
        <w:kinsoku w:val="0"/>
        <w:overflowPunct w:val="0"/>
        <w:spacing w:before="48" w:line="600" w:lineRule="exact"/>
        <w:ind w:left="180" w:firstLine="559"/>
        <w:rPr>
          <w:rFonts w:hint="default" w:hAnsi="仿宋" w:cs="仿宋"/>
          <w:spacing w:val="-2"/>
          <w:sz w:val="32"/>
        </w:rPr>
        <w:sectPr>
          <w:pgSz w:w="16840" w:h="11910" w:orient="landscape"/>
          <w:pgMar w:top="1680" w:right="1300" w:bottom="1000" w:left="540" w:header="1103" w:footer="347" w:gutter="0"/>
          <w:lnNumType w:countBy="0" w:distance="360"/>
          <w:cols w:space="720" w:num="1"/>
        </w:sectPr>
      </w:pPr>
    </w:p>
    <w:p>
      <w:pPr>
        <w:widowControl w:val="0"/>
        <w:spacing w:line="560" w:lineRule="exact"/>
        <w:ind w:firstLine="640" w:firstLineChars="200"/>
        <w:jc w:val="left"/>
        <w:rPr>
          <w:rFonts w:eastAsia="仿宋_GB2312"/>
          <w:sz w:val="32"/>
          <w:szCs w:val="32"/>
        </w:rPr>
      </w:pPr>
      <w:r>
        <w:rPr>
          <w:rFonts w:eastAsia="仿宋_GB2312"/>
          <w:sz w:val="32"/>
          <w:szCs w:val="32"/>
        </w:rPr>
        <w:t xml:space="preserve">3.综合分析确定评价结果现场评价与非现场评价同步开展，经过现场与非现场的评价过程分别汇总出绩效分值，最后将现场与非现场的绩效评价得分汇总得出最终评价结果。 </w:t>
      </w:r>
    </w:p>
    <w:p>
      <w:pPr>
        <w:widowControl w:val="0"/>
        <w:spacing w:line="560" w:lineRule="exact"/>
        <w:ind w:firstLine="640" w:firstLineChars="200"/>
        <w:jc w:val="left"/>
        <w:rPr>
          <w:rFonts w:eastAsia="仿宋_GB2312"/>
          <w:sz w:val="32"/>
          <w:szCs w:val="32"/>
        </w:rPr>
      </w:pPr>
      <w:r>
        <w:rPr>
          <w:rFonts w:eastAsia="仿宋_GB2312"/>
          <w:sz w:val="32"/>
          <w:szCs w:val="32"/>
        </w:rPr>
        <w:t>4.撰写评价报告评价工作组按照有关要求撰写评价报告，在对所收集的资料进行全面分析的基础上对绩效目标实现程度，项目的投入、过程、产出和效果等分别作出具体分析和评价，并对项目绩效中存在的问题进行分析，做到数据真实准确、内容完整、依据充分、分析透彻、结论准确、建议可行详述前期准备、综合分析、评价报告撰写等评价工作过程。</w:t>
      </w:r>
    </w:p>
    <w:p>
      <w:pPr>
        <w:spacing w:line="580" w:lineRule="exact"/>
        <w:ind w:firstLine="640" w:firstLineChars="200"/>
        <w:jc w:val="left"/>
        <w:rPr>
          <w:rFonts w:ascii="黑体" w:hAnsi="黑体" w:eastAsia="黑体" w:cs="楷体_GB2312"/>
          <w:sz w:val="32"/>
          <w:szCs w:val="32"/>
        </w:rPr>
      </w:pPr>
      <w:r>
        <w:rPr>
          <w:rFonts w:hint="eastAsia" w:ascii="黑体" w:hAnsi="黑体" w:eastAsia="黑体" w:cs="楷体_GB2312"/>
          <w:sz w:val="32"/>
          <w:szCs w:val="32"/>
          <w:lang w:eastAsia="zh-CN"/>
        </w:rPr>
        <w:t>四</w:t>
      </w:r>
      <w:r>
        <w:rPr>
          <w:rFonts w:hint="eastAsia" w:ascii="黑体" w:hAnsi="黑体" w:eastAsia="黑体" w:cs="楷体_GB2312"/>
          <w:sz w:val="32"/>
          <w:szCs w:val="32"/>
        </w:rPr>
        <w:t>、评价结论及分析</w:t>
      </w:r>
    </w:p>
    <w:p>
      <w:pPr>
        <w:pStyle w:val="8"/>
        <w:kinsoku w:val="0"/>
        <w:overflowPunct w:val="0"/>
        <w:spacing w:line="600" w:lineRule="exact"/>
        <w:ind w:left="0" w:right="14" w:firstLine="640" w:firstLineChars="200"/>
        <w:rPr>
          <w:rFonts w:hint="eastAsia" w:hAnsi="仿宋" w:cs="仿宋"/>
          <w:spacing w:val="-3"/>
          <w:sz w:val="32"/>
        </w:rPr>
      </w:pPr>
      <w:r>
        <w:rPr>
          <w:rFonts w:hint="eastAsia" w:ascii="楷体_GB2312" w:hAnsi="楷体_GB2312" w:eastAsia="楷体_GB2312" w:cs="楷体_GB2312"/>
          <w:sz w:val="32"/>
          <w:szCs w:val="32"/>
        </w:rPr>
        <w:t>（一）综合评价结论</w:t>
      </w:r>
    </w:p>
    <w:p>
      <w:pPr>
        <w:pStyle w:val="8"/>
        <w:kinsoku w:val="0"/>
        <w:overflowPunct w:val="0"/>
        <w:spacing w:line="600" w:lineRule="exact"/>
        <w:ind w:left="0" w:right="14" w:firstLine="628" w:firstLineChars="200"/>
        <w:rPr>
          <w:rFonts w:hint="eastAsia" w:ascii="楷体" w:hAnsi="楷体" w:eastAsia="楷体" w:cs="楷体_GB2312"/>
          <w:b/>
          <w:sz w:val="32"/>
          <w:szCs w:val="32"/>
        </w:rPr>
      </w:pPr>
      <w:r>
        <w:rPr>
          <w:rFonts w:hint="eastAsia" w:hAnsi="仿宋" w:cs="仿宋"/>
          <w:spacing w:val="-3"/>
          <w:sz w:val="32"/>
        </w:rPr>
        <w:t>工作组在对所收集的资料进行全面分析的基础上对绩效目标实现程度、项目的投入、过程、产出和效果等分别作出具体分析和评价，并对项目绩效中存在的问题进行分析，最后汇总项目总体得分</w:t>
      </w:r>
      <w:r>
        <w:rPr>
          <w:rFonts w:hint="eastAsia" w:hAnsi="仿宋" w:cs="仿宋"/>
          <w:spacing w:val="-3"/>
          <w:sz w:val="32"/>
          <w:lang w:val="en-US" w:eastAsia="zh-CN"/>
        </w:rPr>
        <w:t>100</w:t>
      </w:r>
      <w:r>
        <w:rPr>
          <w:rFonts w:hint="eastAsia" w:hAnsi="仿宋" w:cs="仿宋"/>
          <w:spacing w:val="-3"/>
          <w:sz w:val="32"/>
        </w:rPr>
        <w:t>分，等级为</w:t>
      </w:r>
      <w:r>
        <w:rPr>
          <w:rFonts w:hint="eastAsia" w:hAnsi="仿宋" w:cs="仿宋"/>
          <w:spacing w:val="-3"/>
          <w:sz w:val="32"/>
          <w:lang w:val="en-US" w:eastAsia="zh-CN"/>
        </w:rPr>
        <w:t>优</w:t>
      </w:r>
      <w:r>
        <w:rPr>
          <w:rFonts w:hint="eastAsia" w:hAnsi="仿宋" w:cs="仿宋"/>
          <w:spacing w:val="-3"/>
          <w:sz w:val="32"/>
        </w:rPr>
        <w:t>。各指标打分情况详见</w:t>
      </w:r>
      <w:r>
        <w:rPr>
          <w:rFonts w:hint="eastAsia" w:hAnsi="仿宋" w:cs="仿宋"/>
          <w:spacing w:val="-3"/>
          <w:sz w:val="32"/>
          <w:lang w:eastAsia="zh-CN"/>
        </w:rPr>
        <w:t>附表</w:t>
      </w:r>
      <w:r>
        <w:rPr>
          <w:rFonts w:hint="eastAsia" w:hAnsi="仿宋" w:cs="仿宋"/>
          <w:spacing w:val="-3"/>
          <w:sz w:val="32"/>
          <w:lang w:val="en-US" w:eastAsia="zh-CN"/>
        </w:rPr>
        <w:t>1。</w:t>
      </w:r>
    </w:p>
    <w:p>
      <w:pPr>
        <w:spacing w:line="580" w:lineRule="exact"/>
        <w:ind w:firstLine="480" w:firstLineChars="150"/>
        <w:jc w:val="left"/>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（二）项目执行评价情况分析。</w:t>
      </w:r>
    </w:p>
    <w:p>
      <w:pPr>
        <w:spacing w:line="58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我们对本项目的项目</w:t>
      </w:r>
      <w:r>
        <w:rPr>
          <w:rFonts w:hint="eastAsia" w:ascii="仿宋" w:hAnsi="仿宋" w:eastAsia="仿宋" w:cs="仿宋_GB2312"/>
          <w:sz w:val="32"/>
          <w:szCs w:val="32"/>
          <w:lang w:val="en-US" w:eastAsia="zh-CN"/>
        </w:rPr>
        <w:t>执行</w:t>
      </w:r>
      <w:r>
        <w:rPr>
          <w:rFonts w:hint="eastAsia" w:ascii="仿宋" w:hAnsi="仿宋" w:eastAsia="仿宋" w:cs="仿宋_GB2312"/>
          <w:sz w:val="32"/>
          <w:szCs w:val="32"/>
        </w:rPr>
        <w:t>方面进行了评价，评价结果为：</w:t>
      </w:r>
    </w:p>
    <w:p>
      <w:pPr>
        <w:spacing w:line="58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1</w:t>
      </w:r>
      <w:r>
        <w:rPr>
          <w:rFonts w:ascii="仿宋" w:hAnsi="仿宋" w:eastAsia="仿宋" w:cs="仿宋_GB2312"/>
          <w:sz w:val="32"/>
          <w:szCs w:val="32"/>
        </w:rPr>
        <w:t>.</w:t>
      </w:r>
      <w:r>
        <w:rPr>
          <w:rFonts w:hint="eastAsia" w:ascii="仿宋" w:hAnsi="仿宋" w:eastAsia="仿宋" w:cs="仿宋_GB2312"/>
          <w:sz w:val="32"/>
          <w:szCs w:val="32"/>
        </w:rPr>
        <w:t>项目</w:t>
      </w:r>
      <w:r>
        <w:rPr>
          <w:rFonts w:hint="eastAsia" w:ascii="仿宋" w:hAnsi="仿宋" w:eastAsia="仿宋" w:cs="仿宋_GB2312"/>
          <w:sz w:val="32"/>
          <w:szCs w:val="32"/>
          <w:lang w:val="en-US" w:eastAsia="zh-CN"/>
        </w:rPr>
        <w:t>执行10</w:t>
      </w:r>
      <w:r>
        <w:rPr>
          <w:rFonts w:hint="eastAsia" w:ascii="仿宋" w:hAnsi="仿宋" w:eastAsia="仿宋" w:cs="仿宋_GB2312"/>
          <w:sz w:val="32"/>
          <w:szCs w:val="32"/>
        </w:rPr>
        <w:t>分（满分</w:t>
      </w:r>
      <w:r>
        <w:rPr>
          <w:rFonts w:hint="eastAsia" w:ascii="仿宋" w:hAnsi="仿宋" w:eastAsia="仿宋" w:cs="仿宋_GB2312"/>
          <w:sz w:val="32"/>
          <w:szCs w:val="32"/>
          <w:lang w:val="en-US" w:eastAsia="zh-CN"/>
        </w:rPr>
        <w:t>10</w:t>
      </w:r>
      <w:r>
        <w:rPr>
          <w:rFonts w:hint="eastAsia" w:ascii="仿宋" w:hAnsi="仿宋" w:eastAsia="仿宋" w:cs="仿宋_GB2312"/>
          <w:sz w:val="32"/>
          <w:szCs w:val="32"/>
        </w:rPr>
        <w:t>分）：</w:t>
      </w:r>
    </w:p>
    <w:p>
      <w:pPr>
        <w:spacing w:line="580" w:lineRule="exact"/>
        <w:ind w:firstLine="640" w:firstLineChars="200"/>
        <w:jc w:val="left"/>
        <w:rPr>
          <w:rFonts w:ascii="仿宋" w:hAnsi="仿宋" w:eastAsia="仿宋" w:cs="仿宋_GB2312"/>
          <w:sz w:val="32"/>
          <w:szCs w:val="32"/>
        </w:rPr>
      </w:pPr>
      <w:r>
        <w:rPr>
          <w:rFonts w:hint="eastAsia" w:ascii="仿宋" w:hAnsi="仿宋" w:eastAsia="仿宋"/>
          <w:sz w:val="32"/>
          <w:szCs w:val="32"/>
          <w:lang w:val="en-US" w:eastAsia="zh-CN"/>
        </w:rPr>
        <w:t>山亭区融媒体中心山东省影视节目</w:t>
      </w:r>
      <w:r>
        <w:rPr>
          <w:rFonts w:hint="eastAsia" w:ascii="仿宋" w:hAnsi="仿宋" w:eastAsia="仿宋" w:cs="仿宋_GB2312"/>
          <w:sz w:val="32"/>
          <w:szCs w:val="32"/>
        </w:rPr>
        <w:t>项目符合</w:t>
      </w:r>
      <w:r>
        <w:rPr>
          <w:rFonts w:hint="eastAsia" w:ascii="仿宋" w:hAnsi="仿宋" w:eastAsia="仿宋" w:cs="仿宋_GB2312"/>
          <w:sz w:val="32"/>
          <w:szCs w:val="32"/>
          <w:lang w:val="en-US" w:eastAsia="zh-CN"/>
        </w:rPr>
        <w:t>区</w:t>
      </w:r>
      <w:r>
        <w:rPr>
          <w:rFonts w:hint="eastAsia" w:ascii="仿宋" w:hAnsi="仿宋" w:eastAsia="仿宋" w:cs="仿宋_GB2312"/>
          <w:sz w:val="32"/>
          <w:szCs w:val="32"/>
        </w:rPr>
        <w:t>年度工作计划，在数量、质量、成本、时效等方面均设置了细化的绩效指标，内容清晰合理。</w:t>
      </w:r>
    </w:p>
    <w:p>
      <w:pPr>
        <w:spacing w:line="580" w:lineRule="exact"/>
        <w:ind w:firstLine="480" w:firstLineChars="150"/>
        <w:jc w:val="left"/>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（三）完成情况评价情况分析。</w:t>
      </w:r>
    </w:p>
    <w:p>
      <w:pPr>
        <w:spacing w:line="58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我们对本项目的项目产出、项目效果等方面进行了现场评价，评价结果为：</w:t>
      </w:r>
    </w:p>
    <w:p>
      <w:pPr>
        <w:spacing w:line="580" w:lineRule="exact"/>
        <w:ind w:firstLine="640" w:firstLineChars="200"/>
        <w:jc w:val="left"/>
        <w:rPr>
          <w:rFonts w:ascii="仿宋" w:hAnsi="仿宋" w:eastAsia="仿宋" w:cs="仿宋_GB2312"/>
          <w:sz w:val="32"/>
          <w:szCs w:val="32"/>
        </w:rPr>
      </w:pPr>
      <w:r>
        <w:rPr>
          <w:rFonts w:ascii="仿宋" w:hAnsi="仿宋" w:eastAsia="仿宋" w:cs="仿宋_GB2312"/>
          <w:sz w:val="32"/>
          <w:szCs w:val="32"/>
        </w:rPr>
        <w:t>1.</w:t>
      </w:r>
      <w:r>
        <w:rPr>
          <w:rFonts w:hint="eastAsia" w:ascii="仿宋" w:hAnsi="仿宋" w:eastAsia="仿宋" w:cs="仿宋_GB2312"/>
          <w:sz w:val="32"/>
          <w:szCs w:val="32"/>
        </w:rPr>
        <w:t>项目产出</w:t>
      </w:r>
      <w:r>
        <w:rPr>
          <w:rFonts w:hint="eastAsia" w:ascii="仿宋" w:hAnsi="仿宋" w:eastAsia="仿宋" w:cs="仿宋_GB2312"/>
          <w:sz w:val="32"/>
          <w:szCs w:val="32"/>
          <w:lang w:val="en-US" w:eastAsia="zh-CN"/>
        </w:rPr>
        <w:t>50</w:t>
      </w:r>
      <w:r>
        <w:rPr>
          <w:rFonts w:hint="eastAsia" w:ascii="仿宋" w:hAnsi="仿宋" w:eastAsia="仿宋" w:cs="仿宋_GB2312"/>
          <w:sz w:val="32"/>
          <w:szCs w:val="32"/>
        </w:rPr>
        <w:t>分（满分</w:t>
      </w:r>
      <w:r>
        <w:rPr>
          <w:rFonts w:hint="eastAsia" w:ascii="仿宋" w:hAnsi="仿宋" w:eastAsia="仿宋" w:cs="仿宋_GB2312"/>
          <w:sz w:val="32"/>
          <w:szCs w:val="32"/>
          <w:lang w:val="en-US" w:eastAsia="zh-CN"/>
        </w:rPr>
        <w:t>50</w:t>
      </w:r>
      <w:r>
        <w:rPr>
          <w:rFonts w:hint="eastAsia" w:ascii="仿宋" w:hAnsi="仿宋" w:eastAsia="仿宋" w:cs="仿宋_GB2312"/>
          <w:sz w:val="32"/>
          <w:szCs w:val="32"/>
        </w:rPr>
        <w:t>分）</w:t>
      </w:r>
    </w:p>
    <w:p>
      <w:pPr>
        <w:spacing w:line="580" w:lineRule="exact"/>
        <w:ind w:firstLine="640" w:firstLineChars="200"/>
        <w:jc w:val="left"/>
        <w:rPr>
          <w:rFonts w:hint="eastAsia" w:ascii="仿宋" w:hAnsi="仿宋" w:eastAsia="仿宋" w:cs="仿宋_GB2312"/>
          <w:sz w:val="32"/>
          <w:szCs w:val="32"/>
          <w:lang w:val="en-US" w:eastAsia="zh-CN"/>
        </w:rPr>
      </w:pPr>
      <w:r>
        <w:rPr>
          <w:rFonts w:hint="eastAsia" w:ascii="仿宋" w:hAnsi="仿宋" w:eastAsia="仿宋" w:cs="仿宋_GB2312"/>
          <w:sz w:val="32"/>
          <w:szCs w:val="32"/>
          <w:lang w:eastAsia="zh-CN"/>
        </w:rPr>
        <w:t>电视栏目</w:t>
      </w:r>
      <w:r>
        <w:rPr>
          <w:rFonts w:hint="eastAsia" w:ascii="仿宋" w:hAnsi="仿宋" w:eastAsia="仿宋" w:cs="仿宋_GB2312"/>
          <w:sz w:val="32"/>
          <w:szCs w:val="32"/>
          <w:lang w:val="en-US" w:eastAsia="zh-CN"/>
        </w:rPr>
        <w:t>评价25分，</w:t>
      </w:r>
      <w:r>
        <w:rPr>
          <w:rFonts w:hint="eastAsia" w:ascii="仿宋" w:hAnsi="仿宋" w:eastAsia="仿宋" w:cs="仿宋_GB2312"/>
          <w:sz w:val="32"/>
          <w:szCs w:val="32"/>
        </w:rPr>
        <w:tab/>
      </w:r>
      <w:r>
        <w:rPr>
          <w:rFonts w:hint="eastAsia" w:ascii="仿宋" w:hAnsi="仿宋" w:eastAsia="仿宋" w:cs="仿宋_GB2312"/>
          <w:sz w:val="32"/>
          <w:szCs w:val="32"/>
        </w:rPr>
        <w:t>供片数量</w:t>
      </w:r>
      <w:r>
        <w:rPr>
          <w:rFonts w:hint="eastAsia" w:ascii="仿宋" w:hAnsi="仿宋" w:eastAsia="仿宋" w:cs="仿宋_GB2312"/>
          <w:sz w:val="32"/>
          <w:szCs w:val="32"/>
          <w:lang w:val="en-US" w:eastAsia="zh-CN"/>
        </w:rPr>
        <w:t>25分．</w:t>
      </w:r>
    </w:p>
    <w:p>
      <w:pPr>
        <w:spacing w:line="58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2</w:t>
      </w:r>
      <w:r>
        <w:rPr>
          <w:rFonts w:ascii="仿宋" w:hAnsi="仿宋" w:eastAsia="仿宋" w:cs="仿宋_GB2312"/>
          <w:sz w:val="32"/>
          <w:szCs w:val="32"/>
        </w:rPr>
        <w:t>.</w:t>
      </w:r>
      <w:r>
        <w:rPr>
          <w:rFonts w:hint="eastAsia" w:ascii="仿宋" w:hAnsi="仿宋" w:eastAsia="仿宋" w:cs="仿宋_GB2312"/>
          <w:sz w:val="32"/>
          <w:szCs w:val="32"/>
        </w:rPr>
        <w:t>项目效果</w:t>
      </w:r>
      <w:r>
        <w:rPr>
          <w:rFonts w:hint="eastAsia" w:ascii="仿宋" w:hAnsi="仿宋" w:eastAsia="仿宋" w:cs="仿宋_GB2312"/>
          <w:sz w:val="32"/>
          <w:szCs w:val="32"/>
          <w:lang w:val="en-US" w:eastAsia="zh-CN"/>
        </w:rPr>
        <w:t>30</w:t>
      </w:r>
      <w:r>
        <w:rPr>
          <w:rFonts w:hint="eastAsia" w:ascii="仿宋" w:hAnsi="仿宋" w:eastAsia="仿宋" w:cs="仿宋_GB2312"/>
          <w:sz w:val="32"/>
          <w:szCs w:val="32"/>
        </w:rPr>
        <w:t>分（满分30分）</w:t>
      </w:r>
    </w:p>
    <w:p>
      <w:pPr>
        <w:spacing w:line="580" w:lineRule="exact"/>
        <w:ind w:firstLine="480" w:firstLineChars="150"/>
        <w:jc w:val="left"/>
        <w:rPr>
          <w:rFonts w:hint="eastAsia" w:ascii="仿宋" w:hAnsi="仿宋" w:eastAsia="仿宋"/>
          <w:kern w:val="0"/>
          <w:sz w:val="32"/>
          <w:szCs w:val="32"/>
        </w:rPr>
      </w:pPr>
      <w:r>
        <w:rPr>
          <w:rFonts w:hint="eastAsia" w:ascii="仿宋" w:hAnsi="仿宋" w:eastAsia="仿宋"/>
          <w:kern w:val="0"/>
          <w:sz w:val="32"/>
          <w:szCs w:val="32"/>
        </w:rPr>
        <w:t>山亭电视台有了节目库，按照每天4集播出的标准，充实电视节目，更加丰富了全区人民群众的精神文化生活。</w:t>
      </w:r>
    </w:p>
    <w:p>
      <w:pPr>
        <w:spacing w:line="580" w:lineRule="exact"/>
        <w:ind w:firstLine="480" w:firstLineChars="150"/>
        <w:jc w:val="left"/>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w:t>
      </w:r>
    </w:p>
    <w:p>
      <w:pPr>
        <w:spacing w:line="600" w:lineRule="exact"/>
        <w:ind w:firstLine="640" w:firstLineChars="200"/>
        <w:outlineLvl w:val="0"/>
        <w:rPr>
          <w:rFonts w:hint="default"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通过调查座谈发现</w:t>
      </w:r>
      <w:r>
        <w:rPr>
          <w:rFonts w:hint="eastAsia" w:eastAsia="仿宋_GB2312" w:cs="Times New Roman"/>
          <w:bCs/>
          <w:sz w:val="32"/>
          <w:szCs w:val="32"/>
          <w:lang w:eastAsia="zh-CN"/>
        </w:rPr>
        <w:t>电视受众</w:t>
      </w:r>
      <w:r>
        <w:rPr>
          <w:rFonts w:hint="default" w:ascii="Times New Roman" w:hAnsi="Times New Roman" w:eastAsia="仿宋_GB2312" w:cs="Times New Roman"/>
          <w:bCs/>
          <w:sz w:val="32"/>
          <w:szCs w:val="32"/>
        </w:rPr>
        <w:t>满意度</w:t>
      </w:r>
      <w:r>
        <w:rPr>
          <w:rFonts w:hint="eastAsia" w:ascii="Times New Roman" w:hAnsi="Times New Roman" w:eastAsia="仿宋_GB2312" w:cs="Times New Roman"/>
          <w:bCs/>
          <w:sz w:val="32"/>
          <w:szCs w:val="32"/>
          <w:lang w:val="en-US" w:eastAsia="zh-CN"/>
        </w:rPr>
        <w:t>为</w:t>
      </w:r>
      <w:r>
        <w:rPr>
          <w:rFonts w:hint="eastAsia" w:eastAsia="仿宋_GB2312" w:cs="Times New Roman"/>
          <w:bCs/>
          <w:sz w:val="32"/>
          <w:szCs w:val="32"/>
          <w:lang w:val="en-US" w:eastAsia="zh-CN"/>
        </w:rPr>
        <w:t>9</w:t>
      </w:r>
      <w:r>
        <w:rPr>
          <w:rFonts w:hint="eastAsia" w:ascii="Times New Roman" w:hAnsi="Times New Roman" w:eastAsia="仿宋_GB2312" w:cs="Times New Roman"/>
          <w:bCs/>
          <w:sz w:val="32"/>
          <w:szCs w:val="32"/>
          <w:lang w:val="en-US" w:eastAsia="zh-CN"/>
        </w:rPr>
        <w:t>5%，</w:t>
      </w:r>
      <w:r>
        <w:rPr>
          <w:rFonts w:hint="eastAsia" w:eastAsia="仿宋_GB2312" w:cs="Times New Roman"/>
          <w:bCs/>
          <w:sz w:val="32"/>
          <w:szCs w:val="32"/>
          <w:lang w:val="en-US" w:eastAsia="zh-CN"/>
        </w:rPr>
        <w:t>不满意的地方主要为电视节目及时更新，购买更多的电视节目</w:t>
      </w:r>
      <w:r>
        <w:rPr>
          <w:rFonts w:hint="eastAsia" w:ascii="仿宋" w:hAnsi="仿宋" w:eastAsia="仿宋" w:cs="仿宋_GB2312"/>
          <w:sz w:val="32"/>
          <w:szCs w:val="32"/>
          <w:lang w:eastAsia="zh-CN"/>
        </w:rPr>
        <w:t>。</w:t>
      </w:r>
    </w:p>
    <w:p>
      <w:pPr>
        <w:spacing w:line="580" w:lineRule="exact"/>
        <w:ind w:firstLine="480" w:firstLineChars="150"/>
        <w:jc w:val="left"/>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（四）综合评价结论及分析。</w:t>
      </w:r>
    </w:p>
    <w:p>
      <w:pPr>
        <w:spacing w:line="580" w:lineRule="exact"/>
        <w:ind w:firstLine="640" w:firstLineChars="200"/>
        <w:jc w:val="left"/>
        <w:rPr>
          <w:rFonts w:ascii="黑体" w:hAnsi="黑体" w:eastAsia="黑体" w:cs="楷体_GB2312"/>
          <w:sz w:val="32"/>
          <w:szCs w:val="32"/>
        </w:rPr>
      </w:pPr>
      <w:r>
        <w:rPr>
          <w:rFonts w:hint="eastAsia" w:ascii="仿宋" w:hAnsi="仿宋" w:eastAsia="仿宋"/>
          <w:sz w:val="32"/>
          <w:szCs w:val="32"/>
          <w:lang w:val="en-US" w:eastAsia="zh-CN"/>
        </w:rPr>
        <w:t>山亭区融媒体中心山东省影视节目</w:t>
      </w:r>
      <w:r>
        <w:rPr>
          <w:rFonts w:hint="eastAsia" w:ascii="仿宋" w:hAnsi="仿宋" w:eastAsia="仿宋" w:cs="仿宋_GB2312"/>
          <w:sz w:val="32"/>
          <w:szCs w:val="32"/>
        </w:rPr>
        <w:t>项目</w:t>
      </w:r>
      <w:r>
        <w:rPr>
          <w:rFonts w:hint="eastAsia" w:hAnsi="仿宋" w:cs="仿宋"/>
          <w:spacing w:val="-3"/>
          <w:sz w:val="32"/>
        </w:rPr>
        <w:t>总体得分</w:t>
      </w:r>
      <w:r>
        <w:rPr>
          <w:rFonts w:hint="eastAsia" w:hAnsi="仿宋" w:cs="仿宋"/>
          <w:spacing w:val="-3"/>
          <w:sz w:val="32"/>
          <w:lang w:val="en-US" w:eastAsia="zh-CN"/>
        </w:rPr>
        <w:t>100</w:t>
      </w:r>
      <w:r>
        <w:rPr>
          <w:rFonts w:hint="eastAsia" w:hAnsi="仿宋" w:cs="仿宋"/>
          <w:spacing w:val="-3"/>
          <w:sz w:val="32"/>
        </w:rPr>
        <w:t>分</w:t>
      </w:r>
      <w:r>
        <w:rPr>
          <w:rFonts w:hint="eastAsia" w:ascii="仿宋" w:hAnsi="仿宋" w:eastAsia="仿宋" w:cs="仿宋_GB2312"/>
          <w:sz w:val="32"/>
          <w:szCs w:val="32"/>
        </w:rPr>
        <w:t>。该项目</w:t>
      </w:r>
      <w:r>
        <w:rPr>
          <w:rFonts w:hint="eastAsia" w:ascii="仿宋" w:hAnsi="仿宋" w:eastAsia="仿宋" w:cs="仿宋_GB2312"/>
          <w:sz w:val="32"/>
          <w:szCs w:val="32"/>
          <w:lang w:eastAsia="zh-CN"/>
        </w:rPr>
        <w:t>整体实施情况较为符合预期绩效目标，对</w:t>
      </w:r>
      <w:r>
        <w:rPr>
          <w:rFonts w:hint="eastAsia" w:ascii="仿宋" w:hAnsi="仿宋" w:eastAsia="仿宋"/>
          <w:sz w:val="32"/>
          <w:szCs w:val="32"/>
          <w:lang w:val="en-US" w:eastAsia="zh-CN"/>
        </w:rPr>
        <w:t>山亭区融媒体中心山东省影视节目</w:t>
      </w:r>
      <w:r>
        <w:rPr>
          <w:rFonts w:hint="eastAsia" w:ascii="仿宋" w:hAnsi="仿宋" w:eastAsia="仿宋" w:cs="仿宋_GB2312"/>
          <w:sz w:val="32"/>
          <w:szCs w:val="32"/>
          <w:lang w:eastAsia="zh-CN"/>
        </w:rPr>
        <w:t>情况大为改善，基本满足</w:t>
      </w:r>
      <w:r>
        <w:rPr>
          <w:rFonts w:hint="eastAsia" w:ascii="仿宋" w:hAnsi="仿宋" w:eastAsia="仿宋" w:cs="仿宋_GB2312"/>
          <w:sz w:val="32"/>
          <w:szCs w:val="32"/>
          <w:lang w:val="en-US" w:eastAsia="zh-CN"/>
        </w:rPr>
        <w:t>电视节目的</w:t>
      </w:r>
      <w:r>
        <w:rPr>
          <w:rFonts w:hint="eastAsia" w:ascii="仿宋" w:hAnsi="仿宋" w:eastAsia="仿宋" w:cs="仿宋_GB2312"/>
          <w:sz w:val="32"/>
          <w:szCs w:val="32"/>
          <w:lang w:eastAsia="zh-CN"/>
        </w:rPr>
        <w:t>需要。</w:t>
      </w:r>
      <w:r>
        <w:rPr>
          <w:rFonts w:hint="eastAsia" w:ascii="黑体" w:hAnsi="黑体" w:eastAsia="黑体" w:cs="楷体_GB2312"/>
          <w:sz w:val="32"/>
          <w:szCs w:val="32"/>
        </w:rPr>
        <w:t>五、</w:t>
      </w:r>
      <w:r>
        <w:rPr>
          <w:rFonts w:hint="eastAsia" w:ascii="黑体" w:hAnsi="黑体" w:eastAsia="黑体" w:cs="黑体"/>
          <w:sz w:val="32"/>
          <w:szCs w:val="32"/>
        </w:rPr>
        <w:t>绩效评价指标分析</w:t>
      </w:r>
    </w:p>
    <w:p>
      <w:pPr>
        <w:pStyle w:val="8"/>
        <w:kinsoku w:val="0"/>
        <w:overflowPunct w:val="0"/>
        <w:spacing w:beforeLines="0" w:afterLines="0"/>
        <w:ind w:right="14" w:firstLine="320" w:firstLineChars="100"/>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（一）项目产出情况</w:t>
      </w:r>
    </w:p>
    <w:p>
      <w:pPr>
        <w:pStyle w:val="8"/>
        <w:kinsoku w:val="0"/>
        <w:overflowPunct w:val="0"/>
        <w:spacing w:before="218" w:beforeLines="0" w:afterLines="0" w:line="384" w:lineRule="auto"/>
        <w:ind w:left="220" w:right="14" w:firstLine="559"/>
        <w:rPr>
          <w:rFonts w:hint="eastAsia" w:hAnsi="仿宋" w:cs="仿宋_GB2312"/>
          <w:kern w:val="2"/>
          <w:sz w:val="32"/>
          <w:szCs w:val="32"/>
          <w:lang w:val="en-US" w:eastAsia="zh-CN" w:bidi="ar-SA"/>
        </w:rPr>
      </w:pPr>
      <w:r>
        <w:rPr>
          <w:rFonts w:hint="eastAsia" w:hAnsi="仿宋" w:cs="仿宋_GB2312"/>
          <w:kern w:val="2"/>
          <w:sz w:val="32"/>
          <w:szCs w:val="32"/>
          <w:lang w:val="en-US" w:eastAsia="zh-CN" w:bidi="ar-SA"/>
        </w:rPr>
        <w:t>项目产出共有4个二级指标，数量指标、质量指标、时效指标、和成本指标，分别对应一个三级指标。</w:t>
      </w:r>
    </w:p>
    <w:p>
      <w:pPr>
        <w:pStyle w:val="8"/>
        <w:kinsoku w:val="0"/>
        <w:overflowPunct w:val="0"/>
        <w:spacing w:before="72" w:beforeLines="0" w:afterLines="0"/>
        <w:ind w:left="2180" w:right="14" w:firstLine="1656" w:firstLineChars="600"/>
        <w:rPr>
          <w:rFonts w:hint="eastAsia"/>
          <w:spacing w:val="-2"/>
          <w:sz w:val="28"/>
        </w:rPr>
      </w:pPr>
      <w:r>
        <w:rPr>
          <w:rFonts w:hint="eastAsia"/>
          <w:spacing w:val="-2"/>
          <w:sz w:val="28"/>
        </w:rPr>
        <w:t>产出得分表</w:t>
      </w:r>
    </w:p>
    <w:tbl>
      <w:tblPr>
        <w:tblStyle w:val="17"/>
        <w:tblW w:w="71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35"/>
        <w:gridCol w:w="2524"/>
        <w:gridCol w:w="1780"/>
        <w:gridCol w:w="1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exact"/>
          <w:jc w:val="center"/>
        </w:trPr>
        <w:tc>
          <w:tcPr>
            <w:tcW w:w="10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58"/>
              <w:kinsoku w:val="0"/>
              <w:overflowPunct w:val="0"/>
              <w:spacing w:before="44" w:beforeLines="0" w:afterLines="0"/>
              <w:ind w:left="271"/>
              <w:rPr>
                <w:rFonts w:hint="default" w:eastAsia="Times"/>
                <w:sz w:val="24"/>
              </w:rPr>
            </w:pPr>
            <w:r>
              <w:rPr>
                <w:rFonts w:hint="eastAsia" w:ascii="仿宋" w:eastAsia="仿宋"/>
                <w:sz w:val="24"/>
              </w:rPr>
              <w:t>序号</w:t>
            </w:r>
          </w:p>
        </w:tc>
        <w:tc>
          <w:tcPr>
            <w:tcW w:w="2524" w:type="dxa"/>
            <w:tcBorders>
              <w:top w:val="single" w:color="000000" w:sz="4" w:space="0"/>
              <w:left w:val="single" w:color="000000" w:sz="4" w:space="0"/>
              <w:bottom w:val="single" w:color="000000" w:sz="4" w:space="0"/>
              <w:right w:val="single" w:color="000000" w:sz="4" w:space="0"/>
              <w:tl2br w:val="nil"/>
              <w:tr2bl w:val="nil"/>
            </w:tcBorders>
            <w:vAlign w:val="top"/>
          </w:tcPr>
          <w:p>
            <w:pPr>
              <w:pStyle w:val="58"/>
              <w:kinsoku w:val="0"/>
              <w:overflowPunct w:val="0"/>
              <w:spacing w:before="44" w:beforeLines="0" w:afterLines="0"/>
              <w:ind w:left="537"/>
              <w:rPr>
                <w:rFonts w:hint="default" w:eastAsia="Times"/>
                <w:sz w:val="24"/>
              </w:rPr>
            </w:pPr>
            <w:r>
              <w:rPr>
                <w:rFonts w:hint="eastAsia" w:ascii="仿宋" w:eastAsia="仿宋"/>
                <w:sz w:val="24"/>
                <w:lang w:eastAsia="zh-CN"/>
              </w:rPr>
              <w:t>二</w:t>
            </w:r>
            <w:r>
              <w:rPr>
                <w:rFonts w:hint="eastAsia" w:ascii="仿宋" w:eastAsia="仿宋"/>
                <w:sz w:val="24"/>
              </w:rPr>
              <w:t>级指标名称</w:t>
            </w:r>
          </w:p>
        </w:tc>
        <w:tc>
          <w:tcPr>
            <w:tcW w:w="1780" w:type="dxa"/>
            <w:tcBorders>
              <w:top w:val="single" w:color="000000" w:sz="4" w:space="0"/>
              <w:left w:val="single" w:color="000000" w:sz="4" w:space="0"/>
              <w:bottom w:val="single" w:color="000000" w:sz="4" w:space="0"/>
              <w:right w:val="single" w:color="000000" w:sz="4" w:space="0"/>
              <w:tl2br w:val="nil"/>
              <w:tr2bl w:val="nil"/>
            </w:tcBorders>
            <w:vAlign w:val="top"/>
          </w:tcPr>
          <w:p>
            <w:pPr>
              <w:pStyle w:val="58"/>
              <w:kinsoku w:val="0"/>
              <w:overflowPunct w:val="0"/>
              <w:spacing w:before="44" w:beforeLines="0" w:afterLines="0"/>
              <w:ind w:left="405"/>
              <w:rPr>
                <w:rFonts w:hint="default" w:eastAsia="Times"/>
                <w:sz w:val="24"/>
              </w:rPr>
            </w:pPr>
            <w:r>
              <w:rPr>
                <w:rFonts w:hint="eastAsia" w:ascii="仿宋" w:eastAsia="仿宋"/>
                <w:sz w:val="24"/>
              </w:rPr>
              <w:t>权重总分</w:t>
            </w:r>
          </w:p>
        </w:tc>
        <w:tc>
          <w:tcPr>
            <w:tcW w:w="1780" w:type="dxa"/>
            <w:tcBorders>
              <w:top w:val="single" w:color="000000" w:sz="4" w:space="0"/>
              <w:left w:val="single" w:color="000000" w:sz="4" w:space="0"/>
              <w:bottom w:val="single" w:color="000000" w:sz="4" w:space="0"/>
              <w:right w:val="single" w:color="000000" w:sz="4" w:space="0"/>
              <w:tl2br w:val="nil"/>
              <w:tr2bl w:val="nil"/>
            </w:tcBorders>
            <w:vAlign w:val="top"/>
          </w:tcPr>
          <w:p>
            <w:pPr>
              <w:pStyle w:val="58"/>
              <w:kinsoku w:val="0"/>
              <w:overflowPunct w:val="0"/>
              <w:spacing w:before="44" w:beforeLines="0" w:afterLines="0"/>
              <w:ind w:left="404"/>
              <w:rPr>
                <w:rFonts w:hint="default" w:eastAsia="Times"/>
                <w:sz w:val="24"/>
              </w:rPr>
            </w:pPr>
            <w:r>
              <w:rPr>
                <w:rFonts w:hint="eastAsia" w:ascii="仿宋" w:eastAsia="仿宋"/>
                <w:sz w:val="24"/>
              </w:rPr>
              <w:t>实际得分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exact"/>
          <w:jc w:val="center"/>
        </w:trPr>
        <w:tc>
          <w:tcPr>
            <w:tcW w:w="10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58"/>
              <w:kinsoku w:val="0"/>
              <w:overflowPunct w:val="0"/>
              <w:spacing w:before="44" w:beforeLines="0" w:afterLines="0"/>
              <w:ind w:left="432" w:right="434"/>
              <w:jc w:val="center"/>
              <w:rPr>
                <w:rFonts w:hint="default" w:eastAsia="Times"/>
                <w:sz w:val="24"/>
              </w:rPr>
            </w:pPr>
            <w:r>
              <w:rPr>
                <w:rFonts w:hint="eastAsia" w:ascii="仿宋" w:eastAsia="仿宋"/>
                <w:sz w:val="24"/>
              </w:rPr>
              <w:t>1</w:t>
            </w:r>
          </w:p>
        </w:tc>
        <w:tc>
          <w:tcPr>
            <w:tcW w:w="252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default" w:eastAsia="Times"/>
                <w:sz w:val="24"/>
              </w:rPr>
            </w:pPr>
            <w:r>
              <w:rPr>
                <w:rFonts w:hint="eastAsia" w:ascii="宋体" w:hAnsi="宋体" w:eastAsia="宋体" w:cs="宋体"/>
                <w:i w:val="0"/>
                <w:color w:val="000000"/>
                <w:kern w:val="0"/>
                <w:sz w:val="20"/>
                <w:szCs w:val="20"/>
                <w:u w:val="none"/>
                <w:lang w:val="en-US" w:eastAsia="zh-CN" w:bidi="ar"/>
              </w:rPr>
              <w:t>数量指标</w:t>
            </w:r>
          </w:p>
        </w:tc>
        <w:tc>
          <w:tcPr>
            <w:tcW w:w="178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default" w:eastAsia="宋体"/>
                <w:sz w:val="24"/>
                <w:lang w:val="en-US" w:eastAsia="zh-CN"/>
              </w:rPr>
            </w:pPr>
            <w:r>
              <w:rPr>
                <w:rFonts w:hint="eastAsia"/>
                <w:sz w:val="24"/>
                <w:lang w:val="en-US" w:eastAsia="zh-CN"/>
              </w:rPr>
              <w:t>15</w:t>
            </w:r>
          </w:p>
        </w:tc>
        <w:tc>
          <w:tcPr>
            <w:tcW w:w="178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default" w:eastAsia="宋体"/>
                <w:sz w:val="24"/>
                <w:lang w:val="en-US" w:eastAsia="zh-CN"/>
              </w:rPr>
            </w:pPr>
            <w:r>
              <w:rPr>
                <w:rFonts w:hint="eastAsia"/>
                <w:sz w:val="24"/>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exact"/>
          <w:jc w:val="center"/>
        </w:trPr>
        <w:tc>
          <w:tcPr>
            <w:tcW w:w="10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58"/>
              <w:kinsoku w:val="0"/>
              <w:overflowPunct w:val="0"/>
              <w:spacing w:before="45" w:beforeLines="0" w:afterLines="0"/>
              <w:ind w:left="432" w:right="434"/>
              <w:jc w:val="center"/>
              <w:rPr>
                <w:rFonts w:hint="default" w:eastAsia="Times"/>
                <w:sz w:val="24"/>
              </w:rPr>
            </w:pPr>
            <w:r>
              <w:rPr>
                <w:rFonts w:hint="eastAsia" w:ascii="仿宋" w:eastAsia="仿宋"/>
                <w:sz w:val="24"/>
              </w:rPr>
              <w:t>2</w:t>
            </w:r>
          </w:p>
        </w:tc>
        <w:tc>
          <w:tcPr>
            <w:tcW w:w="252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default" w:eastAsia="Times"/>
                <w:sz w:val="24"/>
              </w:rPr>
            </w:pPr>
            <w:r>
              <w:rPr>
                <w:rFonts w:hint="eastAsia" w:ascii="宋体" w:hAnsi="宋体" w:eastAsia="宋体" w:cs="宋体"/>
                <w:i w:val="0"/>
                <w:color w:val="000000"/>
                <w:kern w:val="0"/>
                <w:sz w:val="20"/>
                <w:szCs w:val="20"/>
                <w:u w:val="none"/>
                <w:lang w:val="en-US" w:eastAsia="zh-CN" w:bidi="ar"/>
              </w:rPr>
              <w:t>质量指标</w:t>
            </w:r>
          </w:p>
        </w:tc>
        <w:tc>
          <w:tcPr>
            <w:tcW w:w="178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default" w:eastAsia="宋体"/>
                <w:sz w:val="24"/>
                <w:lang w:val="en-US" w:eastAsia="zh-CN"/>
              </w:rPr>
            </w:pPr>
            <w:r>
              <w:rPr>
                <w:rFonts w:hint="eastAsia"/>
                <w:sz w:val="24"/>
                <w:lang w:val="en-US" w:eastAsia="zh-CN"/>
              </w:rPr>
              <w:t>27</w:t>
            </w:r>
          </w:p>
        </w:tc>
        <w:tc>
          <w:tcPr>
            <w:tcW w:w="178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default" w:eastAsia="宋体"/>
                <w:sz w:val="24"/>
                <w:lang w:val="en-US" w:eastAsia="zh-CN"/>
              </w:rPr>
            </w:pPr>
            <w:r>
              <w:rPr>
                <w:rFonts w:hint="eastAsia"/>
                <w:sz w:val="24"/>
                <w:lang w:val="en-US" w:eastAsia="zh-CN"/>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exact"/>
          <w:jc w:val="center"/>
        </w:trPr>
        <w:tc>
          <w:tcPr>
            <w:tcW w:w="10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58"/>
              <w:kinsoku w:val="0"/>
              <w:overflowPunct w:val="0"/>
              <w:spacing w:before="45" w:beforeLines="0" w:afterLines="0"/>
              <w:ind w:left="432" w:right="434"/>
              <w:jc w:val="center"/>
              <w:rPr>
                <w:rFonts w:hint="default" w:eastAsia="Times"/>
                <w:sz w:val="24"/>
              </w:rPr>
            </w:pPr>
            <w:r>
              <w:rPr>
                <w:rFonts w:hint="eastAsia" w:ascii="仿宋" w:eastAsia="仿宋"/>
                <w:sz w:val="24"/>
              </w:rPr>
              <w:t>3</w:t>
            </w:r>
          </w:p>
        </w:tc>
        <w:tc>
          <w:tcPr>
            <w:tcW w:w="252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default" w:eastAsia="Times"/>
                <w:sz w:val="24"/>
              </w:rPr>
            </w:pPr>
            <w:r>
              <w:rPr>
                <w:rFonts w:hint="eastAsia" w:ascii="宋体" w:hAnsi="宋体" w:eastAsia="宋体" w:cs="宋体"/>
                <w:i w:val="0"/>
                <w:color w:val="000000"/>
                <w:kern w:val="0"/>
                <w:sz w:val="20"/>
                <w:szCs w:val="20"/>
                <w:u w:val="none"/>
                <w:lang w:val="en-US" w:eastAsia="zh-CN" w:bidi="ar"/>
              </w:rPr>
              <w:t>时效指标</w:t>
            </w:r>
          </w:p>
        </w:tc>
        <w:tc>
          <w:tcPr>
            <w:tcW w:w="178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default" w:eastAsia="宋体"/>
                <w:sz w:val="24"/>
                <w:lang w:val="en-US" w:eastAsia="zh-CN"/>
              </w:rPr>
            </w:pPr>
            <w:r>
              <w:rPr>
                <w:rFonts w:hint="eastAsia"/>
                <w:sz w:val="24"/>
                <w:lang w:val="en-US" w:eastAsia="zh-CN"/>
              </w:rPr>
              <w:t>4</w:t>
            </w:r>
          </w:p>
        </w:tc>
        <w:tc>
          <w:tcPr>
            <w:tcW w:w="178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default" w:eastAsia="宋体"/>
                <w:sz w:val="24"/>
                <w:lang w:val="en-US" w:eastAsia="zh-CN"/>
              </w:rPr>
            </w:pPr>
            <w:r>
              <w:rPr>
                <w:rFonts w:hint="eastAsia"/>
                <w:sz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exact"/>
          <w:jc w:val="center"/>
        </w:trPr>
        <w:tc>
          <w:tcPr>
            <w:tcW w:w="10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58"/>
              <w:kinsoku w:val="0"/>
              <w:overflowPunct w:val="0"/>
              <w:spacing w:before="45" w:beforeLines="0" w:afterLines="0"/>
              <w:ind w:left="432" w:right="434"/>
              <w:jc w:val="center"/>
              <w:rPr>
                <w:rFonts w:hint="default" w:eastAsia="Times"/>
                <w:sz w:val="24"/>
              </w:rPr>
            </w:pPr>
            <w:r>
              <w:rPr>
                <w:rFonts w:hint="eastAsia" w:ascii="仿宋" w:eastAsia="仿宋"/>
                <w:sz w:val="24"/>
              </w:rPr>
              <w:t>4</w:t>
            </w:r>
          </w:p>
        </w:tc>
        <w:tc>
          <w:tcPr>
            <w:tcW w:w="252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default" w:eastAsia="Times"/>
                <w:sz w:val="24"/>
              </w:rPr>
            </w:pPr>
            <w:r>
              <w:rPr>
                <w:rFonts w:hint="eastAsia" w:ascii="宋体" w:hAnsi="宋体" w:eastAsia="宋体" w:cs="宋体"/>
                <w:i w:val="0"/>
                <w:color w:val="000000"/>
                <w:kern w:val="0"/>
                <w:sz w:val="20"/>
                <w:szCs w:val="20"/>
                <w:u w:val="none"/>
                <w:lang w:val="en-US" w:eastAsia="zh-CN" w:bidi="ar"/>
              </w:rPr>
              <w:t>成本指标</w:t>
            </w:r>
          </w:p>
        </w:tc>
        <w:tc>
          <w:tcPr>
            <w:tcW w:w="178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eastAsia="宋体"/>
                <w:sz w:val="24"/>
                <w:lang w:val="en-US" w:eastAsia="zh-CN"/>
              </w:rPr>
            </w:pPr>
            <w:r>
              <w:rPr>
                <w:rFonts w:hint="eastAsia"/>
                <w:sz w:val="24"/>
                <w:lang w:val="en-US" w:eastAsia="zh-CN"/>
              </w:rPr>
              <w:t>4</w:t>
            </w:r>
          </w:p>
        </w:tc>
        <w:tc>
          <w:tcPr>
            <w:tcW w:w="178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default" w:eastAsia="宋体"/>
                <w:sz w:val="24"/>
                <w:lang w:val="en-US" w:eastAsia="zh-CN"/>
              </w:rPr>
            </w:pPr>
            <w:r>
              <w:rPr>
                <w:rFonts w:hint="eastAsia"/>
                <w:sz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8" w:hRule="exact"/>
          <w:jc w:val="center"/>
        </w:trPr>
        <w:tc>
          <w:tcPr>
            <w:tcW w:w="10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58"/>
              <w:kinsoku w:val="0"/>
              <w:overflowPunct w:val="0"/>
              <w:spacing w:before="45" w:beforeLines="0" w:afterLines="0"/>
              <w:ind w:left="271"/>
              <w:rPr>
                <w:rFonts w:hint="default" w:eastAsia="Times"/>
                <w:sz w:val="24"/>
              </w:rPr>
            </w:pPr>
            <w:r>
              <w:rPr>
                <w:rFonts w:hint="eastAsia" w:ascii="仿宋" w:eastAsia="仿宋"/>
                <w:sz w:val="24"/>
              </w:rPr>
              <w:t>合计</w:t>
            </w:r>
          </w:p>
        </w:tc>
        <w:tc>
          <w:tcPr>
            <w:tcW w:w="2524" w:type="dxa"/>
            <w:tcBorders>
              <w:top w:val="single" w:color="000000" w:sz="4" w:space="0"/>
              <w:left w:val="single" w:color="000000" w:sz="4" w:space="0"/>
              <w:bottom w:val="single" w:color="000000" w:sz="4" w:space="0"/>
              <w:right w:val="single" w:color="000000" w:sz="4" w:space="0"/>
              <w:tl2br w:val="nil"/>
              <w:tr2bl w:val="nil"/>
            </w:tcBorders>
            <w:vAlign w:val="top"/>
          </w:tcPr>
          <w:p>
            <w:pPr>
              <w:spacing w:beforeLines="0" w:afterLines="0"/>
              <w:rPr>
                <w:rFonts w:hint="default" w:eastAsia="Times"/>
                <w:sz w:val="24"/>
              </w:rPr>
            </w:pPr>
          </w:p>
        </w:tc>
        <w:tc>
          <w:tcPr>
            <w:tcW w:w="1780" w:type="dxa"/>
            <w:tcBorders>
              <w:top w:val="single" w:color="000000" w:sz="4" w:space="0"/>
              <w:left w:val="single" w:color="000000" w:sz="4" w:space="0"/>
              <w:bottom w:val="single" w:color="000000" w:sz="4" w:space="0"/>
              <w:right w:val="single" w:color="000000" w:sz="4" w:space="0"/>
              <w:tl2br w:val="nil"/>
              <w:tr2bl w:val="nil"/>
            </w:tcBorders>
            <w:vAlign w:val="top"/>
          </w:tcPr>
          <w:p>
            <w:pPr>
              <w:pStyle w:val="58"/>
              <w:kinsoku w:val="0"/>
              <w:overflowPunct w:val="0"/>
              <w:spacing w:before="45" w:beforeLines="0" w:afterLines="0"/>
              <w:ind w:left="625" w:right="624"/>
              <w:jc w:val="center"/>
              <w:rPr>
                <w:rFonts w:hint="default" w:eastAsia="宋体"/>
                <w:sz w:val="24"/>
                <w:lang w:val="en-US" w:eastAsia="zh-CN"/>
              </w:rPr>
            </w:pPr>
            <w:r>
              <w:rPr>
                <w:rFonts w:hint="eastAsia"/>
                <w:sz w:val="24"/>
                <w:lang w:val="en-US" w:eastAsia="zh-CN"/>
              </w:rPr>
              <w:t>50</w:t>
            </w:r>
          </w:p>
        </w:tc>
        <w:tc>
          <w:tcPr>
            <w:tcW w:w="1780" w:type="dxa"/>
            <w:tcBorders>
              <w:top w:val="single" w:color="000000" w:sz="4" w:space="0"/>
              <w:left w:val="single" w:color="000000" w:sz="4" w:space="0"/>
              <w:bottom w:val="single" w:color="000000" w:sz="4" w:space="0"/>
              <w:right w:val="single" w:color="000000" w:sz="4" w:space="0"/>
              <w:tl2br w:val="nil"/>
              <w:tr2bl w:val="nil"/>
            </w:tcBorders>
            <w:vAlign w:val="top"/>
          </w:tcPr>
          <w:p>
            <w:pPr>
              <w:pStyle w:val="58"/>
              <w:kinsoku w:val="0"/>
              <w:overflowPunct w:val="0"/>
              <w:spacing w:before="45" w:beforeLines="0" w:afterLines="0"/>
              <w:ind w:left="624" w:right="625"/>
              <w:jc w:val="center"/>
              <w:rPr>
                <w:rFonts w:hint="default" w:eastAsia="宋体"/>
                <w:sz w:val="24"/>
                <w:lang w:val="en-US" w:eastAsia="zh-CN"/>
              </w:rPr>
            </w:pPr>
            <w:r>
              <w:rPr>
                <w:rFonts w:hint="eastAsia"/>
                <w:sz w:val="24"/>
                <w:lang w:val="en-US" w:eastAsia="zh-CN"/>
              </w:rPr>
              <w:t>50</w:t>
            </w:r>
          </w:p>
        </w:tc>
      </w:tr>
    </w:tbl>
    <w:p>
      <w:pPr>
        <w:kinsoku w:val="0"/>
        <w:overflowPunct w:val="0"/>
        <w:spacing w:before="3" w:beforeLines="0" w:afterLines="0" w:line="160" w:lineRule="exact"/>
        <w:rPr>
          <w:rFonts w:hint="default" w:eastAsia="Times"/>
          <w:sz w:val="16"/>
        </w:rPr>
      </w:pPr>
    </w:p>
    <w:p>
      <w:pPr>
        <w:pStyle w:val="8"/>
        <w:kinsoku w:val="0"/>
        <w:overflowPunct w:val="0"/>
        <w:spacing w:before="49" w:beforeLines="0" w:afterLines="0" w:line="384" w:lineRule="auto"/>
        <w:ind w:right="41" w:firstLine="640" w:firstLineChars="20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1.数量指标共有</w:t>
      </w:r>
      <w:r>
        <w:rPr>
          <w:rFonts w:hint="eastAsia" w:hAnsi="仿宋" w:cs="仿宋_GB2312"/>
          <w:kern w:val="2"/>
          <w:sz w:val="32"/>
          <w:szCs w:val="32"/>
          <w:lang w:val="en-US" w:eastAsia="zh-CN" w:bidi="ar-SA"/>
        </w:rPr>
        <w:t>二</w:t>
      </w:r>
      <w:r>
        <w:rPr>
          <w:rFonts w:hint="eastAsia" w:ascii="仿宋" w:hAnsi="仿宋" w:eastAsia="仿宋" w:cs="仿宋_GB2312"/>
          <w:kern w:val="2"/>
          <w:sz w:val="32"/>
          <w:szCs w:val="32"/>
          <w:lang w:val="en-US" w:eastAsia="zh-CN" w:bidi="ar-SA"/>
        </w:rPr>
        <w:t>个</w:t>
      </w:r>
      <w:r>
        <w:rPr>
          <w:rFonts w:hint="eastAsia" w:hAnsi="仿宋" w:cs="仿宋_GB2312"/>
          <w:kern w:val="2"/>
          <w:sz w:val="32"/>
          <w:szCs w:val="32"/>
          <w:lang w:val="en-US" w:eastAsia="zh-CN" w:bidi="ar-SA"/>
        </w:rPr>
        <w:t>三</w:t>
      </w:r>
      <w:r>
        <w:rPr>
          <w:rFonts w:hint="eastAsia" w:ascii="仿宋" w:hAnsi="仿宋" w:eastAsia="仿宋" w:cs="仿宋_GB2312"/>
          <w:kern w:val="2"/>
          <w:sz w:val="32"/>
          <w:szCs w:val="32"/>
          <w:lang w:val="en-US" w:eastAsia="zh-CN" w:bidi="ar-SA"/>
        </w:rPr>
        <w:t>级指标。预计完成</w:t>
      </w:r>
      <w:r>
        <w:rPr>
          <w:rFonts w:hint="eastAsia" w:hAnsi="仿宋" w:cs="仿宋_GB2312"/>
          <w:kern w:val="2"/>
          <w:sz w:val="32"/>
          <w:szCs w:val="32"/>
          <w:lang w:val="en-US" w:eastAsia="zh-CN" w:bidi="ar-SA"/>
        </w:rPr>
        <w:t>电视栏目7个，供片数量1989集．</w:t>
      </w:r>
      <w:r>
        <w:rPr>
          <w:rFonts w:hint="eastAsia" w:ascii="仿宋" w:hAnsi="仿宋" w:eastAsia="仿宋" w:cs="仿宋_GB2312"/>
          <w:kern w:val="2"/>
          <w:sz w:val="32"/>
          <w:szCs w:val="32"/>
          <w:lang w:val="en-US" w:eastAsia="zh-CN" w:bidi="ar-SA"/>
        </w:rPr>
        <w:t>指标完成率100%，该项指标未扣分。</w:t>
      </w:r>
    </w:p>
    <w:p>
      <w:pPr>
        <w:pStyle w:val="8"/>
        <w:kinsoku w:val="0"/>
        <w:overflowPunct w:val="0"/>
        <w:spacing w:before="49" w:beforeLines="0" w:afterLines="0" w:line="384" w:lineRule="auto"/>
        <w:ind w:right="41" w:firstLine="640" w:firstLineChars="20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2.项目实施后，</w:t>
      </w:r>
      <w:r>
        <w:rPr>
          <w:rFonts w:hint="eastAsia" w:hAnsi="仿宋" w:cs="仿宋_GB2312"/>
          <w:kern w:val="2"/>
          <w:sz w:val="32"/>
          <w:szCs w:val="32"/>
          <w:lang w:val="en-US" w:eastAsia="zh-CN" w:bidi="ar-SA"/>
        </w:rPr>
        <w:t>我单位组织人员及时进行了质量测评，服务对象满意度≥95%，</w:t>
      </w:r>
      <w:r>
        <w:rPr>
          <w:rFonts w:hint="eastAsia" w:ascii="仿宋" w:hAnsi="仿宋" w:eastAsia="仿宋" w:cs="仿宋_GB2312"/>
          <w:kern w:val="2"/>
          <w:sz w:val="32"/>
          <w:szCs w:val="32"/>
          <w:lang w:val="en-US" w:eastAsia="zh-CN" w:bidi="ar-SA"/>
        </w:rPr>
        <w:t>该项指标未扣分。</w:t>
      </w:r>
    </w:p>
    <w:p>
      <w:pPr>
        <w:pStyle w:val="8"/>
        <w:kinsoku w:val="0"/>
        <w:overflowPunct w:val="0"/>
        <w:spacing w:before="49" w:beforeLines="0" w:afterLines="0" w:line="384" w:lineRule="auto"/>
        <w:ind w:right="41" w:firstLine="640" w:firstLineChars="20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3.时效指标共有一个</w:t>
      </w:r>
      <w:r>
        <w:rPr>
          <w:rFonts w:hint="eastAsia" w:hAnsi="仿宋" w:cs="仿宋_GB2312"/>
          <w:kern w:val="2"/>
          <w:sz w:val="32"/>
          <w:szCs w:val="32"/>
          <w:lang w:val="en-US" w:eastAsia="zh-CN" w:bidi="ar-SA"/>
        </w:rPr>
        <w:t>三</w:t>
      </w:r>
      <w:r>
        <w:rPr>
          <w:rFonts w:hint="eastAsia" w:ascii="仿宋" w:hAnsi="仿宋" w:eastAsia="仿宋" w:cs="仿宋_GB2312"/>
          <w:kern w:val="2"/>
          <w:sz w:val="32"/>
          <w:szCs w:val="32"/>
          <w:lang w:val="en-US" w:eastAsia="zh-CN" w:bidi="ar-SA"/>
        </w:rPr>
        <w:t>级指标</w:t>
      </w:r>
      <w:r>
        <w:rPr>
          <w:rFonts w:hint="eastAsia" w:hAnsi="仿宋" w:cs="仿宋_GB2312"/>
          <w:kern w:val="2"/>
          <w:sz w:val="32"/>
          <w:szCs w:val="32"/>
          <w:lang w:val="en-US" w:eastAsia="zh-CN" w:bidi="ar-SA"/>
        </w:rPr>
        <w:t>。</w:t>
      </w:r>
      <w:r>
        <w:rPr>
          <w:rFonts w:hint="eastAsia" w:ascii="仿宋" w:hAnsi="仿宋" w:eastAsia="仿宋" w:cs="仿宋_GB2312"/>
          <w:kern w:val="2"/>
          <w:sz w:val="32"/>
          <w:szCs w:val="32"/>
          <w:lang w:val="en-US" w:eastAsia="zh-CN" w:bidi="ar-SA"/>
        </w:rPr>
        <w:t>截止2019年末，</w:t>
      </w:r>
      <w:r>
        <w:rPr>
          <w:rFonts w:hint="eastAsia" w:hAnsi="仿宋" w:cs="仿宋_GB2312"/>
          <w:kern w:val="2"/>
          <w:sz w:val="32"/>
          <w:szCs w:val="32"/>
          <w:lang w:val="en-US" w:eastAsia="zh-CN" w:bidi="ar-SA"/>
        </w:rPr>
        <w:t>培训</w:t>
      </w:r>
      <w:r>
        <w:rPr>
          <w:rFonts w:hint="eastAsia" w:ascii="仿宋" w:hAnsi="仿宋" w:eastAsia="仿宋" w:cs="仿宋_GB2312"/>
          <w:kern w:val="2"/>
          <w:sz w:val="32"/>
          <w:szCs w:val="32"/>
          <w:lang w:val="en-US" w:eastAsia="zh-CN" w:bidi="ar-SA"/>
        </w:rPr>
        <w:t>完成</w:t>
      </w:r>
      <w:r>
        <w:rPr>
          <w:rFonts w:hint="eastAsia" w:hAnsi="仿宋" w:cs="仿宋_GB2312"/>
          <w:kern w:val="2"/>
          <w:sz w:val="32"/>
          <w:szCs w:val="32"/>
          <w:lang w:val="en-US" w:eastAsia="zh-CN" w:bidi="ar-SA"/>
        </w:rPr>
        <w:t>及时</w:t>
      </w:r>
      <w:r>
        <w:rPr>
          <w:rFonts w:hint="eastAsia" w:ascii="仿宋" w:hAnsi="仿宋" w:eastAsia="仿宋" w:cs="仿宋_GB2312"/>
          <w:kern w:val="2"/>
          <w:sz w:val="32"/>
          <w:szCs w:val="32"/>
          <w:lang w:val="en-US" w:eastAsia="zh-CN" w:bidi="ar-SA"/>
        </w:rPr>
        <w:t>率100%，该项指标未扣分。</w:t>
      </w:r>
    </w:p>
    <w:p>
      <w:pPr>
        <w:pStyle w:val="8"/>
        <w:kinsoku w:val="0"/>
        <w:overflowPunct w:val="0"/>
        <w:spacing w:before="49" w:beforeLines="0" w:afterLines="0" w:line="384" w:lineRule="auto"/>
        <w:ind w:right="41" w:firstLine="640" w:firstLineChars="200"/>
        <w:rPr>
          <w:rFonts w:hint="eastAsia"/>
          <w:spacing w:val="-2"/>
          <w:sz w:val="28"/>
          <w:highlight w:val="none"/>
        </w:rPr>
      </w:pPr>
      <w:r>
        <w:rPr>
          <w:rFonts w:hint="eastAsia" w:ascii="仿宋" w:hAnsi="仿宋" w:eastAsia="仿宋" w:cs="仿宋_GB2312"/>
          <w:kern w:val="2"/>
          <w:sz w:val="32"/>
          <w:szCs w:val="32"/>
          <w:lang w:val="en-US" w:eastAsia="zh-CN" w:bidi="ar-SA"/>
        </w:rPr>
        <w:t>4.成本指标共有一个</w:t>
      </w:r>
      <w:r>
        <w:rPr>
          <w:rFonts w:hint="eastAsia" w:hAnsi="仿宋" w:cs="仿宋_GB2312"/>
          <w:kern w:val="2"/>
          <w:sz w:val="32"/>
          <w:szCs w:val="32"/>
          <w:lang w:val="en-US" w:eastAsia="zh-CN" w:bidi="ar-SA"/>
        </w:rPr>
        <w:t>三</w:t>
      </w:r>
      <w:r>
        <w:rPr>
          <w:rFonts w:hint="eastAsia" w:ascii="仿宋" w:hAnsi="仿宋" w:eastAsia="仿宋" w:cs="仿宋_GB2312"/>
          <w:kern w:val="2"/>
          <w:sz w:val="32"/>
          <w:szCs w:val="32"/>
          <w:lang w:val="en-US" w:eastAsia="zh-CN" w:bidi="ar-SA"/>
        </w:rPr>
        <w:t>级指标。在项目实施中，成本控制未</w:t>
      </w:r>
      <w:r>
        <w:rPr>
          <w:rFonts w:hint="eastAsia" w:hAnsi="仿宋" w:cs="仿宋_GB2312"/>
          <w:kern w:val="2"/>
          <w:sz w:val="32"/>
          <w:szCs w:val="32"/>
          <w:lang w:val="en-US" w:eastAsia="zh-CN" w:bidi="ar-SA"/>
        </w:rPr>
        <w:t>超出</w:t>
      </w:r>
      <w:r>
        <w:rPr>
          <w:rFonts w:hint="eastAsia" w:ascii="仿宋" w:hAnsi="仿宋" w:eastAsia="仿宋" w:cs="仿宋_GB2312"/>
          <w:kern w:val="2"/>
          <w:sz w:val="32"/>
          <w:szCs w:val="32"/>
          <w:lang w:val="en-US" w:eastAsia="zh-CN" w:bidi="ar-SA"/>
        </w:rPr>
        <w:t>年度指标值</w:t>
      </w:r>
      <w:r>
        <w:rPr>
          <w:rFonts w:hint="eastAsia" w:hAnsi="仿宋" w:cs="仿宋_GB2312"/>
          <w:kern w:val="2"/>
          <w:sz w:val="32"/>
          <w:szCs w:val="32"/>
          <w:lang w:val="en-US" w:eastAsia="zh-CN" w:bidi="ar-SA"/>
        </w:rPr>
        <w:t>4</w:t>
      </w:r>
      <w:r>
        <w:rPr>
          <w:rFonts w:hint="eastAsia" w:ascii="仿宋" w:hAnsi="仿宋" w:eastAsia="仿宋" w:cs="仿宋_GB2312"/>
          <w:kern w:val="2"/>
          <w:sz w:val="32"/>
          <w:szCs w:val="32"/>
          <w:lang w:val="en-US" w:eastAsia="zh-CN" w:bidi="ar-SA"/>
        </w:rPr>
        <w:t>万元，实际完成值</w:t>
      </w:r>
      <w:r>
        <w:rPr>
          <w:rFonts w:hint="eastAsia"/>
          <w:spacing w:val="-2"/>
          <w:sz w:val="28"/>
          <w:lang w:val="en-US" w:eastAsia="zh-CN"/>
        </w:rPr>
        <w:t>为4万元，达到了成本控制的目的</w:t>
      </w:r>
      <w:r>
        <w:rPr>
          <w:rFonts w:hint="eastAsia" w:ascii="仿宋" w:hAnsi="仿宋" w:eastAsia="仿宋" w:cs="仿宋_GB2312"/>
          <w:kern w:val="2"/>
          <w:sz w:val="32"/>
          <w:szCs w:val="32"/>
          <w:lang w:val="en-US" w:eastAsia="zh-CN" w:bidi="ar-SA"/>
        </w:rPr>
        <w:t>，该项指标未扣分。</w:t>
      </w:r>
    </w:p>
    <w:p>
      <w:pPr>
        <w:pStyle w:val="8"/>
        <w:kinsoku w:val="0"/>
        <w:overflowPunct w:val="0"/>
        <w:spacing w:beforeLines="0" w:afterLines="0"/>
        <w:ind w:right="14" w:firstLine="320" w:firstLineChars="100"/>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（二）项目效益情况</w:t>
      </w:r>
    </w:p>
    <w:p>
      <w:pPr>
        <w:pStyle w:val="8"/>
        <w:kinsoku w:val="0"/>
        <w:overflowPunct w:val="0"/>
        <w:spacing w:before="49" w:beforeLines="0" w:afterLines="0" w:line="384" w:lineRule="auto"/>
        <w:ind w:right="41" w:firstLine="640" w:firstLineChars="20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项目效果共有</w:t>
      </w:r>
      <w:r>
        <w:rPr>
          <w:rFonts w:hint="eastAsia" w:hAnsi="仿宋" w:cs="仿宋_GB2312"/>
          <w:kern w:val="2"/>
          <w:sz w:val="32"/>
          <w:szCs w:val="32"/>
          <w:lang w:val="en-US" w:eastAsia="zh-CN" w:bidi="ar-SA"/>
        </w:rPr>
        <w:t>三</w:t>
      </w:r>
      <w:r>
        <w:rPr>
          <w:rFonts w:hint="eastAsia" w:ascii="仿宋" w:hAnsi="仿宋" w:eastAsia="仿宋" w:cs="仿宋_GB2312"/>
          <w:kern w:val="2"/>
          <w:sz w:val="32"/>
          <w:szCs w:val="32"/>
          <w:lang w:val="en-US" w:eastAsia="zh-CN" w:bidi="ar-SA"/>
        </w:rPr>
        <w:t>个</w:t>
      </w:r>
      <w:r>
        <w:rPr>
          <w:rFonts w:hint="eastAsia" w:hAnsi="仿宋" w:cs="仿宋_GB2312"/>
          <w:kern w:val="2"/>
          <w:sz w:val="32"/>
          <w:szCs w:val="32"/>
          <w:lang w:val="en-US" w:eastAsia="zh-CN" w:bidi="ar-SA"/>
        </w:rPr>
        <w:t>三</w:t>
      </w:r>
      <w:r>
        <w:rPr>
          <w:rFonts w:hint="eastAsia" w:ascii="仿宋" w:hAnsi="仿宋" w:eastAsia="仿宋" w:cs="仿宋_GB2312"/>
          <w:kern w:val="2"/>
          <w:sz w:val="32"/>
          <w:szCs w:val="32"/>
          <w:lang w:val="en-US" w:eastAsia="zh-CN" w:bidi="ar-SA"/>
        </w:rPr>
        <w:t>级指标</w:t>
      </w:r>
      <w:r>
        <w:rPr>
          <w:rFonts w:hint="eastAsia" w:hAnsi="仿宋" w:cs="仿宋_GB2312"/>
          <w:kern w:val="2"/>
          <w:sz w:val="32"/>
          <w:szCs w:val="32"/>
          <w:lang w:val="en-US" w:eastAsia="zh-CN" w:bidi="ar-SA"/>
        </w:rPr>
        <w:t>经济效益指标、</w:t>
      </w:r>
      <w:r>
        <w:rPr>
          <w:rFonts w:hint="eastAsia" w:ascii="仿宋" w:hAnsi="仿宋" w:eastAsia="仿宋" w:cs="仿宋_GB2312"/>
          <w:kern w:val="2"/>
          <w:sz w:val="32"/>
          <w:szCs w:val="32"/>
          <w:lang w:val="en-US" w:eastAsia="zh-CN" w:bidi="ar-SA"/>
        </w:rPr>
        <w:t>社会效益指标</w:t>
      </w:r>
      <w:r>
        <w:rPr>
          <w:rFonts w:hint="eastAsia" w:hAnsi="仿宋" w:cs="仿宋_GB2312"/>
          <w:kern w:val="2"/>
          <w:sz w:val="32"/>
          <w:szCs w:val="32"/>
          <w:lang w:val="en-US" w:eastAsia="zh-CN" w:bidi="ar-SA"/>
        </w:rPr>
        <w:t>和</w:t>
      </w:r>
      <w:r>
        <w:rPr>
          <w:rFonts w:hint="eastAsia" w:ascii="仿宋" w:hAnsi="仿宋" w:eastAsia="仿宋" w:cs="仿宋_GB2312"/>
          <w:kern w:val="2"/>
          <w:sz w:val="32"/>
          <w:szCs w:val="32"/>
          <w:lang w:val="en-US" w:eastAsia="zh-CN" w:bidi="ar-SA"/>
        </w:rPr>
        <w:t>可持续影响指标。</w:t>
      </w:r>
    </w:p>
    <w:p>
      <w:pPr>
        <w:pStyle w:val="8"/>
        <w:kinsoku w:val="0"/>
        <w:overflowPunct w:val="0"/>
        <w:spacing w:before="72" w:beforeLines="0" w:afterLines="0"/>
        <w:ind w:left="2180" w:right="14" w:firstLine="1656" w:firstLineChars="600"/>
        <w:rPr>
          <w:rFonts w:hint="eastAsia"/>
          <w:spacing w:val="-2"/>
          <w:sz w:val="28"/>
        </w:rPr>
      </w:pPr>
      <w:r>
        <w:rPr>
          <w:rFonts w:hint="eastAsia"/>
          <w:spacing w:val="-2"/>
          <w:sz w:val="28"/>
          <w:lang w:eastAsia="zh-CN"/>
        </w:rPr>
        <w:t>效益</w:t>
      </w:r>
      <w:r>
        <w:rPr>
          <w:rFonts w:hint="eastAsia"/>
          <w:spacing w:val="-2"/>
          <w:sz w:val="28"/>
        </w:rPr>
        <w:t>得分表</w:t>
      </w:r>
    </w:p>
    <w:tbl>
      <w:tblPr>
        <w:tblStyle w:val="17"/>
        <w:tblW w:w="71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35"/>
        <w:gridCol w:w="2524"/>
        <w:gridCol w:w="1780"/>
        <w:gridCol w:w="1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exact"/>
          <w:jc w:val="center"/>
        </w:trPr>
        <w:tc>
          <w:tcPr>
            <w:tcW w:w="10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58"/>
              <w:kinsoku w:val="0"/>
              <w:overflowPunct w:val="0"/>
              <w:spacing w:before="44" w:beforeLines="0" w:afterLines="0"/>
              <w:ind w:left="271"/>
              <w:rPr>
                <w:rFonts w:hint="default" w:eastAsia="Times"/>
                <w:sz w:val="24"/>
              </w:rPr>
            </w:pPr>
            <w:r>
              <w:rPr>
                <w:rFonts w:hint="eastAsia" w:ascii="仿宋" w:eastAsia="仿宋"/>
                <w:sz w:val="24"/>
              </w:rPr>
              <w:t>序号</w:t>
            </w:r>
          </w:p>
        </w:tc>
        <w:tc>
          <w:tcPr>
            <w:tcW w:w="2524" w:type="dxa"/>
            <w:tcBorders>
              <w:top w:val="single" w:color="000000" w:sz="4" w:space="0"/>
              <w:left w:val="single" w:color="000000" w:sz="4" w:space="0"/>
              <w:bottom w:val="single" w:color="000000" w:sz="4" w:space="0"/>
              <w:right w:val="single" w:color="000000" w:sz="4" w:space="0"/>
              <w:tl2br w:val="nil"/>
              <w:tr2bl w:val="nil"/>
            </w:tcBorders>
            <w:vAlign w:val="top"/>
          </w:tcPr>
          <w:p>
            <w:pPr>
              <w:pStyle w:val="58"/>
              <w:kinsoku w:val="0"/>
              <w:overflowPunct w:val="0"/>
              <w:spacing w:before="44" w:beforeLines="0" w:afterLines="0"/>
              <w:ind w:left="537"/>
              <w:rPr>
                <w:rFonts w:hint="default" w:eastAsia="Times"/>
                <w:sz w:val="24"/>
              </w:rPr>
            </w:pPr>
            <w:r>
              <w:rPr>
                <w:rFonts w:hint="eastAsia" w:ascii="仿宋" w:eastAsia="仿宋"/>
                <w:sz w:val="24"/>
                <w:lang w:eastAsia="zh-CN"/>
              </w:rPr>
              <w:t>二</w:t>
            </w:r>
            <w:r>
              <w:rPr>
                <w:rFonts w:hint="eastAsia" w:ascii="仿宋" w:eastAsia="仿宋"/>
                <w:sz w:val="24"/>
              </w:rPr>
              <w:t>级指标名称</w:t>
            </w:r>
          </w:p>
        </w:tc>
        <w:tc>
          <w:tcPr>
            <w:tcW w:w="1780" w:type="dxa"/>
            <w:tcBorders>
              <w:top w:val="single" w:color="000000" w:sz="4" w:space="0"/>
              <w:left w:val="single" w:color="000000" w:sz="4" w:space="0"/>
              <w:bottom w:val="single" w:color="000000" w:sz="4" w:space="0"/>
              <w:right w:val="single" w:color="000000" w:sz="4" w:space="0"/>
              <w:tl2br w:val="nil"/>
              <w:tr2bl w:val="nil"/>
            </w:tcBorders>
            <w:vAlign w:val="top"/>
          </w:tcPr>
          <w:p>
            <w:pPr>
              <w:pStyle w:val="58"/>
              <w:kinsoku w:val="0"/>
              <w:overflowPunct w:val="0"/>
              <w:spacing w:before="44" w:beforeLines="0" w:afterLines="0"/>
              <w:ind w:left="405"/>
              <w:rPr>
                <w:rFonts w:hint="default" w:eastAsia="Times"/>
                <w:sz w:val="24"/>
              </w:rPr>
            </w:pPr>
            <w:r>
              <w:rPr>
                <w:rFonts w:hint="eastAsia" w:ascii="仿宋" w:eastAsia="仿宋"/>
                <w:sz w:val="24"/>
              </w:rPr>
              <w:t>权重总分</w:t>
            </w:r>
          </w:p>
        </w:tc>
        <w:tc>
          <w:tcPr>
            <w:tcW w:w="1780" w:type="dxa"/>
            <w:tcBorders>
              <w:top w:val="single" w:color="000000" w:sz="4" w:space="0"/>
              <w:left w:val="single" w:color="000000" w:sz="4" w:space="0"/>
              <w:bottom w:val="single" w:color="000000" w:sz="4" w:space="0"/>
              <w:right w:val="single" w:color="000000" w:sz="4" w:space="0"/>
              <w:tl2br w:val="nil"/>
              <w:tr2bl w:val="nil"/>
            </w:tcBorders>
            <w:vAlign w:val="top"/>
          </w:tcPr>
          <w:p>
            <w:pPr>
              <w:pStyle w:val="58"/>
              <w:kinsoku w:val="0"/>
              <w:overflowPunct w:val="0"/>
              <w:spacing w:before="44" w:beforeLines="0" w:afterLines="0"/>
              <w:ind w:left="404"/>
              <w:rPr>
                <w:rFonts w:hint="default" w:eastAsia="Times"/>
                <w:sz w:val="24"/>
              </w:rPr>
            </w:pPr>
            <w:r>
              <w:rPr>
                <w:rFonts w:hint="eastAsia" w:ascii="仿宋" w:eastAsia="仿宋"/>
                <w:sz w:val="24"/>
              </w:rPr>
              <w:t>实际得分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exact"/>
          <w:jc w:val="center"/>
        </w:trPr>
        <w:tc>
          <w:tcPr>
            <w:tcW w:w="10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58"/>
              <w:kinsoku w:val="0"/>
              <w:overflowPunct w:val="0"/>
              <w:spacing w:before="44" w:beforeLines="0" w:afterLines="0"/>
              <w:ind w:left="432" w:right="434"/>
              <w:jc w:val="center"/>
              <w:rPr>
                <w:rFonts w:hint="eastAsia" w:ascii="仿宋" w:eastAsia="仿宋"/>
                <w:sz w:val="24"/>
                <w:lang w:val="en-US" w:eastAsia="zh-CN"/>
              </w:rPr>
            </w:pPr>
            <w:r>
              <w:rPr>
                <w:rFonts w:hint="eastAsia" w:ascii="仿宋" w:eastAsia="仿宋"/>
                <w:sz w:val="24"/>
                <w:lang w:val="en-US" w:eastAsia="zh-CN"/>
              </w:rPr>
              <w:t>1</w:t>
            </w:r>
          </w:p>
        </w:tc>
        <w:tc>
          <w:tcPr>
            <w:tcW w:w="252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default" w:ascii="Times New Roman" w:hAnsi="Times New Roman" w:eastAsia="Times" w:cs="Times New Roman"/>
                <w:kern w:val="2"/>
                <w:sz w:val="24"/>
                <w:szCs w:val="24"/>
                <w:lang w:val="en-US" w:eastAsia="zh-CN" w:bidi="ar-SA"/>
              </w:rPr>
            </w:pPr>
            <w:r>
              <w:rPr>
                <w:rFonts w:hint="eastAsia" w:ascii="宋体" w:hAnsi="宋体" w:eastAsia="宋体" w:cs="宋体"/>
                <w:i w:val="0"/>
                <w:color w:val="000000"/>
                <w:kern w:val="0"/>
                <w:sz w:val="20"/>
                <w:szCs w:val="20"/>
                <w:u w:val="none"/>
                <w:lang w:val="en-US" w:eastAsia="zh-CN" w:bidi="ar"/>
              </w:rPr>
              <w:t>社会效益指标</w:t>
            </w:r>
          </w:p>
        </w:tc>
        <w:tc>
          <w:tcPr>
            <w:tcW w:w="178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kern w:val="2"/>
                <w:sz w:val="24"/>
                <w:szCs w:val="24"/>
                <w:lang w:val="en-US" w:eastAsia="zh-CN" w:bidi="ar-SA"/>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5</w:t>
            </w:r>
          </w:p>
        </w:tc>
        <w:tc>
          <w:tcPr>
            <w:tcW w:w="178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kern w:val="2"/>
                <w:sz w:val="24"/>
                <w:szCs w:val="24"/>
                <w:lang w:val="en-US" w:eastAsia="zh-CN" w:bidi="ar-SA"/>
              </w:rPr>
            </w:pPr>
            <w:r>
              <w:rPr>
                <w:rFonts w:hint="eastAsia"/>
                <w:sz w:val="24"/>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exact"/>
          <w:jc w:val="center"/>
        </w:trPr>
        <w:tc>
          <w:tcPr>
            <w:tcW w:w="10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58"/>
              <w:kinsoku w:val="0"/>
              <w:overflowPunct w:val="0"/>
              <w:spacing w:before="44" w:beforeLines="0" w:afterLines="0"/>
              <w:ind w:left="432" w:right="434"/>
              <w:jc w:val="center"/>
              <w:rPr>
                <w:rFonts w:hint="eastAsia" w:eastAsia="宋体"/>
                <w:sz w:val="24"/>
                <w:lang w:val="en-US" w:eastAsia="zh-CN"/>
              </w:rPr>
            </w:pPr>
            <w:r>
              <w:rPr>
                <w:rFonts w:hint="eastAsia"/>
                <w:sz w:val="24"/>
                <w:lang w:val="en-US" w:eastAsia="zh-CN"/>
              </w:rPr>
              <w:t>2</w:t>
            </w:r>
          </w:p>
        </w:tc>
        <w:tc>
          <w:tcPr>
            <w:tcW w:w="252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default" w:ascii="Times New Roman" w:hAnsi="Times New Roman" w:eastAsia="Times" w:cs="Times New Roman"/>
                <w:kern w:val="2"/>
                <w:sz w:val="24"/>
                <w:szCs w:val="24"/>
                <w:lang w:val="en-US" w:eastAsia="zh-CN" w:bidi="ar-SA"/>
              </w:rPr>
            </w:pPr>
            <w:r>
              <w:rPr>
                <w:rFonts w:hint="eastAsia" w:ascii="宋体" w:hAnsi="宋体" w:eastAsia="宋体" w:cs="宋体"/>
                <w:i w:val="0"/>
                <w:color w:val="000000"/>
                <w:kern w:val="0"/>
                <w:sz w:val="20"/>
                <w:szCs w:val="20"/>
                <w:u w:val="none"/>
                <w:lang w:val="en-US" w:eastAsia="zh-CN" w:bidi="ar"/>
              </w:rPr>
              <w:t>可持续影响指标</w:t>
            </w:r>
          </w:p>
        </w:tc>
        <w:tc>
          <w:tcPr>
            <w:tcW w:w="178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kern w:val="2"/>
                <w:sz w:val="24"/>
                <w:szCs w:val="24"/>
                <w:lang w:val="en-US" w:eastAsia="zh-CN" w:bidi="ar-SA"/>
              </w:rPr>
            </w:pPr>
            <w:r>
              <w:rPr>
                <w:rFonts w:hint="eastAsia"/>
                <w:sz w:val="24"/>
                <w:lang w:val="en-US" w:eastAsia="zh-CN"/>
              </w:rPr>
              <w:t>10</w:t>
            </w:r>
          </w:p>
        </w:tc>
        <w:tc>
          <w:tcPr>
            <w:tcW w:w="178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kern w:val="2"/>
                <w:sz w:val="24"/>
                <w:szCs w:val="24"/>
                <w:lang w:val="en-US" w:eastAsia="zh-CN" w:bidi="ar-SA"/>
              </w:rPr>
            </w:pPr>
            <w:r>
              <w:rPr>
                <w:rFonts w:hint="eastAsia"/>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exact"/>
          <w:jc w:val="center"/>
        </w:trPr>
        <w:tc>
          <w:tcPr>
            <w:tcW w:w="10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58"/>
              <w:kinsoku w:val="0"/>
              <w:overflowPunct w:val="0"/>
              <w:spacing w:before="45" w:beforeLines="0" w:afterLines="0"/>
              <w:ind w:left="432" w:right="434"/>
              <w:jc w:val="center"/>
              <w:rPr>
                <w:rFonts w:hint="eastAsia" w:eastAsia="宋体"/>
                <w:sz w:val="24"/>
                <w:lang w:val="en-US" w:eastAsia="zh-CN"/>
              </w:rPr>
            </w:pPr>
            <w:r>
              <w:rPr>
                <w:rFonts w:hint="eastAsia"/>
                <w:sz w:val="24"/>
                <w:lang w:val="en-US" w:eastAsia="zh-CN"/>
              </w:rPr>
              <w:t>3</w:t>
            </w:r>
          </w:p>
        </w:tc>
        <w:tc>
          <w:tcPr>
            <w:tcW w:w="252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default" w:eastAsia="Times"/>
                <w:sz w:val="24"/>
              </w:rPr>
            </w:pPr>
          </w:p>
        </w:tc>
        <w:tc>
          <w:tcPr>
            <w:tcW w:w="178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default" w:eastAsia="宋体"/>
                <w:sz w:val="24"/>
                <w:lang w:val="en-US" w:eastAsia="zh-CN"/>
              </w:rPr>
            </w:pPr>
          </w:p>
        </w:tc>
        <w:tc>
          <w:tcPr>
            <w:tcW w:w="178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default" w:eastAsia="宋体"/>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8" w:hRule="exact"/>
          <w:jc w:val="center"/>
        </w:trPr>
        <w:tc>
          <w:tcPr>
            <w:tcW w:w="10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58"/>
              <w:kinsoku w:val="0"/>
              <w:overflowPunct w:val="0"/>
              <w:spacing w:before="45" w:beforeLines="0" w:afterLines="0"/>
              <w:ind w:left="271"/>
              <w:rPr>
                <w:rFonts w:hint="default" w:eastAsia="Times"/>
                <w:sz w:val="24"/>
              </w:rPr>
            </w:pPr>
            <w:r>
              <w:rPr>
                <w:rFonts w:hint="eastAsia" w:ascii="仿宋" w:eastAsia="仿宋"/>
                <w:sz w:val="24"/>
              </w:rPr>
              <w:t>合计</w:t>
            </w:r>
          </w:p>
        </w:tc>
        <w:tc>
          <w:tcPr>
            <w:tcW w:w="2524" w:type="dxa"/>
            <w:tcBorders>
              <w:top w:val="single" w:color="000000" w:sz="4" w:space="0"/>
              <w:left w:val="single" w:color="000000" w:sz="4" w:space="0"/>
              <w:bottom w:val="single" w:color="000000" w:sz="4" w:space="0"/>
              <w:right w:val="single" w:color="000000" w:sz="4" w:space="0"/>
              <w:tl2br w:val="nil"/>
              <w:tr2bl w:val="nil"/>
            </w:tcBorders>
            <w:vAlign w:val="top"/>
          </w:tcPr>
          <w:p>
            <w:pPr>
              <w:spacing w:beforeLines="0" w:afterLines="0"/>
              <w:rPr>
                <w:rFonts w:hint="default" w:eastAsia="Times"/>
                <w:sz w:val="24"/>
              </w:rPr>
            </w:pPr>
          </w:p>
        </w:tc>
        <w:tc>
          <w:tcPr>
            <w:tcW w:w="1780" w:type="dxa"/>
            <w:tcBorders>
              <w:top w:val="single" w:color="000000" w:sz="4" w:space="0"/>
              <w:left w:val="single" w:color="000000" w:sz="4" w:space="0"/>
              <w:bottom w:val="single" w:color="000000" w:sz="4" w:space="0"/>
              <w:right w:val="single" w:color="000000" w:sz="4" w:space="0"/>
              <w:tl2br w:val="nil"/>
              <w:tr2bl w:val="nil"/>
            </w:tcBorders>
            <w:vAlign w:val="top"/>
          </w:tcPr>
          <w:p>
            <w:pPr>
              <w:pStyle w:val="58"/>
              <w:kinsoku w:val="0"/>
              <w:overflowPunct w:val="0"/>
              <w:spacing w:before="45" w:beforeLines="0" w:afterLines="0"/>
              <w:ind w:left="625" w:right="624"/>
              <w:jc w:val="center"/>
              <w:rPr>
                <w:rFonts w:hint="default" w:eastAsia="宋体"/>
                <w:sz w:val="24"/>
                <w:lang w:val="en-US" w:eastAsia="zh-CN"/>
              </w:rPr>
            </w:pPr>
            <w:r>
              <w:rPr>
                <w:rFonts w:hint="eastAsia"/>
                <w:sz w:val="24"/>
                <w:lang w:val="en-US" w:eastAsia="zh-CN"/>
              </w:rPr>
              <w:t>30</w:t>
            </w:r>
          </w:p>
        </w:tc>
        <w:tc>
          <w:tcPr>
            <w:tcW w:w="1780" w:type="dxa"/>
            <w:tcBorders>
              <w:top w:val="single" w:color="000000" w:sz="4" w:space="0"/>
              <w:left w:val="single" w:color="000000" w:sz="4" w:space="0"/>
              <w:bottom w:val="single" w:color="000000" w:sz="4" w:space="0"/>
              <w:right w:val="single" w:color="000000" w:sz="4" w:space="0"/>
              <w:tl2br w:val="nil"/>
              <w:tr2bl w:val="nil"/>
            </w:tcBorders>
            <w:vAlign w:val="top"/>
          </w:tcPr>
          <w:p>
            <w:pPr>
              <w:pStyle w:val="58"/>
              <w:kinsoku w:val="0"/>
              <w:overflowPunct w:val="0"/>
              <w:spacing w:before="45" w:beforeLines="0" w:afterLines="0"/>
              <w:ind w:left="624" w:right="625"/>
              <w:jc w:val="center"/>
              <w:rPr>
                <w:rFonts w:hint="default" w:eastAsia="宋体"/>
                <w:sz w:val="24"/>
                <w:lang w:val="en-US" w:eastAsia="zh-CN"/>
              </w:rPr>
            </w:pPr>
            <w:r>
              <w:rPr>
                <w:rFonts w:hint="eastAsia" w:ascii="仿宋" w:eastAsia="仿宋"/>
                <w:sz w:val="24"/>
                <w:lang w:val="en-US" w:eastAsia="zh-CN"/>
              </w:rPr>
              <w:t>30</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552" w:firstLineChars="200"/>
        <w:jc w:val="both"/>
        <w:textAlignment w:val="auto"/>
        <w:outlineLvl w:val="9"/>
        <w:rPr>
          <w:rFonts w:hint="eastAsia" w:ascii="仿宋" w:hAnsi="Times New Roman" w:eastAsia="仿宋" w:cs="Times New Roman"/>
          <w:spacing w:val="-2"/>
          <w:kern w:val="2"/>
          <w:sz w:val="28"/>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640" w:firstLineChars="200"/>
        <w:jc w:val="both"/>
        <w:textAlignment w:val="auto"/>
        <w:outlineLvl w:val="9"/>
        <w:rPr>
          <w:rFonts w:hint="eastAsia" w:ascii="Times New Roman" w:hAnsi="Times New Roman" w:eastAsia="仿宋_GB2312" w:cs="Times New Roman"/>
          <w:bCs/>
          <w:sz w:val="32"/>
          <w:szCs w:val="32"/>
          <w:lang w:val="en-US" w:eastAsia="zh-CN"/>
        </w:rPr>
      </w:pPr>
      <w:r>
        <w:rPr>
          <w:rFonts w:hint="eastAsia" w:ascii="仿宋" w:hAnsi="仿宋" w:eastAsia="仿宋" w:cs="仿宋_GB2312"/>
          <w:kern w:val="2"/>
          <w:sz w:val="32"/>
          <w:szCs w:val="32"/>
          <w:lang w:val="en-US" w:eastAsia="zh-CN" w:bidi="ar-SA"/>
        </w:rPr>
        <w:t>1、</w:t>
      </w:r>
      <w:r>
        <w:rPr>
          <w:rFonts w:hint="eastAsia" w:ascii="Times New Roman" w:eastAsia="仿宋_GB2312" w:cs="Times New Roman"/>
          <w:bCs/>
          <w:sz w:val="32"/>
          <w:szCs w:val="32"/>
          <w:lang w:val="en-US" w:eastAsia="zh-CN"/>
        </w:rPr>
        <w:t>社会效益</w:t>
      </w:r>
      <w:r>
        <w:rPr>
          <w:rFonts w:hint="eastAsia" w:ascii="Times New Roman" w:hAnsi="Times New Roman" w:eastAsia="仿宋_GB2312" w:cs="Times New Roman"/>
          <w:bCs/>
          <w:sz w:val="32"/>
          <w:szCs w:val="32"/>
          <w:lang w:val="en-US" w:eastAsia="zh-CN"/>
        </w:rPr>
        <w:t>指标共有个三级指标，保障节目正常播放</w:t>
      </w:r>
    </w:p>
    <w:p>
      <w:pPr>
        <w:pStyle w:val="8"/>
        <w:keepNext w:val="0"/>
        <w:keepLines w:val="0"/>
        <w:pageBreakBefore w:val="0"/>
        <w:widowControl w:val="0"/>
        <w:numPr>
          <w:ilvl w:val="0"/>
          <w:numId w:val="4"/>
        </w:numPr>
        <w:kinsoku w:val="0"/>
        <w:wordWrap/>
        <w:overflowPunct w:val="0"/>
        <w:topLinePunct w:val="0"/>
        <w:autoSpaceDE/>
        <w:autoSpaceDN/>
        <w:bidi w:val="0"/>
        <w:adjustRightInd/>
        <w:snapToGrid/>
        <w:spacing w:beforeLines="0" w:afterLines="0" w:line="580" w:lineRule="exact"/>
        <w:ind w:left="180" w:leftChars="0" w:right="252" w:firstLine="559" w:firstLineChars="0"/>
        <w:jc w:val="both"/>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可持续影响指标共有</w:t>
      </w:r>
      <w:r>
        <w:rPr>
          <w:rFonts w:hint="eastAsia" w:ascii="Times New Roman" w:eastAsia="仿宋_GB2312" w:cs="Times New Roman"/>
          <w:bCs/>
          <w:sz w:val="32"/>
          <w:szCs w:val="32"/>
          <w:lang w:val="en-US" w:eastAsia="zh-CN"/>
        </w:rPr>
        <w:t>1</w:t>
      </w:r>
      <w:r>
        <w:rPr>
          <w:rFonts w:hint="eastAsia" w:ascii="Times New Roman" w:hAnsi="Times New Roman" w:eastAsia="仿宋_GB2312" w:cs="Times New Roman"/>
          <w:bCs/>
          <w:sz w:val="32"/>
          <w:szCs w:val="32"/>
          <w:lang w:val="en-US" w:eastAsia="zh-CN"/>
        </w:rPr>
        <w:t>个三级指标，保障电视节目正常播放</w:t>
      </w:r>
      <w:r>
        <w:rPr>
          <w:rFonts w:hint="eastAsia" w:ascii="Times New Roman" w:eastAsia="仿宋_GB2312" w:cs="Times New Roman"/>
          <w:bCs/>
          <w:sz w:val="32"/>
          <w:szCs w:val="32"/>
          <w:lang w:val="en-US" w:eastAsia="zh-CN"/>
        </w:rPr>
        <w:t>．</w:t>
      </w:r>
    </w:p>
    <w:p>
      <w:pPr>
        <w:pStyle w:val="8"/>
        <w:numPr>
          <w:ilvl w:val="0"/>
          <w:numId w:val="5"/>
        </w:numPr>
        <w:kinsoku w:val="0"/>
        <w:overflowPunct w:val="0"/>
        <w:spacing w:beforeLines="0" w:afterLines="0"/>
        <w:ind w:right="14" w:firstLine="320" w:firstLineChars="100"/>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项目满意度情况</w:t>
      </w:r>
    </w:p>
    <w:p>
      <w:pPr>
        <w:pStyle w:val="8"/>
        <w:keepNext w:val="0"/>
        <w:keepLines w:val="0"/>
        <w:pageBreakBefore w:val="0"/>
        <w:widowControl w:val="0"/>
        <w:kinsoku w:val="0"/>
        <w:wordWrap/>
        <w:overflowPunct w:val="0"/>
        <w:topLinePunct w:val="0"/>
        <w:autoSpaceDE/>
        <w:autoSpaceDN/>
        <w:bidi w:val="0"/>
        <w:adjustRightInd/>
        <w:snapToGrid/>
        <w:spacing w:beforeLines="0" w:afterLines="0" w:line="580" w:lineRule="exact"/>
        <w:ind w:left="0" w:leftChars="0" w:right="252" w:firstLine="640" w:firstLineChars="200"/>
        <w:jc w:val="both"/>
        <w:textAlignment w:val="auto"/>
        <w:rPr>
          <w:rFonts w:hint="default"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通过调查座谈发现受益人员满意度为</w:t>
      </w:r>
      <w:r>
        <w:rPr>
          <w:rFonts w:hint="eastAsia" w:ascii="Times New Roman" w:eastAsia="仿宋_GB2312" w:cs="Times New Roman"/>
          <w:bCs/>
          <w:sz w:val="32"/>
          <w:szCs w:val="32"/>
          <w:lang w:val="en-US" w:eastAsia="zh-CN"/>
        </w:rPr>
        <w:t>95</w:t>
      </w:r>
      <w:r>
        <w:rPr>
          <w:rFonts w:hint="eastAsia" w:ascii="Times New Roman" w:hAnsi="Times New Roman" w:eastAsia="仿宋_GB2312" w:cs="Times New Roman"/>
          <w:bCs/>
          <w:sz w:val="32"/>
          <w:szCs w:val="32"/>
          <w:lang w:val="en-US" w:eastAsia="zh-CN"/>
        </w:rPr>
        <w:t>%，不满意的地方主要</w:t>
      </w:r>
      <w:r>
        <w:rPr>
          <w:rFonts w:hint="eastAsia" w:ascii="Times New Roman" w:eastAsia="仿宋_GB2312" w:cs="Times New Roman"/>
          <w:bCs/>
          <w:sz w:val="32"/>
          <w:szCs w:val="32"/>
          <w:lang w:val="en-US" w:eastAsia="zh-CN"/>
        </w:rPr>
        <w:t>是</w:t>
      </w:r>
      <w:r>
        <w:rPr>
          <w:rFonts w:hint="eastAsia" w:eastAsia="仿宋_GB2312" w:cs="Times New Roman"/>
          <w:bCs/>
          <w:sz w:val="32"/>
          <w:szCs w:val="32"/>
          <w:lang w:val="en-US" w:eastAsia="zh-CN"/>
        </w:rPr>
        <w:t>电视节目及时更新，购买更多的电视节目</w:t>
      </w:r>
      <w:r>
        <w:rPr>
          <w:rFonts w:hint="eastAsia" w:ascii="Times New Roman" w:hAnsi="Times New Roman" w:eastAsia="仿宋_GB2312" w:cs="Times New Roman"/>
          <w:bCs/>
          <w:sz w:val="32"/>
          <w:szCs w:val="32"/>
          <w:lang w:val="en-US" w:eastAsia="zh-CN"/>
        </w:rPr>
        <w:t>。</w:t>
      </w:r>
    </w:p>
    <w:p>
      <w:pPr>
        <w:widowControl w:val="0"/>
        <w:spacing w:line="60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六、项目主要经验及做法</w:t>
      </w:r>
    </w:p>
    <w:p>
      <w:pPr>
        <w:widowControl w:val="0"/>
        <w:spacing w:line="600" w:lineRule="exact"/>
        <w:ind w:firstLine="640" w:firstLineChars="200"/>
        <w:jc w:val="left"/>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本次项目执行，</w:t>
      </w:r>
      <w:r>
        <w:rPr>
          <w:rFonts w:hint="eastAsia" w:eastAsia="仿宋_GB2312" w:cs="Times New Roman"/>
          <w:bCs/>
          <w:kern w:val="2"/>
          <w:sz w:val="32"/>
          <w:szCs w:val="32"/>
          <w:lang w:val="en-US" w:eastAsia="zh-CN" w:bidi="ar-SA"/>
        </w:rPr>
        <w:t>区融媒体中心积极与省供片联系购买更多好的影视作品，合理安排时间段，给广大电视观众提供更多更好的电视节目</w:t>
      </w:r>
      <w:r>
        <w:rPr>
          <w:rFonts w:hint="eastAsia" w:ascii="Times New Roman" w:hAnsi="Times New Roman" w:eastAsia="仿宋_GB2312" w:cs="Times New Roman"/>
          <w:bCs/>
          <w:kern w:val="2"/>
          <w:sz w:val="32"/>
          <w:szCs w:val="32"/>
          <w:lang w:val="en-US" w:eastAsia="zh-CN" w:bidi="ar-SA"/>
        </w:rPr>
        <w:t>。</w:t>
      </w:r>
    </w:p>
    <w:p>
      <w:pPr>
        <w:widowControl w:val="0"/>
        <w:spacing w:line="60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七、存在的问题及原因分析</w:t>
      </w:r>
    </w:p>
    <w:p>
      <w:pPr>
        <w:widowControl w:val="0"/>
        <w:spacing w:line="600" w:lineRule="exact"/>
        <w:ind w:firstLine="640" w:firstLineChars="200"/>
        <w:jc w:val="left"/>
        <w:rPr>
          <w:rFonts w:hint="eastAsia" w:ascii="Times New Roman" w:hAnsi="Times New Roman" w:eastAsia="仿宋_GB2312" w:cs="Times New Roman"/>
          <w:bCs/>
          <w:kern w:val="2"/>
          <w:sz w:val="32"/>
          <w:szCs w:val="32"/>
          <w:lang w:val="en-US" w:eastAsia="zh-CN" w:bidi="ar-SA"/>
        </w:rPr>
      </w:pPr>
      <w:r>
        <w:rPr>
          <w:rFonts w:hint="eastAsia" w:eastAsia="仿宋_GB2312" w:cs="Times New Roman"/>
          <w:bCs/>
          <w:kern w:val="2"/>
          <w:sz w:val="32"/>
          <w:szCs w:val="32"/>
          <w:lang w:val="en-US" w:eastAsia="zh-CN" w:bidi="ar-SA"/>
        </w:rPr>
        <w:t>区融媒体中心积极与省供片联系购买更多好的影视作品，合理安排时间段，给广大电视观众提供更多更好的电视节目</w:t>
      </w:r>
      <w:r>
        <w:rPr>
          <w:rFonts w:hint="eastAsia" w:ascii="Times New Roman" w:hAnsi="Times New Roman" w:eastAsia="仿宋_GB2312" w:cs="Times New Roman"/>
          <w:bCs/>
          <w:kern w:val="2"/>
          <w:sz w:val="32"/>
          <w:szCs w:val="32"/>
          <w:lang w:val="en-US" w:eastAsia="zh-CN" w:bidi="ar-SA"/>
        </w:rPr>
        <w:t>。</w:t>
      </w:r>
    </w:p>
    <w:p>
      <w:pPr>
        <w:widowControl w:val="0"/>
        <w:spacing w:line="6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八、意见建议</w:t>
      </w:r>
    </w:p>
    <w:p>
      <w:pPr>
        <w:widowControl w:val="0"/>
        <w:spacing w:line="600" w:lineRule="exact"/>
        <w:ind w:firstLine="640" w:firstLineChars="200"/>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（一）在今后工作中，一定会严控预算，进一步的科学做好项目预算评审。</w:t>
      </w:r>
    </w:p>
    <w:p>
      <w:pPr>
        <w:widowControl w:val="0"/>
        <w:spacing w:line="600" w:lineRule="exact"/>
        <w:ind w:firstLine="640" w:firstLineChars="200"/>
        <w:rPr>
          <w:rFonts w:hint="eastAsia" w:ascii="仿宋_GB2312" w:eastAsia="仿宋_GB2312" w:cs="仿宋_GB2312"/>
          <w:sz w:val="32"/>
          <w:szCs w:val="32"/>
        </w:rPr>
      </w:pPr>
      <w:r>
        <w:rPr>
          <w:rFonts w:hint="eastAsia" w:ascii="Times New Roman" w:hAnsi="Times New Roman" w:eastAsia="仿宋_GB2312" w:cs="Times New Roman"/>
          <w:bCs/>
          <w:kern w:val="2"/>
          <w:sz w:val="32"/>
          <w:szCs w:val="32"/>
          <w:lang w:val="en-US" w:eastAsia="zh-CN" w:bidi="ar-SA"/>
        </w:rPr>
        <w:t>（二）项目结束后，单位需深入践行科学发展观“以人为本”的核心理念，</w:t>
      </w:r>
      <w:r>
        <w:rPr>
          <w:rFonts w:hint="eastAsia" w:eastAsia="仿宋_GB2312" w:cs="Times New Roman"/>
          <w:bCs/>
          <w:kern w:val="2"/>
          <w:sz w:val="32"/>
          <w:szCs w:val="32"/>
          <w:lang w:val="en-US" w:eastAsia="zh-CN" w:bidi="ar-SA"/>
        </w:rPr>
        <w:t>不断充实电视节目，更加丰富了全区人民群众的精神文化生活。</w:t>
      </w:r>
    </w:p>
    <w:p>
      <w:pPr>
        <w:widowControl w:val="0"/>
        <w:spacing w:line="600" w:lineRule="exact"/>
        <w:rPr>
          <w:rFonts w:ascii="仿宋_GB2312" w:eastAsia="仿宋_GB2312" w:cs="仿宋_GB2312"/>
          <w:sz w:val="32"/>
          <w:szCs w:val="32"/>
        </w:rPr>
      </w:pPr>
      <w:r>
        <w:rPr>
          <w:rFonts w:hint="eastAsia" w:ascii="仿宋_GB2312" w:eastAsia="仿宋_GB2312" w:cs="仿宋_GB2312"/>
          <w:sz w:val="32"/>
          <w:szCs w:val="32"/>
        </w:rPr>
        <w:t>附</w:t>
      </w:r>
      <w:r>
        <w:rPr>
          <w:rFonts w:hint="eastAsia" w:ascii="仿宋_GB2312" w:eastAsia="仿宋_GB2312" w:cs="仿宋_GB2312"/>
          <w:sz w:val="32"/>
          <w:szCs w:val="32"/>
          <w:lang w:eastAsia="zh-CN"/>
        </w:rPr>
        <w:t>表</w:t>
      </w:r>
      <w:r>
        <w:rPr>
          <w:rFonts w:hint="eastAsia" w:ascii="仿宋_GB2312" w:eastAsia="仿宋_GB2312" w:cs="仿宋_GB2312"/>
          <w:sz w:val="32"/>
          <w:szCs w:val="32"/>
        </w:rPr>
        <w:t>：</w:t>
      </w:r>
      <w:r>
        <w:rPr>
          <w:rFonts w:ascii="仿宋_GB2312" w:eastAsia="仿宋_GB2312" w:cs="仿宋_GB2312"/>
          <w:sz w:val="32"/>
          <w:szCs w:val="32"/>
        </w:rPr>
        <w:t>1.</w:t>
      </w:r>
      <w:r>
        <w:rPr>
          <w:rFonts w:hint="eastAsia" w:ascii="仿宋_GB2312" w:eastAsia="仿宋_GB2312" w:cs="仿宋_GB2312"/>
          <w:sz w:val="32"/>
          <w:szCs w:val="32"/>
        </w:rPr>
        <w:t>绩效评价得分表</w:t>
      </w:r>
    </w:p>
    <w:p>
      <w:pPr>
        <w:widowControl w:val="0"/>
        <w:spacing w:line="600" w:lineRule="exact"/>
        <w:ind w:firstLine="960" w:firstLineChars="300"/>
        <w:rPr>
          <w:rFonts w:ascii="仿宋_GB2312" w:eastAsia="仿宋_GB2312" w:cs="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问题清单</w:t>
      </w:r>
    </w:p>
    <w:p>
      <w:pPr>
        <w:pStyle w:val="52"/>
        <w:tabs>
          <w:tab w:val="center" w:pos="7938"/>
        </w:tabs>
        <w:spacing w:line="600" w:lineRule="exact"/>
        <w:ind w:right="320" w:firstLine="4160" w:firstLineChars="1300"/>
        <w:jc w:val="right"/>
        <w:rPr>
          <w:rFonts w:ascii="仿宋" w:hAnsi="仿宋" w:eastAsia="仿宋"/>
          <w:sz w:val="32"/>
          <w:szCs w:val="32"/>
        </w:rPr>
      </w:pPr>
    </w:p>
    <w:p>
      <w:pPr>
        <w:pStyle w:val="52"/>
        <w:tabs>
          <w:tab w:val="center" w:pos="7938"/>
        </w:tabs>
        <w:spacing w:line="600" w:lineRule="exact"/>
        <w:ind w:firstLine="4160" w:firstLineChars="1300"/>
        <w:jc w:val="right"/>
        <w:rPr>
          <w:rFonts w:ascii="仿宋" w:hAnsi="仿宋" w:eastAsia="仿宋"/>
          <w:sz w:val="32"/>
          <w:szCs w:val="32"/>
        </w:rPr>
      </w:pPr>
    </w:p>
    <w:p>
      <w:pPr>
        <w:widowControl w:val="0"/>
        <w:spacing w:line="600" w:lineRule="exact"/>
        <w:ind w:firstLine="640" w:firstLineChars="200"/>
        <w:jc w:val="right"/>
        <w:rPr>
          <w:rFonts w:hint="eastAsia" w:eastAsia="仿宋_GB2312" w:cs="Times New Roman"/>
          <w:bCs/>
          <w:kern w:val="2"/>
          <w:sz w:val="32"/>
          <w:szCs w:val="32"/>
          <w:lang w:val="en-US" w:eastAsia="zh-CN" w:bidi="ar-SA"/>
        </w:rPr>
      </w:pPr>
      <w:r>
        <w:rPr>
          <w:rFonts w:hint="eastAsia" w:eastAsia="仿宋_GB2312" w:cs="Times New Roman"/>
          <w:bCs/>
          <w:kern w:val="2"/>
          <w:sz w:val="32"/>
          <w:szCs w:val="32"/>
          <w:lang w:val="en-US" w:eastAsia="zh-CN" w:bidi="ar-SA"/>
        </w:rPr>
        <w:t>枣庄市山亭区融媒体中心</w:t>
      </w:r>
    </w:p>
    <w:p>
      <w:pPr>
        <w:widowControl w:val="0"/>
        <w:spacing w:line="600" w:lineRule="exact"/>
        <w:ind w:firstLine="640" w:firstLineChars="200"/>
        <w:jc w:val="right"/>
        <w:rPr>
          <w:rFonts w:hint="default" w:ascii="Times New Roman" w:hAnsi="Times New Roman" w:eastAsia="仿宋_GB2312" w:cs="Times New Roman"/>
          <w:bCs/>
          <w:kern w:val="2"/>
          <w:sz w:val="32"/>
          <w:szCs w:val="32"/>
          <w:lang w:val="en-US" w:eastAsia="zh-CN" w:bidi="ar-SA"/>
        </w:rPr>
      </w:pPr>
      <w:bookmarkStart w:id="0" w:name="_GoBack"/>
      <w:bookmarkEnd w:id="0"/>
      <w:r>
        <w:rPr>
          <w:rFonts w:hint="default" w:ascii="Times New Roman" w:hAnsi="Times New Roman" w:eastAsia="仿宋_GB2312" w:cs="Times New Roman"/>
          <w:bCs/>
          <w:kern w:val="2"/>
          <w:sz w:val="32"/>
          <w:szCs w:val="32"/>
          <w:lang w:val="en-US" w:eastAsia="zh-CN" w:bidi="ar-SA"/>
        </w:rPr>
        <w:t>二</w:t>
      </w:r>
      <w:r>
        <w:rPr>
          <w:rFonts w:hint="eastAsia" w:ascii="Times New Roman" w:hAnsi="Times New Roman" w:eastAsia="仿宋_GB2312" w:cs="Times New Roman"/>
          <w:bCs/>
          <w:kern w:val="2"/>
          <w:sz w:val="32"/>
          <w:szCs w:val="32"/>
          <w:lang w:val="en-US" w:eastAsia="zh-CN" w:bidi="ar-SA"/>
        </w:rPr>
        <w:t>〇</w:t>
      </w:r>
      <w:r>
        <w:rPr>
          <w:rFonts w:hint="default" w:ascii="Times New Roman" w:hAnsi="Times New Roman" w:eastAsia="仿宋_GB2312" w:cs="Times New Roman"/>
          <w:bCs/>
          <w:kern w:val="2"/>
          <w:sz w:val="32"/>
          <w:szCs w:val="32"/>
          <w:lang w:val="en-US" w:eastAsia="zh-CN" w:bidi="ar-SA"/>
        </w:rPr>
        <w:t>二</w:t>
      </w:r>
      <w:r>
        <w:rPr>
          <w:rFonts w:hint="eastAsia" w:ascii="Times New Roman" w:hAnsi="Times New Roman" w:eastAsia="仿宋_GB2312" w:cs="Times New Roman"/>
          <w:bCs/>
          <w:kern w:val="2"/>
          <w:sz w:val="32"/>
          <w:szCs w:val="32"/>
          <w:lang w:val="en-US" w:eastAsia="zh-CN" w:bidi="ar-SA"/>
        </w:rPr>
        <w:t>〇</w:t>
      </w:r>
      <w:r>
        <w:rPr>
          <w:rFonts w:hint="default" w:ascii="Times New Roman" w:hAnsi="Times New Roman" w:eastAsia="仿宋_GB2312" w:cs="Times New Roman"/>
          <w:bCs/>
          <w:kern w:val="2"/>
          <w:sz w:val="32"/>
          <w:szCs w:val="32"/>
          <w:lang w:val="en-US" w:eastAsia="zh-CN" w:bidi="ar-SA"/>
        </w:rPr>
        <w:t>年九月</w:t>
      </w:r>
    </w:p>
    <w:p>
      <w:pPr>
        <w:widowControl w:val="0"/>
        <w:spacing w:line="600" w:lineRule="exact"/>
        <w:ind w:firstLine="640" w:firstLineChars="200"/>
        <w:jc w:val="right"/>
        <w:rPr>
          <w:rFonts w:hint="default" w:ascii="Times New Roman" w:hAnsi="Times New Roman" w:eastAsia="仿宋_GB2312" w:cs="Times New Roman"/>
          <w:bCs/>
          <w:kern w:val="2"/>
          <w:sz w:val="32"/>
          <w:szCs w:val="32"/>
          <w:lang w:val="en-US" w:eastAsia="zh-CN" w:bidi="ar-SA"/>
        </w:rPr>
      </w:pPr>
    </w:p>
    <w:p>
      <w:pPr>
        <w:widowControl w:val="0"/>
        <w:spacing w:line="600" w:lineRule="exact"/>
        <w:ind w:firstLine="640" w:firstLineChars="200"/>
        <w:jc w:val="right"/>
        <w:rPr>
          <w:rFonts w:hint="default" w:ascii="Times New Roman" w:hAnsi="Times New Roman" w:eastAsia="仿宋_GB2312" w:cs="Times New Roman"/>
          <w:bCs/>
          <w:kern w:val="2"/>
          <w:sz w:val="32"/>
          <w:szCs w:val="32"/>
          <w:lang w:val="en-US" w:eastAsia="zh-CN" w:bidi="ar-SA"/>
        </w:rPr>
      </w:pPr>
    </w:p>
    <w:p>
      <w:pPr>
        <w:widowControl w:val="0"/>
        <w:spacing w:line="600" w:lineRule="exact"/>
        <w:ind w:firstLine="640" w:firstLineChars="200"/>
        <w:jc w:val="right"/>
        <w:rPr>
          <w:rFonts w:hint="default" w:ascii="Times New Roman" w:hAnsi="Times New Roman" w:eastAsia="仿宋_GB2312" w:cs="Times New Roman"/>
          <w:bCs/>
          <w:kern w:val="2"/>
          <w:sz w:val="32"/>
          <w:szCs w:val="32"/>
          <w:lang w:val="en-US" w:eastAsia="zh-CN" w:bidi="ar-SA"/>
        </w:rPr>
      </w:pPr>
    </w:p>
    <w:p>
      <w:pPr>
        <w:widowControl w:val="0"/>
        <w:spacing w:line="600" w:lineRule="exact"/>
        <w:ind w:firstLine="640" w:firstLineChars="200"/>
        <w:jc w:val="right"/>
        <w:rPr>
          <w:rFonts w:hint="default" w:ascii="Times New Roman" w:hAnsi="Times New Roman" w:eastAsia="仿宋_GB2312" w:cs="Times New Roman"/>
          <w:bCs/>
          <w:kern w:val="2"/>
          <w:sz w:val="32"/>
          <w:szCs w:val="32"/>
          <w:lang w:val="en-US" w:eastAsia="zh-CN" w:bidi="ar-SA"/>
        </w:rPr>
      </w:pPr>
    </w:p>
    <w:p>
      <w:pPr>
        <w:widowControl w:val="0"/>
        <w:spacing w:line="600" w:lineRule="exact"/>
        <w:ind w:firstLine="640" w:firstLineChars="200"/>
        <w:jc w:val="right"/>
        <w:rPr>
          <w:rFonts w:hint="default" w:ascii="Times New Roman" w:hAnsi="Times New Roman" w:eastAsia="仿宋_GB2312" w:cs="Times New Roman"/>
          <w:bCs/>
          <w:kern w:val="2"/>
          <w:sz w:val="32"/>
          <w:szCs w:val="32"/>
          <w:lang w:val="en-US" w:eastAsia="zh-CN" w:bidi="ar-SA"/>
        </w:rPr>
      </w:pPr>
    </w:p>
    <w:p>
      <w:pPr>
        <w:widowControl w:val="0"/>
        <w:spacing w:line="600" w:lineRule="exact"/>
        <w:ind w:firstLine="640" w:firstLineChars="200"/>
        <w:jc w:val="right"/>
        <w:rPr>
          <w:rFonts w:hint="default" w:ascii="Times New Roman" w:hAnsi="Times New Roman" w:eastAsia="仿宋_GB2312" w:cs="Times New Roman"/>
          <w:bCs/>
          <w:kern w:val="2"/>
          <w:sz w:val="32"/>
          <w:szCs w:val="32"/>
          <w:lang w:val="en-US" w:eastAsia="zh-CN" w:bidi="ar-SA"/>
        </w:rPr>
      </w:pPr>
    </w:p>
    <w:p>
      <w:pPr>
        <w:widowControl w:val="0"/>
        <w:spacing w:line="600" w:lineRule="exact"/>
        <w:ind w:firstLine="640" w:firstLineChars="200"/>
        <w:jc w:val="right"/>
        <w:rPr>
          <w:rFonts w:hint="default" w:ascii="Times New Roman" w:hAnsi="Times New Roman" w:eastAsia="仿宋_GB2312" w:cs="Times New Roman"/>
          <w:bCs/>
          <w:kern w:val="2"/>
          <w:sz w:val="32"/>
          <w:szCs w:val="32"/>
          <w:lang w:val="en-US" w:eastAsia="zh-CN" w:bidi="ar-SA"/>
        </w:rPr>
      </w:pPr>
    </w:p>
    <w:p>
      <w:pPr>
        <w:widowControl w:val="0"/>
        <w:spacing w:line="600" w:lineRule="exact"/>
        <w:ind w:firstLine="640" w:firstLineChars="200"/>
        <w:jc w:val="right"/>
        <w:rPr>
          <w:rFonts w:hint="default" w:ascii="Times New Roman" w:hAnsi="Times New Roman" w:eastAsia="仿宋_GB2312" w:cs="Times New Roman"/>
          <w:bCs/>
          <w:kern w:val="2"/>
          <w:sz w:val="32"/>
          <w:szCs w:val="32"/>
          <w:lang w:val="en-US" w:eastAsia="zh-CN" w:bidi="ar-SA"/>
        </w:rPr>
      </w:pPr>
    </w:p>
    <w:p>
      <w:pPr>
        <w:widowControl w:val="0"/>
        <w:spacing w:line="600" w:lineRule="exact"/>
        <w:ind w:firstLine="640" w:firstLineChars="200"/>
        <w:jc w:val="right"/>
        <w:rPr>
          <w:rFonts w:hint="default" w:ascii="Times New Roman" w:hAnsi="Times New Roman" w:eastAsia="仿宋_GB2312" w:cs="Times New Roman"/>
          <w:bCs/>
          <w:kern w:val="2"/>
          <w:sz w:val="32"/>
          <w:szCs w:val="32"/>
          <w:lang w:val="en-US" w:eastAsia="zh-CN" w:bidi="ar-SA"/>
        </w:rPr>
      </w:pPr>
    </w:p>
    <w:sectPr>
      <w:footerReference r:id="rId4" w:type="first"/>
      <w:footerReference r:id="rId3" w:type="default"/>
      <w:pgSz w:w="11906" w:h="16838"/>
      <w:pgMar w:top="1077" w:right="1361" w:bottom="1021" w:left="1361" w:header="680" w:footer="567"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微软雅黑 Light">
    <w:altName w:val="宋体"/>
    <w:panose1 w:val="020B0502040204020203"/>
    <w:charset w:val="86"/>
    <w:family w:val="swiss"/>
    <w:pitch w:val="default"/>
    <w:sig w:usb0="00000000" w:usb1="00000000" w:usb2="00000016" w:usb3="00000000" w:csb0="0004001F" w:csb1="00000000"/>
  </w:font>
  <w:font w:name="文星简黑体">
    <w:altName w:val="宋体"/>
    <w:panose1 w:val="02010609000101010101"/>
    <w:charset w:val="86"/>
    <w:family w:val="modern"/>
    <w:pitch w:val="default"/>
    <w:sig w:usb0="00000000" w:usb1="00000000" w:usb2="00000000"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Times">
    <w:altName w:val="Times New Roman"/>
    <w:panose1 w:val="00000000000000000000"/>
    <w:charset w:val="00"/>
    <w:family w:val="roman"/>
    <w:pitch w:val="default"/>
    <w:sig w:usb0="00000000"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altName w:val="Arial Unicode MS"/>
    <w:panose1 w:val="00000000000000000000"/>
    <w:charset w:val="00"/>
    <w:family w:val="auto"/>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Berlin Sans FB Demi">
    <w:panose1 w:val="020E0802020502020306"/>
    <w:charset w:val="00"/>
    <w:family w:val="auto"/>
    <w:pitch w:val="default"/>
    <w:sig w:usb0="00000003" w:usb1="00000000" w:usb2="00000000" w:usb3="00000000" w:csb0="2000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u w:val="single"/>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VjX3ssBAACc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rFTaDEcYsDv3z/dvnx6/LzK1lW&#10;q5usUB+gxsTHgKlpuPdDzp78gM5MfFDR5i9SIhhHfc9XfeWQiMiP1qv1usKQwNh8QRz29DxESG+l&#10;tyQbDY04wKIrP72HNKbOKbma8w/aGPTz2ri/HIiZPSz3PvaYrTTsh6nxvW/PyKfH2TfU4apTYt45&#10;lDavyWzE2djPxjFEfejKHuV6EO6OCZsoveUKI+xUGIdW2E0Llrfiz3vJevq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lY197LAQAAnAMAAA4AAAAAAAAAAQAgAAAAHgEAAGRycy9lMm9E&#10;b2MueG1sUEsFBgAAAAAGAAYAWQEAAFsFAAAAAA==&#10;">
              <v:fill on="f" focussize="0,0"/>
              <v:stroke on="f"/>
              <v:imagedata o:title=""/>
              <o:lock v:ext="edit" aspectratio="f"/>
              <v:textbox inset="0mm,0mm,0mm,0mm" style="mso-fit-shape-to-text:t;">
                <w:txbxContent>
                  <w:p>
                    <w:pPr>
                      <w:pStyle w:val="1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mc:Fallback>
      </mc:AlternateContent>
    </w:r>
  </w:p>
  <w:p>
    <w:pPr>
      <w:pStyle w:val="11"/>
      <w:tabs>
        <w:tab w:val="clear" w:pos="8306"/>
      </w:tabs>
      <w:rPr>
        <w:rFonts w:ascii="隶书" w:hAnsi="华文楷体" w:eastAsia="隶书"/>
        <w:i/>
        <w:iCs/>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kgL3ssBAACcAwAADgAAAGRycy9lMm9Eb2MueG1srVNLbtswEN0XyB0I&#10;7mPKAlo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pqYlJZYbHPj5+7fzj1/nn1/J&#10;sijfJoV6DxUmPnlMjcOdG3BvZj+gMxEf2mDSFykRjKO+p4u+cohEpEercrUqMCQwNl8Qnz0/9wHi&#10;e+kMSUZNAw4w68qPjxDH1DklVbPuXmmdh6jtXw7ETB6Weh97TFYcdsNEaOeaE/LpcfY1tbjqlOgH&#10;i9KmNZmNMBu72Tj4oPZd3qNUD/ztIWITubdUYYSdCuPQMrtpwdJW/HnPWc8/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ZIC97LAQAAnAMAAA4AAAAAAAAAAQAgAAAAHgEAAGRycy9lMm9E&#10;b2MueG1sUEsFBgAAAAAGAAYAWQEAAFsFAAAAAA==&#10;">
              <v:fill on="f" focussize="0,0"/>
              <v:stroke on="f"/>
              <v:imagedata o:title=""/>
              <o:lock v:ext="edit" aspectratio="f"/>
              <v:textbox inset="0mm,0mm,0mm,0mm" style="mso-fit-shape-to-text:t;">
                <w:txbxContent>
                  <w:p>
                    <w:pPr>
                      <w:pStyle w:val="1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D24471"/>
    <w:multiLevelType w:val="singleLevel"/>
    <w:tmpl w:val="E5D24471"/>
    <w:lvl w:ilvl="0" w:tentative="0">
      <w:start w:val="3"/>
      <w:numFmt w:val="chineseCounting"/>
      <w:suff w:val="nothing"/>
      <w:lvlText w:val="（%1）"/>
      <w:lvlJc w:val="left"/>
      <w:rPr>
        <w:rFonts w:hint="eastAsia"/>
      </w:rPr>
    </w:lvl>
  </w:abstractNum>
  <w:abstractNum w:abstractNumId="1">
    <w:nsid w:val="FB38DC05"/>
    <w:multiLevelType w:val="singleLevel"/>
    <w:tmpl w:val="FB38DC05"/>
    <w:lvl w:ilvl="0" w:tentative="0">
      <w:start w:val="1"/>
      <w:numFmt w:val="decimal"/>
      <w:suff w:val="nothing"/>
      <w:lvlText w:val="%1、"/>
      <w:lvlJc w:val="left"/>
    </w:lvl>
  </w:abstractNum>
  <w:abstractNum w:abstractNumId="2">
    <w:nsid w:val="00000002"/>
    <w:multiLevelType w:val="multilevel"/>
    <w:tmpl w:val="00000002"/>
    <w:lvl w:ilvl="0" w:tentative="0">
      <w:start w:val="1"/>
      <w:numFmt w:val="decimal"/>
      <w:pStyle w:val="4"/>
      <w:lvlText w:val="%1、"/>
      <w:lvlJc w:val="left"/>
      <w:pPr>
        <w:ind w:left="979" w:hanging="420"/>
      </w:pPr>
      <w:rPr>
        <w:rFonts w:hint="eastAsia"/>
      </w:rPr>
    </w:lvl>
    <w:lvl w:ilvl="1" w:tentative="0">
      <w:start w:val="1"/>
      <w:numFmt w:val="lowerLetter"/>
      <w:lvlText w:val="%2)"/>
      <w:lvlJc w:val="left"/>
      <w:pPr>
        <w:ind w:left="1399" w:hanging="420"/>
      </w:pPr>
    </w:lvl>
    <w:lvl w:ilvl="2" w:tentative="0">
      <w:start w:val="1"/>
      <w:numFmt w:val="lowerRoman"/>
      <w:lvlText w:val="%3."/>
      <w:lvlJc w:val="right"/>
      <w:pPr>
        <w:ind w:left="1819" w:hanging="420"/>
      </w:pPr>
    </w:lvl>
    <w:lvl w:ilvl="3" w:tentative="0">
      <w:start w:val="1"/>
      <w:numFmt w:val="decimal"/>
      <w:lvlText w:val="%4."/>
      <w:lvlJc w:val="left"/>
      <w:pPr>
        <w:ind w:left="2239" w:hanging="420"/>
      </w:pPr>
    </w:lvl>
    <w:lvl w:ilvl="4" w:tentative="0">
      <w:start w:val="1"/>
      <w:numFmt w:val="lowerLetter"/>
      <w:lvlText w:val="%5)"/>
      <w:lvlJc w:val="left"/>
      <w:pPr>
        <w:ind w:left="2659" w:hanging="420"/>
      </w:pPr>
    </w:lvl>
    <w:lvl w:ilvl="5" w:tentative="0">
      <w:start w:val="1"/>
      <w:numFmt w:val="lowerRoman"/>
      <w:lvlText w:val="%6."/>
      <w:lvlJc w:val="right"/>
      <w:pPr>
        <w:ind w:left="3079" w:hanging="420"/>
      </w:pPr>
    </w:lvl>
    <w:lvl w:ilvl="6" w:tentative="0">
      <w:start w:val="1"/>
      <w:numFmt w:val="decimal"/>
      <w:lvlText w:val="%7."/>
      <w:lvlJc w:val="left"/>
      <w:pPr>
        <w:ind w:left="3499" w:hanging="420"/>
      </w:pPr>
    </w:lvl>
    <w:lvl w:ilvl="7" w:tentative="0">
      <w:start w:val="1"/>
      <w:numFmt w:val="lowerLetter"/>
      <w:lvlText w:val="%8)"/>
      <w:lvlJc w:val="left"/>
      <w:pPr>
        <w:ind w:left="3919" w:hanging="420"/>
      </w:pPr>
    </w:lvl>
    <w:lvl w:ilvl="8" w:tentative="0">
      <w:start w:val="1"/>
      <w:numFmt w:val="lowerRoman"/>
      <w:lvlText w:val="%9."/>
      <w:lvlJc w:val="right"/>
      <w:pPr>
        <w:ind w:left="4339" w:hanging="420"/>
      </w:pPr>
    </w:lvl>
  </w:abstractNum>
  <w:abstractNum w:abstractNumId="3">
    <w:nsid w:val="00000003"/>
    <w:multiLevelType w:val="multilevel"/>
    <w:tmpl w:val="00000003"/>
    <w:lvl w:ilvl="0" w:tentative="0">
      <w:start w:val="1"/>
      <w:numFmt w:val="chineseCountingThousand"/>
      <w:pStyle w:val="2"/>
      <w:lvlText w:val="%1、"/>
      <w:lvlJc w:val="left"/>
      <w:pPr>
        <w:ind w:left="420" w:hanging="420"/>
      </w:pPr>
      <w:rPr>
        <w:rFonts w:ascii="黑体" w:hAnsi="黑体"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F5C8CB5"/>
    <w:multiLevelType w:val="singleLevel"/>
    <w:tmpl w:val="5F5C8CB5"/>
    <w:lvl w:ilvl="0" w:tentative="0">
      <w:start w:val="1"/>
      <w:numFmt w:val="decimal"/>
      <w:suff w:val="nothing"/>
      <w:lvlText w:val="%1、"/>
      <w:lvlJc w:val="left"/>
    </w:lvl>
  </w:abstractNum>
  <w:num w:numId="1">
    <w:abstractNumId w:val="3"/>
  </w:num>
  <w:num w:numId="2">
    <w:abstractNumId w:val="2"/>
    <w:lvlOverride w:ilvl="0">
      <w:startOverride w:val="1"/>
    </w:lvlOverride>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0A5"/>
    <w:rsid w:val="00004C59"/>
    <w:rsid w:val="00007E2F"/>
    <w:rsid w:val="00013AB0"/>
    <w:rsid w:val="00026A47"/>
    <w:rsid w:val="00026F1B"/>
    <w:rsid w:val="0004296B"/>
    <w:rsid w:val="00047875"/>
    <w:rsid w:val="00057228"/>
    <w:rsid w:val="00057B91"/>
    <w:rsid w:val="00064C2D"/>
    <w:rsid w:val="000657E3"/>
    <w:rsid w:val="000701FC"/>
    <w:rsid w:val="000742E4"/>
    <w:rsid w:val="00080CC4"/>
    <w:rsid w:val="00082636"/>
    <w:rsid w:val="000841C8"/>
    <w:rsid w:val="00085F9F"/>
    <w:rsid w:val="00095A79"/>
    <w:rsid w:val="00096169"/>
    <w:rsid w:val="000A0946"/>
    <w:rsid w:val="000B0B31"/>
    <w:rsid w:val="000B5C1D"/>
    <w:rsid w:val="000C1936"/>
    <w:rsid w:val="000C7D57"/>
    <w:rsid w:val="000D383C"/>
    <w:rsid w:val="000D40ED"/>
    <w:rsid w:val="000D5EDA"/>
    <w:rsid w:val="000E0C65"/>
    <w:rsid w:val="000E5369"/>
    <w:rsid w:val="000E644C"/>
    <w:rsid w:val="00101642"/>
    <w:rsid w:val="0011189E"/>
    <w:rsid w:val="00115E5C"/>
    <w:rsid w:val="00115F18"/>
    <w:rsid w:val="00116C7D"/>
    <w:rsid w:val="00117C4D"/>
    <w:rsid w:val="001235EB"/>
    <w:rsid w:val="00127DC1"/>
    <w:rsid w:val="00130179"/>
    <w:rsid w:val="00135829"/>
    <w:rsid w:val="00140696"/>
    <w:rsid w:val="001410D0"/>
    <w:rsid w:val="001444F1"/>
    <w:rsid w:val="00144B0D"/>
    <w:rsid w:val="00145A44"/>
    <w:rsid w:val="001518EB"/>
    <w:rsid w:val="00152DB3"/>
    <w:rsid w:val="00176FFF"/>
    <w:rsid w:val="00186D6D"/>
    <w:rsid w:val="00193837"/>
    <w:rsid w:val="00197656"/>
    <w:rsid w:val="001B2A63"/>
    <w:rsid w:val="001B63B6"/>
    <w:rsid w:val="001C0BE4"/>
    <w:rsid w:val="001E40D6"/>
    <w:rsid w:val="001F4B16"/>
    <w:rsid w:val="00201F6F"/>
    <w:rsid w:val="00202B16"/>
    <w:rsid w:val="00205C86"/>
    <w:rsid w:val="00211A83"/>
    <w:rsid w:val="00215AE3"/>
    <w:rsid w:val="00220C3F"/>
    <w:rsid w:val="00221B84"/>
    <w:rsid w:val="00222BA8"/>
    <w:rsid w:val="00225AB5"/>
    <w:rsid w:val="00234B37"/>
    <w:rsid w:val="00240011"/>
    <w:rsid w:val="002407C6"/>
    <w:rsid w:val="002509B3"/>
    <w:rsid w:val="00251AAF"/>
    <w:rsid w:val="00261024"/>
    <w:rsid w:val="0027079C"/>
    <w:rsid w:val="0027320C"/>
    <w:rsid w:val="00274C1B"/>
    <w:rsid w:val="00276B98"/>
    <w:rsid w:val="00280669"/>
    <w:rsid w:val="00281D73"/>
    <w:rsid w:val="00285F0C"/>
    <w:rsid w:val="00290812"/>
    <w:rsid w:val="00291B8C"/>
    <w:rsid w:val="00292A54"/>
    <w:rsid w:val="0029391A"/>
    <w:rsid w:val="002963AA"/>
    <w:rsid w:val="002A02D7"/>
    <w:rsid w:val="002A7EC3"/>
    <w:rsid w:val="002B42F8"/>
    <w:rsid w:val="002C33C9"/>
    <w:rsid w:val="002C7298"/>
    <w:rsid w:val="002D5C15"/>
    <w:rsid w:val="002D6C38"/>
    <w:rsid w:val="002E436F"/>
    <w:rsid w:val="002E70C0"/>
    <w:rsid w:val="002F03A1"/>
    <w:rsid w:val="002F0FCB"/>
    <w:rsid w:val="0030523D"/>
    <w:rsid w:val="00306733"/>
    <w:rsid w:val="00313434"/>
    <w:rsid w:val="003163B5"/>
    <w:rsid w:val="00323E61"/>
    <w:rsid w:val="00332E89"/>
    <w:rsid w:val="00334E36"/>
    <w:rsid w:val="00337054"/>
    <w:rsid w:val="00342C72"/>
    <w:rsid w:val="00346D57"/>
    <w:rsid w:val="00363F24"/>
    <w:rsid w:val="00365DF8"/>
    <w:rsid w:val="00392F91"/>
    <w:rsid w:val="003A09E3"/>
    <w:rsid w:val="003A4FBD"/>
    <w:rsid w:val="003A5D41"/>
    <w:rsid w:val="003B1695"/>
    <w:rsid w:val="003B2486"/>
    <w:rsid w:val="003C0DB7"/>
    <w:rsid w:val="003D04CA"/>
    <w:rsid w:val="003D3C14"/>
    <w:rsid w:val="003E0AF2"/>
    <w:rsid w:val="003E2483"/>
    <w:rsid w:val="003E35AA"/>
    <w:rsid w:val="003E7C85"/>
    <w:rsid w:val="003F4B85"/>
    <w:rsid w:val="00404B9F"/>
    <w:rsid w:val="004070A5"/>
    <w:rsid w:val="00410A96"/>
    <w:rsid w:val="00413401"/>
    <w:rsid w:val="00427250"/>
    <w:rsid w:val="00427AB6"/>
    <w:rsid w:val="004411BD"/>
    <w:rsid w:val="00442B68"/>
    <w:rsid w:val="004479D6"/>
    <w:rsid w:val="00450242"/>
    <w:rsid w:val="004534BB"/>
    <w:rsid w:val="00461AD2"/>
    <w:rsid w:val="00463346"/>
    <w:rsid w:val="0047615F"/>
    <w:rsid w:val="00487FC4"/>
    <w:rsid w:val="00494036"/>
    <w:rsid w:val="004A0150"/>
    <w:rsid w:val="004A5650"/>
    <w:rsid w:val="004B00E9"/>
    <w:rsid w:val="004D59E2"/>
    <w:rsid w:val="004D794A"/>
    <w:rsid w:val="004F189F"/>
    <w:rsid w:val="004F37ED"/>
    <w:rsid w:val="004F38B1"/>
    <w:rsid w:val="00502F87"/>
    <w:rsid w:val="0050792A"/>
    <w:rsid w:val="0051068A"/>
    <w:rsid w:val="00514FB4"/>
    <w:rsid w:val="00520D93"/>
    <w:rsid w:val="00531CE6"/>
    <w:rsid w:val="00546733"/>
    <w:rsid w:val="00564608"/>
    <w:rsid w:val="00567179"/>
    <w:rsid w:val="00572D46"/>
    <w:rsid w:val="0057722D"/>
    <w:rsid w:val="00590155"/>
    <w:rsid w:val="00590926"/>
    <w:rsid w:val="00595957"/>
    <w:rsid w:val="005A061A"/>
    <w:rsid w:val="005A4B6A"/>
    <w:rsid w:val="005C090B"/>
    <w:rsid w:val="005C3758"/>
    <w:rsid w:val="005C73C7"/>
    <w:rsid w:val="005D0670"/>
    <w:rsid w:val="005E45AB"/>
    <w:rsid w:val="005E5BF1"/>
    <w:rsid w:val="005F5A09"/>
    <w:rsid w:val="00600CBB"/>
    <w:rsid w:val="00615970"/>
    <w:rsid w:val="00621061"/>
    <w:rsid w:val="00623FAC"/>
    <w:rsid w:val="006331D9"/>
    <w:rsid w:val="00633D7B"/>
    <w:rsid w:val="00636951"/>
    <w:rsid w:val="00640733"/>
    <w:rsid w:val="00640A6E"/>
    <w:rsid w:val="006509B5"/>
    <w:rsid w:val="006512B1"/>
    <w:rsid w:val="00670B6D"/>
    <w:rsid w:val="00683DA4"/>
    <w:rsid w:val="00686A62"/>
    <w:rsid w:val="00687695"/>
    <w:rsid w:val="0069121D"/>
    <w:rsid w:val="00691B72"/>
    <w:rsid w:val="00693A12"/>
    <w:rsid w:val="006A5A71"/>
    <w:rsid w:val="006B2883"/>
    <w:rsid w:val="006B61D7"/>
    <w:rsid w:val="006B6822"/>
    <w:rsid w:val="006C3499"/>
    <w:rsid w:val="006C5906"/>
    <w:rsid w:val="006C7C13"/>
    <w:rsid w:val="006D5C21"/>
    <w:rsid w:val="006E740C"/>
    <w:rsid w:val="006F2AF8"/>
    <w:rsid w:val="006F718F"/>
    <w:rsid w:val="006F7FBE"/>
    <w:rsid w:val="00705EF5"/>
    <w:rsid w:val="00715BFB"/>
    <w:rsid w:val="00717ED0"/>
    <w:rsid w:val="0072159D"/>
    <w:rsid w:val="0072311A"/>
    <w:rsid w:val="00724824"/>
    <w:rsid w:val="00730275"/>
    <w:rsid w:val="007317F4"/>
    <w:rsid w:val="0073330A"/>
    <w:rsid w:val="00733ECC"/>
    <w:rsid w:val="0074000F"/>
    <w:rsid w:val="00740F54"/>
    <w:rsid w:val="00741051"/>
    <w:rsid w:val="00742430"/>
    <w:rsid w:val="00745C2C"/>
    <w:rsid w:val="00767A70"/>
    <w:rsid w:val="00776DE2"/>
    <w:rsid w:val="007863DE"/>
    <w:rsid w:val="007873E9"/>
    <w:rsid w:val="0079410C"/>
    <w:rsid w:val="007953DB"/>
    <w:rsid w:val="007A38E3"/>
    <w:rsid w:val="007A4E0E"/>
    <w:rsid w:val="007B3ED1"/>
    <w:rsid w:val="007B53B3"/>
    <w:rsid w:val="007C1081"/>
    <w:rsid w:val="007C1125"/>
    <w:rsid w:val="007C3EE1"/>
    <w:rsid w:val="007C4C0F"/>
    <w:rsid w:val="007C75B2"/>
    <w:rsid w:val="007C7A74"/>
    <w:rsid w:val="007C7A8C"/>
    <w:rsid w:val="007D7A72"/>
    <w:rsid w:val="007E262A"/>
    <w:rsid w:val="007E560F"/>
    <w:rsid w:val="007F1485"/>
    <w:rsid w:val="007F33CE"/>
    <w:rsid w:val="007F37FC"/>
    <w:rsid w:val="00806DED"/>
    <w:rsid w:val="00810F93"/>
    <w:rsid w:val="00811A3E"/>
    <w:rsid w:val="0081426D"/>
    <w:rsid w:val="0081775F"/>
    <w:rsid w:val="00826DFD"/>
    <w:rsid w:val="0083189A"/>
    <w:rsid w:val="00832669"/>
    <w:rsid w:val="00834EA3"/>
    <w:rsid w:val="0084637E"/>
    <w:rsid w:val="00847E12"/>
    <w:rsid w:val="00852FEA"/>
    <w:rsid w:val="00853B84"/>
    <w:rsid w:val="00861DA2"/>
    <w:rsid w:val="008671C7"/>
    <w:rsid w:val="008727D7"/>
    <w:rsid w:val="00875F68"/>
    <w:rsid w:val="0088142F"/>
    <w:rsid w:val="00882984"/>
    <w:rsid w:val="00884EB0"/>
    <w:rsid w:val="00893742"/>
    <w:rsid w:val="00895084"/>
    <w:rsid w:val="008A023B"/>
    <w:rsid w:val="008A575A"/>
    <w:rsid w:val="008B3066"/>
    <w:rsid w:val="008B58DC"/>
    <w:rsid w:val="008B7380"/>
    <w:rsid w:val="008C01EF"/>
    <w:rsid w:val="008C2272"/>
    <w:rsid w:val="008C683B"/>
    <w:rsid w:val="008D1F53"/>
    <w:rsid w:val="008D4317"/>
    <w:rsid w:val="008D58F5"/>
    <w:rsid w:val="008D6435"/>
    <w:rsid w:val="008E4635"/>
    <w:rsid w:val="008F2688"/>
    <w:rsid w:val="008F7B52"/>
    <w:rsid w:val="009029C9"/>
    <w:rsid w:val="00903484"/>
    <w:rsid w:val="00911465"/>
    <w:rsid w:val="00912E09"/>
    <w:rsid w:val="00920DEC"/>
    <w:rsid w:val="0092633E"/>
    <w:rsid w:val="009267AC"/>
    <w:rsid w:val="009312B3"/>
    <w:rsid w:val="009336F6"/>
    <w:rsid w:val="00936E5B"/>
    <w:rsid w:val="009478D7"/>
    <w:rsid w:val="00953811"/>
    <w:rsid w:val="00965413"/>
    <w:rsid w:val="00984EB4"/>
    <w:rsid w:val="00996F10"/>
    <w:rsid w:val="009A039D"/>
    <w:rsid w:val="009A4278"/>
    <w:rsid w:val="009B0DB4"/>
    <w:rsid w:val="009B2286"/>
    <w:rsid w:val="009C03CE"/>
    <w:rsid w:val="009C18FD"/>
    <w:rsid w:val="009C46F1"/>
    <w:rsid w:val="009C6585"/>
    <w:rsid w:val="009C6A28"/>
    <w:rsid w:val="009D3AA5"/>
    <w:rsid w:val="009F17B0"/>
    <w:rsid w:val="009F5CB1"/>
    <w:rsid w:val="009F5D44"/>
    <w:rsid w:val="00A0163E"/>
    <w:rsid w:val="00A131E0"/>
    <w:rsid w:val="00A213E3"/>
    <w:rsid w:val="00A24D81"/>
    <w:rsid w:val="00A27190"/>
    <w:rsid w:val="00A35E7E"/>
    <w:rsid w:val="00A372AC"/>
    <w:rsid w:val="00A40D1F"/>
    <w:rsid w:val="00A41AA2"/>
    <w:rsid w:val="00A46C28"/>
    <w:rsid w:val="00A50623"/>
    <w:rsid w:val="00A51BD4"/>
    <w:rsid w:val="00A60B11"/>
    <w:rsid w:val="00A70BD7"/>
    <w:rsid w:val="00A722E5"/>
    <w:rsid w:val="00A80B6C"/>
    <w:rsid w:val="00A828DC"/>
    <w:rsid w:val="00AA5449"/>
    <w:rsid w:val="00AB0C68"/>
    <w:rsid w:val="00AB0CA9"/>
    <w:rsid w:val="00AB56A1"/>
    <w:rsid w:val="00AB66E3"/>
    <w:rsid w:val="00AC44F6"/>
    <w:rsid w:val="00AD11D4"/>
    <w:rsid w:val="00AD2590"/>
    <w:rsid w:val="00AF49BA"/>
    <w:rsid w:val="00AF55BC"/>
    <w:rsid w:val="00B0256A"/>
    <w:rsid w:val="00B033A8"/>
    <w:rsid w:val="00B07522"/>
    <w:rsid w:val="00B11A13"/>
    <w:rsid w:val="00B12BA5"/>
    <w:rsid w:val="00B169D8"/>
    <w:rsid w:val="00B17A1D"/>
    <w:rsid w:val="00B30F4B"/>
    <w:rsid w:val="00B42C8C"/>
    <w:rsid w:val="00B46B38"/>
    <w:rsid w:val="00B47146"/>
    <w:rsid w:val="00B553E2"/>
    <w:rsid w:val="00B558B3"/>
    <w:rsid w:val="00B56C74"/>
    <w:rsid w:val="00B571DB"/>
    <w:rsid w:val="00B60156"/>
    <w:rsid w:val="00B61DDC"/>
    <w:rsid w:val="00B63358"/>
    <w:rsid w:val="00B6549D"/>
    <w:rsid w:val="00B67343"/>
    <w:rsid w:val="00B757AE"/>
    <w:rsid w:val="00B850F2"/>
    <w:rsid w:val="00B910C7"/>
    <w:rsid w:val="00B92FF4"/>
    <w:rsid w:val="00BA0678"/>
    <w:rsid w:val="00BA4B08"/>
    <w:rsid w:val="00BA69CD"/>
    <w:rsid w:val="00BB22A5"/>
    <w:rsid w:val="00BB7CFE"/>
    <w:rsid w:val="00BD0B68"/>
    <w:rsid w:val="00BD621A"/>
    <w:rsid w:val="00BE1DF8"/>
    <w:rsid w:val="00C14734"/>
    <w:rsid w:val="00C165B3"/>
    <w:rsid w:val="00C17F37"/>
    <w:rsid w:val="00C21642"/>
    <w:rsid w:val="00C41F0A"/>
    <w:rsid w:val="00C429B7"/>
    <w:rsid w:val="00C54074"/>
    <w:rsid w:val="00C54482"/>
    <w:rsid w:val="00C602AE"/>
    <w:rsid w:val="00C63597"/>
    <w:rsid w:val="00C7185C"/>
    <w:rsid w:val="00C85879"/>
    <w:rsid w:val="00CA5161"/>
    <w:rsid w:val="00CA5501"/>
    <w:rsid w:val="00CB09BC"/>
    <w:rsid w:val="00CB1B99"/>
    <w:rsid w:val="00CC1E55"/>
    <w:rsid w:val="00CC6F11"/>
    <w:rsid w:val="00CC7507"/>
    <w:rsid w:val="00CD10B4"/>
    <w:rsid w:val="00CD1CCC"/>
    <w:rsid w:val="00CD5D80"/>
    <w:rsid w:val="00CE043D"/>
    <w:rsid w:val="00CE7376"/>
    <w:rsid w:val="00CF2A43"/>
    <w:rsid w:val="00CF5068"/>
    <w:rsid w:val="00D017C5"/>
    <w:rsid w:val="00D0618D"/>
    <w:rsid w:val="00D12BB9"/>
    <w:rsid w:val="00D1561C"/>
    <w:rsid w:val="00D157B0"/>
    <w:rsid w:val="00D40418"/>
    <w:rsid w:val="00D40EA1"/>
    <w:rsid w:val="00D41D65"/>
    <w:rsid w:val="00D4200E"/>
    <w:rsid w:val="00D529EF"/>
    <w:rsid w:val="00D55335"/>
    <w:rsid w:val="00D56172"/>
    <w:rsid w:val="00D64AB2"/>
    <w:rsid w:val="00D668DE"/>
    <w:rsid w:val="00D66CFD"/>
    <w:rsid w:val="00D745C2"/>
    <w:rsid w:val="00D767FB"/>
    <w:rsid w:val="00D81EA8"/>
    <w:rsid w:val="00D85277"/>
    <w:rsid w:val="00D85377"/>
    <w:rsid w:val="00D85A64"/>
    <w:rsid w:val="00D938CA"/>
    <w:rsid w:val="00DA14A1"/>
    <w:rsid w:val="00DA7EA2"/>
    <w:rsid w:val="00DD40FE"/>
    <w:rsid w:val="00DD52C2"/>
    <w:rsid w:val="00DE1761"/>
    <w:rsid w:val="00DE3DE7"/>
    <w:rsid w:val="00DF1D04"/>
    <w:rsid w:val="00DF1DE9"/>
    <w:rsid w:val="00DF1FC1"/>
    <w:rsid w:val="00DF6168"/>
    <w:rsid w:val="00DF7666"/>
    <w:rsid w:val="00DF7727"/>
    <w:rsid w:val="00E032BB"/>
    <w:rsid w:val="00E106BB"/>
    <w:rsid w:val="00E1238B"/>
    <w:rsid w:val="00E1374F"/>
    <w:rsid w:val="00E14C5E"/>
    <w:rsid w:val="00E2153C"/>
    <w:rsid w:val="00E25451"/>
    <w:rsid w:val="00E31314"/>
    <w:rsid w:val="00E32CCE"/>
    <w:rsid w:val="00E35119"/>
    <w:rsid w:val="00E4475B"/>
    <w:rsid w:val="00E4682E"/>
    <w:rsid w:val="00E5073A"/>
    <w:rsid w:val="00E549AE"/>
    <w:rsid w:val="00E62662"/>
    <w:rsid w:val="00E7634B"/>
    <w:rsid w:val="00E93646"/>
    <w:rsid w:val="00E96F6A"/>
    <w:rsid w:val="00EB4DBD"/>
    <w:rsid w:val="00EB7CD9"/>
    <w:rsid w:val="00EC6D70"/>
    <w:rsid w:val="00ED0A79"/>
    <w:rsid w:val="00ED6498"/>
    <w:rsid w:val="00ED78C9"/>
    <w:rsid w:val="00EF299A"/>
    <w:rsid w:val="00EF37D4"/>
    <w:rsid w:val="00F01049"/>
    <w:rsid w:val="00F02577"/>
    <w:rsid w:val="00F05F70"/>
    <w:rsid w:val="00F15A65"/>
    <w:rsid w:val="00F17797"/>
    <w:rsid w:val="00F35A6D"/>
    <w:rsid w:val="00F43C47"/>
    <w:rsid w:val="00F43EAC"/>
    <w:rsid w:val="00F440F0"/>
    <w:rsid w:val="00F4478E"/>
    <w:rsid w:val="00F447AB"/>
    <w:rsid w:val="00F53749"/>
    <w:rsid w:val="00F61AE0"/>
    <w:rsid w:val="00F6724C"/>
    <w:rsid w:val="00F72C07"/>
    <w:rsid w:val="00F80A27"/>
    <w:rsid w:val="00F82580"/>
    <w:rsid w:val="00F8394E"/>
    <w:rsid w:val="00F84BDB"/>
    <w:rsid w:val="00F852CB"/>
    <w:rsid w:val="00FA13A9"/>
    <w:rsid w:val="00FA6322"/>
    <w:rsid w:val="00FC170F"/>
    <w:rsid w:val="00FC6C08"/>
    <w:rsid w:val="00FD4F73"/>
    <w:rsid w:val="00FE7CC4"/>
    <w:rsid w:val="00FF025C"/>
    <w:rsid w:val="00FF195F"/>
    <w:rsid w:val="00FF70AB"/>
    <w:rsid w:val="010212C1"/>
    <w:rsid w:val="01252FEE"/>
    <w:rsid w:val="020F3AF8"/>
    <w:rsid w:val="028615CE"/>
    <w:rsid w:val="029C2F92"/>
    <w:rsid w:val="0473672C"/>
    <w:rsid w:val="04E3733F"/>
    <w:rsid w:val="0AD43197"/>
    <w:rsid w:val="0B18792D"/>
    <w:rsid w:val="0B8C0205"/>
    <w:rsid w:val="0BA24023"/>
    <w:rsid w:val="0C254BDE"/>
    <w:rsid w:val="0C2E5F0B"/>
    <w:rsid w:val="0CA13CAC"/>
    <w:rsid w:val="0DFF41E3"/>
    <w:rsid w:val="0E98645E"/>
    <w:rsid w:val="0FF726B8"/>
    <w:rsid w:val="11A97201"/>
    <w:rsid w:val="126F5534"/>
    <w:rsid w:val="13D9392F"/>
    <w:rsid w:val="1543256D"/>
    <w:rsid w:val="158643AF"/>
    <w:rsid w:val="16BD4B26"/>
    <w:rsid w:val="16CE4B1A"/>
    <w:rsid w:val="18D402B7"/>
    <w:rsid w:val="1AE461E3"/>
    <w:rsid w:val="1BCD3E62"/>
    <w:rsid w:val="1C7501C5"/>
    <w:rsid w:val="1CED2FF1"/>
    <w:rsid w:val="1D5D6B25"/>
    <w:rsid w:val="1D770FF1"/>
    <w:rsid w:val="1D8C1372"/>
    <w:rsid w:val="1EF37887"/>
    <w:rsid w:val="20D30F91"/>
    <w:rsid w:val="21497B5E"/>
    <w:rsid w:val="2388613D"/>
    <w:rsid w:val="24333B95"/>
    <w:rsid w:val="246F612D"/>
    <w:rsid w:val="24A458FF"/>
    <w:rsid w:val="26F272A6"/>
    <w:rsid w:val="279A07AE"/>
    <w:rsid w:val="28B96A12"/>
    <w:rsid w:val="29380C97"/>
    <w:rsid w:val="29571AB7"/>
    <w:rsid w:val="2A42701E"/>
    <w:rsid w:val="2C9D6B5A"/>
    <w:rsid w:val="2D1D6E70"/>
    <w:rsid w:val="2E0314C3"/>
    <w:rsid w:val="2EC67550"/>
    <w:rsid w:val="2F2D40A7"/>
    <w:rsid w:val="30775CA0"/>
    <w:rsid w:val="31C10A50"/>
    <w:rsid w:val="32055689"/>
    <w:rsid w:val="343B501F"/>
    <w:rsid w:val="346A01AD"/>
    <w:rsid w:val="34A47744"/>
    <w:rsid w:val="34E2785E"/>
    <w:rsid w:val="356537B7"/>
    <w:rsid w:val="35A16DF2"/>
    <w:rsid w:val="374114E8"/>
    <w:rsid w:val="37696780"/>
    <w:rsid w:val="37BE53FB"/>
    <w:rsid w:val="386167FC"/>
    <w:rsid w:val="38BF3D7D"/>
    <w:rsid w:val="399E068A"/>
    <w:rsid w:val="39B76198"/>
    <w:rsid w:val="3C6C11FC"/>
    <w:rsid w:val="3C8D088E"/>
    <w:rsid w:val="3D2025BB"/>
    <w:rsid w:val="3D8264D1"/>
    <w:rsid w:val="3DD4386E"/>
    <w:rsid w:val="3DEA2427"/>
    <w:rsid w:val="3E785845"/>
    <w:rsid w:val="3F3D4BE4"/>
    <w:rsid w:val="3FA65146"/>
    <w:rsid w:val="41C61521"/>
    <w:rsid w:val="42EE215D"/>
    <w:rsid w:val="43D62630"/>
    <w:rsid w:val="44D26164"/>
    <w:rsid w:val="454C17B9"/>
    <w:rsid w:val="45E46428"/>
    <w:rsid w:val="46A619C2"/>
    <w:rsid w:val="47631029"/>
    <w:rsid w:val="48C96060"/>
    <w:rsid w:val="48F0364E"/>
    <w:rsid w:val="490701D6"/>
    <w:rsid w:val="49D47855"/>
    <w:rsid w:val="4A392510"/>
    <w:rsid w:val="4AE27B1F"/>
    <w:rsid w:val="4D9B799D"/>
    <w:rsid w:val="4DD34EFB"/>
    <w:rsid w:val="4EBF6566"/>
    <w:rsid w:val="51450627"/>
    <w:rsid w:val="520825D2"/>
    <w:rsid w:val="52BA5D9C"/>
    <w:rsid w:val="531B1833"/>
    <w:rsid w:val="537B1EC1"/>
    <w:rsid w:val="55C71CC5"/>
    <w:rsid w:val="572E342A"/>
    <w:rsid w:val="58246E7A"/>
    <w:rsid w:val="599B3936"/>
    <w:rsid w:val="5A254726"/>
    <w:rsid w:val="5A3B5622"/>
    <w:rsid w:val="5AAD19EC"/>
    <w:rsid w:val="5B6C5437"/>
    <w:rsid w:val="5C7D4891"/>
    <w:rsid w:val="5D9937E3"/>
    <w:rsid w:val="5DD46DBA"/>
    <w:rsid w:val="5DF86185"/>
    <w:rsid w:val="62ED6829"/>
    <w:rsid w:val="631C3170"/>
    <w:rsid w:val="63FA4D8D"/>
    <w:rsid w:val="64394EC3"/>
    <w:rsid w:val="65295A02"/>
    <w:rsid w:val="663A7107"/>
    <w:rsid w:val="6690741E"/>
    <w:rsid w:val="66BD78CB"/>
    <w:rsid w:val="67AA4630"/>
    <w:rsid w:val="680927ED"/>
    <w:rsid w:val="68DB4FB3"/>
    <w:rsid w:val="697A052E"/>
    <w:rsid w:val="69F92C4A"/>
    <w:rsid w:val="6A0E53B6"/>
    <w:rsid w:val="6AEB7F68"/>
    <w:rsid w:val="6C383946"/>
    <w:rsid w:val="6C4D2EDE"/>
    <w:rsid w:val="6CF84FDD"/>
    <w:rsid w:val="6D3F04CF"/>
    <w:rsid w:val="6D7D6EDB"/>
    <w:rsid w:val="6D954440"/>
    <w:rsid w:val="6DCF161B"/>
    <w:rsid w:val="6F2302C1"/>
    <w:rsid w:val="700012FF"/>
    <w:rsid w:val="700A5156"/>
    <w:rsid w:val="704C24E1"/>
    <w:rsid w:val="708C1F45"/>
    <w:rsid w:val="71620684"/>
    <w:rsid w:val="71943527"/>
    <w:rsid w:val="71C823A7"/>
    <w:rsid w:val="71DB46A1"/>
    <w:rsid w:val="724D62A6"/>
    <w:rsid w:val="73017B00"/>
    <w:rsid w:val="73047404"/>
    <w:rsid w:val="779627A1"/>
    <w:rsid w:val="78707135"/>
    <w:rsid w:val="78C02C58"/>
    <w:rsid w:val="78E773A5"/>
    <w:rsid w:val="78F93668"/>
    <w:rsid w:val="7A68087E"/>
    <w:rsid w:val="7ABA0534"/>
    <w:rsid w:val="7B280F6D"/>
    <w:rsid w:val="7B284C95"/>
    <w:rsid w:val="7C0B7DA5"/>
    <w:rsid w:val="7C464171"/>
    <w:rsid w:val="7CC858D4"/>
    <w:rsid w:val="7D2B2B14"/>
    <w:rsid w:val="7D9747CB"/>
    <w:rsid w:val="7E1216C8"/>
    <w:rsid w:val="7ED074DE"/>
    <w:rsid w:val="7ED503E2"/>
    <w:rsid w:val="7EDA0AD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9"/>
    <w:pPr>
      <w:widowControl/>
      <w:numPr>
        <w:ilvl w:val="0"/>
        <w:numId w:val="1"/>
      </w:numPr>
      <w:spacing w:before="100" w:beforeAutospacing="1" w:after="100" w:afterAutospacing="1"/>
      <w:jc w:val="left"/>
      <w:outlineLvl w:val="0"/>
    </w:pPr>
    <w:rPr>
      <w:rFonts w:ascii="黑体" w:hAnsi="黑体" w:eastAsia="黑体" w:cs="宋体"/>
      <w:b/>
      <w:bCs/>
      <w:sz w:val="36"/>
      <w:szCs w:val="48"/>
    </w:rPr>
  </w:style>
  <w:style w:type="paragraph" w:styleId="3">
    <w:name w:val="heading 2"/>
    <w:basedOn w:val="1"/>
    <w:next w:val="1"/>
    <w:link w:val="27"/>
    <w:semiHidden/>
    <w:unhideWhenUsed/>
    <w:qFormat/>
    <w:uiPriority w:val="9"/>
    <w:pPr>
      <w:keepNext/>
      <w:keepLines/>
      <w:spacing w:line="360" w:lineRule="auto"/>
      <w:outlineLvl w:val="1"/>
    </w:pPr>
    <w:rPr>
      <w:rFonts w:ascii="仿宋_GB2312" w:hAnsi="Cambria" w:eastAsia="仿宋_GB2312"/>
      <w:b/>
      <w:bCs/>
      <w:kern w:val="1"/>
      <w:sz w:val="28"/>
      <w:szCs w:val="28"/>
    </w:rPr>
  </w:style>
  <w:style w:type="paragraph" w:styleId="4">
    <w:name w:val="heading 4"/>
    <w:basedOn w:val="5"/>
    <w:next w:val="1"/>
    <w:link w:val="53"/>
    <w:semiHidden/>
    <w:unhideWhenUsed/>
    <w:qFormat/>
    <w:uiPriority w:val="9"/>
    <w:pPr>
      <w:numPr>
        <w:ilvl w:val="0"/>
        <w:numId w:val="2"/>
      </w:numPr>
      <w:spacing w:line="360" w:lineRule="auto"/>
      <w:ind w:left="567" w:firstLine="0" w:firstLineChars="0"/>
      <w:outlineLvl w:val="3"/>
    </w:pPr>
    <w:rPr>
      <w:rFonts w:ascii="仿宋_GB2312" w:eastAsia="仿宋_GB2312"/>
      <w:b/>
      <w:kern w:val="2"/>
      <w:sz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List Paragraph"/>
    <w:basedOn w:val="1"/>
    <w:qFormat/>
    <w:uiPriority w:val="99"/>
    <w:pPr>
      <w:ind w:firstLine="420" w:firstLineChars="200"/>
    </w:pPr>
    <w:rPr>
      <w:rFonts w:ascii="Calibri" w:hAnsi="Calibri"/>
      <w:kern w:val="1"/>
      <w:szCs w:val="22"/>
    </w:rPr>
  </w:style>
  <w:style w:type="paragraph" w:styleId="6">
    <w:name w:val="caption"/>
    <w:basedOn w:val="1"/>
    <w:next w:val="1"/>
    <w:qFormat/>
    <w:uiPriority w:val="0"/>
    <w:pPr>
      <w:keepNext/>
      <w:tabs>
        <w:tab w:val="center" w:pos="8505"/>
      </w:tabs>
    </w:pPr>
    <w:rPr>
      <w:rFonts w:ascii="Cambria" w:hAnsi="Cambria" w:eastAsia="黑体"/>
      <w:sz w:val="20"/>
      <w:szCs w:val="20"/>
    </w:rPr>
  </w:style>
  <w:style w:type="paragraph" w:styleId="7">
    <w:name w:val="annotation text"/>
    <w:basedOn w:val="1"/>
    <w:link w:val="56"/>
    <w:qFormat/>
    <w:uiPriority w:val="99"/>
    <w:pPr>
      <w:jc w:val="left"/>
    </w:pPr>
  </w:style>
  <w:style w:type="paragraph" w:styleId="8">
    <w:name w:val="Body Text"/>
    <w:basedOn w:val="1"/>
    <w:unhideWhenUsed/>
    <w:qFormat/>
    <w:uiPriority w:val="1"/>
    <w:pPr>
      <w:spacing w:before="19"/>
      <w:ind w:left="120"/>
    </w:pPr>
    <w:rPr>
      <w:rFonts w:hint="eastAsia" w:ascii="仿宋" w:eastAsia="仿宋"/>
      <w:sz w:val="28"/>
    </w:rPr>
  </w:style>
  <w:style w:type="paragraph" w:styleId="9">
    <w:name w:val="Date"/>
    <w:basedOn w:val="1"/>
    <w:next w:val="1"/>
    <w:link w:val="39"/>
    <w:qFormat/>
    <w:uiPriority w:val="99"/>
    <w:rPr>
      <w:rFonts w:eastAsia="仿宋_GB2312"/>
      <w:kern w:val="1"/>
      <w:sz w:val="32"/>
      <w:szCs w:val="20"/>
    </w:rPr>
  </w:style>
  <w:style w:type="paragraph" w:styleId="10">
    <w:name w:val="Balloon Text"/>
    <w:basedOn w:val="1"/>
    <w:link w:val="38"/>
    <w:qFormat/>
    <w:uiPriority w:val="99"/>
    <w:rPr>
      <w:rFonts w:ascii="Calibri" w:hAnsi="Calibri"/>
      <w:kern w:val="1"/>
      <w:sz w:val="18"/>
      <w:szCs w:val="18"/>
    </w:rPr>
  </w:style>
  <w:style w:type="paragraph" w:styleId="11">
    <w:name w:val="footer"/>
    <w:basedOn w:val="1"/>
    <w:link w:val="29"/>
    <w:qFormat/>
    <w:uiPriority w:val="99"/>
    <w:pPr>
      <w:tabs>
        <w:tab w:val="center" w:pos="4153"/>
        <w:tab w:val="right" w:pos="8306"/>
      </w:tabs>
      <w:snapToGrid w:val="0"/>
      <w:jc w:val="left"/>
    </w:pPr>
    <w:rPr>
      <w:rFonts w:ascii="Calibri" w:hAnsi="Calibri"/>
      <w:sz w:val="18"/>
      <w:szCs w:val="18"/>
    </w:rPr>
  </w:style>
  <w:style w:type="paragraph" w:styleId="12">
    <w:name w:val="header"/>
    <w:basedOn w:val="1"/>
    <w:link w:val="28"/>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13">
    <w:name w:val="toc 1"/>
    <w:basedOn w:val="1"/>
    <w:next w:val="1"/>
    <w:qFormat/>
    <w:uiPriority w:val="39"/>
  </w:style>
  <w:style w:type="paragraph" w:styleId="14">
    <w:name w:val="toc 2"/>
    <w:basedOn w:val="1"/>
    <w:next w:val="1"/>
    <w:qFormat/>
    <w:uiPriority w:val="39"/>
    <w:pPr>
      <w:ind w:left="420" w:leftChars="200"/>
    </w:pPr>
  </w:style>
  <w:style w:type="paragraph" w:styleId="15">
    <w:name w:val="Normal (Web)"/>
    <w:basedOn w:val="1"/>
    <w:qFormat/>
    <w:uiPriority w:val="99"/>
    <w:pPr>
      <w:widowControl/>
      <w:spacing w:before="100" w:beforeAutospacing="1" w:after="100" w:afterAutospacing="1"/>
      <w:jc w:val="left"/>
    </w:pPr>
    <w:rPr>
      <w:rFonts w:ascii="宋体" w:hAnsi="宋体" w:cs="宋体"/>
      <w:kern w:val="1"/>
      <w:sz w:val="24"/>
    </w:rPr>
  </w:style>
  <w:style w:type="paragraph" w:styleId="16">
    <w:name w:val="Title"/>
    <w:basedOn w:val="1"/>
    <w:next w:val="1"/>
    <w:link w:val="50"/>
    <w:qFormat/>
    <w:uiPriority w:val="10"/>
    <w:pPr>
      <w:spacing w:before="240" w:after="60"/>
      <w:jc w:val="center"/>
      <w:outlineLvl w:val="0"/>
    </w:pPr>
    <w:rPr>
      <w:rFonts w:ascii="Cambria" w:hAnsi="Cambria"/>
      <w:b/>
      <w:bCs/>
      <w:sz w:val="32"/>
      <w:szCs w:val="32"/>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99"/>
    <w:rPr>
      <w:rFonts w:cs="Times New Roman"/>
      <w:b/>
    </w:rPr>
  </w:style>
  <w:style w:type="character" w:styleId="21">
    <w:name w:val="page number"/>
    <w:basedOn w:val="19"/>
    <w:qFormat/>
    <w:uiPriority w:val="99"/>
    <w:rPr>
      <w:rFonts w:cs="Times New Roman"/>
    </w:rPr>
  </w:style>
  <w:style w:type="character" w:styleId="22">
    <w:name w:val="FollowedHyperlink"/>
    <w:basedOn w:val="19"/>
    <w:qFormat/>
    <w:uiPriority w:val="99"/>
    <w:rPr>
      <w:rFonts w:cs="Times New Roman"/>
      <w:color w:val="800080"/>
      <w:u w:val="single"/>
    </w:rPr>
  </w:style>
  <w:style w:type="character" w:styleId="23">
    <w:name w:val="Emphasis"/>
    <w:basedOn w:val="19"/>
    <w:qFormat/>
    <w:uiPriority w:val="99"/>
    <w:rPr>
      <w:rFonts w:cs="Times New Roman"/>
      <w:i/>
    </w:rPr>
  </w:style>
  <w:style w:type="character" w:styleId="24">
    <w:name w:val="Hyperlink"/>
    <w:basedOn w:val="19"/>
    <w:qFormat/>
    <w:uiPriority w:val="99"/>
    <w:rPr>
      <w:rFonts w:cs="Times New Roman"/>
      <w:color w:val="0000FF"/>
      <w:u w:val="single"/>
    </w:rPr>
  </w:style>
  <w:style w:type="character" w:styleId="25">
    <w:name w:val="annotation reference"/>
    <w:basedOn w:val="19"/>
    <w:qFormat/>
    <w:uiPriority w:val="99"/>
    <w:rPr>
      <w:sz w:val="21"/>
      <w:szCs w:val="21"/>
    </w:rPr>
  </w:style>
  <w:style w:type="character" w:customStyle="1" w:styleId="26">
    <w:name w:val="标题 1 字符1"/>
    <w:basedOn w:val="19"/>
    <w:link w:val="2"/>
    <w:qFormat/>
    <w:uiPriority w:val="99"/>
    <w:rPr>
      <w:rFonts w:ascii="黑体" w:hAnsi="黑体" w:eastAsia="黑体" w:cs="宋体"/>
      <w:b/>
      <w:bCs/>
      <w:kern w:val="2"/>
      <w:sz w:val="36"/>
      <w:szCs w:val="48"/>
    </w:rPr>
  </w:style>
  <w:style w:type="character" w:customStyle="1" w:styleId="27">
    <w:name w:val="标题 2 字符1"/>
    <w:basedOn w:val="19"/>
    <w:link w:val="3"/>
    <w:qFormat/>
    <w:uiPriority w:val="99"/>
    <w:rPr>
      <w:rFonts w:ascii="仿宋_GB2312" w:hAnsi="Cambria" w:eastAsia="仿宋_GB2312"/>
      <w:b/>
      <w:bCs/>
      <w:kern w:val="1"/>
      <w:sz w:val="28"/>
      <w:szCs w:val="28"/>
    </w:rPr>
  </w:style>
  <w:style w:type="character" w:customStyle="1" w:styleId="28">
    <w:name w:val="页眉 字符1"/>
    <w:basedOn w:val="19"/>
    <w:link w:val="12"/>
    <w:qFormat/>
    <w:uiPriority w:val="99"/>
    <w:rPr>
      <w:rFonts w:cs="Times New Roman"/>
      <w:sz w:val="18"/>
      <w:szCs w:val="18"/>
    </w:rPr>
  </w:style>
  <w:style w:type="character" w:customStyle="1" w:styleId="29">
    <w:name w:val="页脚 字符1"/>
    <w:basedOn w:val="19"/>
    <w:link w:val="11"/>
    <w:qFormat/>
    <w:uiPriority w:val="99"/>
    <w:rPr>
      <w:rFonts w:cs="Times New Roman"/>
      <w:sz w:val="18"/>
      <w:szCs w:val="18"/>
    </w:rPr>
  </w:style>
  <w:style w:type="character" w:customStyle="1" w:styleId="30">
    <w:name w:val="apple-converted-space"/>
    <w:qFormat/>
    <w:uiPriority w:val="99"/>
  </w:style>
  <w:style w:type="character" w:customStyle="1" w:styleId="31">
    <w:name w:val="标题1"/>
    <w:qFormat/>
    <w:uiPriority w:val="99"/>
  </w:style>
  <w:style w:type="character" w:customStyle="1" w:styleId="32">
    <w:name w:val="标题 2 字符"/>
    <w:qFormat/>
    <w:uiPriority w:val="99"/>
    <w:rPr>
      <w:rFonts w:ascii="Cambria" w:hAnsi="Cambria" w:eastAsia="Times New Roman"/>
      <w:b/>
      <w:kern w:val="1"/>
      <w:sz w:val="32"/>
    </w:rPr>
  </w:style>
  <w:style w:type="character" w:customStyle="1" w:styleId="33">
    <w:name w:val="页眉 字符"/>
    <w:qFormat/>
    <w:uiPriority w:val="99"/>
    <w:rPr>
      <w:sz w:val="18"/>
    </w:rPr>
  </w:style>
  <w:style w:type="character" w:customStyle="1" w:styleId="34">
    <w:name w:val="页脚 字符"/>
    <w:qFormat/>
    <w:uiPriority w:val="99"/>
    <w:rPr>
      <w:sz w:val="18"/>
    </w:rPr>
  </w:style>
  <w:style w:type="character" w:customStyle="1" w:styleId="35">
    <w:name w:val="日期 字符"/>
    <w:qFormat/>
    <w:uiPriority w:val="99"/>
  </w:style>
  <w:style w:type="character" w:customStyle="1" w:styleId="36">
    <w:name w:val="标题 1 字符"/>
    <w:qFormat/>
    <w:uiPriority w:val="99"/>
    <w:rPr>
      <w:rFonts w:ascii="宋体" w:eastAsia="宋体"/>
      <w:b/>
      <w:kern w:val="1"/>
      <w:sz w:val="48"/>
    </w:rPr>
  </w:style>
  <w:style w:type="character" w:customStyle="1" w:styleId="37">
    <w:name w:val="批注框文本 字符"/>
    <w:qFormat/>
    <w:uiPriority w:val="99"/>
    <w:rPr>
      <w:kern w:val="1"/>
      <w:sz w:val="18"/>
    </w:rPr>
  </w:style>
  <w:style w:type="character" w:customStyle="1" w:styleId="38">
    <w:name w:val="批注框文本 字符1"/>
    <w:basedOn w:val="19"/>
    <w:link w:val="10"/>
    <w:qFormat/>
    <w:uiPriority w:val="99"/>
    <w:rPr>
      <w:rFonts w:ascii="Calibri" w:hAnsi="Calibri" w:eastAsia="宋体" w:cs="Times New Roman"/>
      <w:kern w:val="1"/>
      <w:sz w:val="18"/>
      <w:szCs w:val="18"/>
      <w:lang w:val="en-US" w:eastAsia="zh-CN" w:bidi="ar-SA"/>
    </w:rPr>
  </w:style>
  <w:style w:type="character" w:customStyle="1" w:styleId="39">
    <w:name w:val="日期 字符1"/>
    <w:basedOn w:val="19"/>
    <w:link w:val="9"/>
    <w:qFormat/>
    <w:uiPriority w:val="99"/>
    <w:rPr>
      <w:rFonts w:ascii="Times New Roman" w:hAnsi="Times New Roman" w:eastAsia="仿宋_GB2312" w:cs="Times New Roman"/>
      <w:kern w:val="1"/>
      <w:sz w:val="32"/>
      <w:lang w:val="en-US" w:eastAsia="zh-CN" w:bidi="ar-SA"/>
    </w:rPr>
  </w:style>
  <w:style w:type="paragraph" w:customStyle="1" w:styleId="40">
    <w:name w:val="列出段落1"/>
    <w:qFormat/>
    <w:uiPriority w:val="99"/>
    <w:pPr>
      <w:widowControl w:val="0"/>
      <w:ind w:firstLine="420"/>
      <w:jc w:val="both"/>
    </w:pPr>
    <w:rPr>
      <w:rFonts w:ascii="Calibri" w:hAnsi="Calibri" w:eastAsia="宋体" w:cs="Times New Roman"/>
      <w:kern w:val="1"/>
      <w:sz w:val="21"/>
      <w:szCs w:val="22"/>
      <w:lang w:val="en-US" w:eastAsia="zh-CN" w:bidi="ar-SA"/>
    </w:rPr>
  </w:style>
  <w:style w:type="paragraph" w:customStyle="1" w:styleId="41">
    <w:name w:val="reader-word-layer"/>
    <w:qFormat/>
    <w:uiPriority w:val="99"/>
    <w:pPr>
      <w:spacing w:before="100" w:beforeAutospacing="1" w:after="100" w:afterAutospacing="1"/>
    </w:pPr>
    <w:rPr>
      <w:rFonts w:ascii="宋体" w:hAnsi="宋体" w:eastAsia="宋体" w:cs="宋体"/>
      <w:kern w:val="1"/>
      <w:sz w:val="24"/>
      <w:szCs w:val="24"/>
      <w:lang w:val="en-US" w:eastAsia="zh-CN" w:bidi="ar-SA"/>
    </w:rPr>
  </w:style>
  <w:style w:type="paragraph" w:customStyle="1" w:styleId="42">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3">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4">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5">
    <w:name w:val="font6"/>
    <w:basedOn w:val="1"/>
    <w:qFormat/>
    <w:uiPriority w:val="99"/>
    <w:pPr>
      <w:widowControl/>
      <w:spacing w:before="100" w:beforeAutospacing="1" w:after="100" w:afterAutospacing="1"/>
      <w:jc w:val="left"/>
    </w:pPr>
    <w:rPr>
      <w:rFonts w:ascii="宋体" w:hAnsi="宋体" w:cs="宋体"/>
      <w:color w:val="000000"/>
      <w:kern w:val="0"/>
      <w:sz w:val="22"/>
      <w:szCs w:val="22"/>
    </w:rPr>
  </w:style>
  <w:style w:type="paragraph" w:customStyle="1" w:styleId="46">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7">
    <w:name w:val="font7"/>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48">
    <w:name w:val="xl68"/>
    <w:basedOn w:val="1"/>
    <w:qFormat/>
    <w:uiPriority w:val="99"/>
    <w:pPr>
      <w:widowControl/>
      <w:spacing w:before="100" w:beforeAutospacing="1" w:after="100" w:afterAutospacing="1"/>
      <w:jc w:val="left"/>
    </w:pPr>
    <w:rPr>
      <w:rFonts w:ascii="宋体" w:hAnsi="宋体" w:cs="宋体"/>
      <w:kern w:val="0"/>
      <w:sz w:val="32"/>
      <w:szCs w:val="32"/>
    </w:rPr>
  </w:style>
  <w:style w:type="paragraph" w:customStyle="1" w:styleId="49">
    <w:name w:val="font5"/>
    <w:basedOn w:val="1"/>
    <w:qFormat/>
    <w:uiPriority w:val="99"/>
    <w:pPr>
      <w:widowControl/>
      <w:spacing w:before="100" w:beforeAutospacing="1" w:after="100" w:afterAutospacing="1"/>
      <w:jc w:val="left"/>
    </w:pPr>
    <w:rPr>
      <w:rFonts w:ascii="微软雅黑 Light" w:hAnsi="微软雅黑 Light" w:eastAsia="微软雅黑 Light" w:cs="宋体"/>
      <w:kern w:val="0"/>
      <w:sz w:val="18"/>
      <w:szCs w:val="18"/>
    </w:rPr>
  </w:style>
  <w:style w:type="character" w:customStyle="1" w:styleId="50">
    <w:name w:val="标题 字符"/>
    <w:basedOn w:val="19"/>
    <w:link w:val="16"/>
    <w:qFormat/>
    <w:uiPriority w:val="0"/>
    <w:rPr>
      <w:rFonts w:ascii="Cambria" w:hAnsi="Cambria" w:cs="Times New Roman"/>
      <w:b/>
      <w:bCs/>
      <w:kern w:val="2"/>
      <w:sz w:val="32"/>
      <w:szCs w:val="32"/>
    </w:rPr>
  </w:style>
  <w:style w:type="paragraph" w:customStyle="1" w:styleId="51">
    <w:name w:val="我的样式"/>
    <w:basedOn w:val="1"/>
    <w:qFormat/>
    <w:uiPriority w:val="0"/>
    <w:pPr>
      <w:spacing w:line="360" w:lineRule="auto"/>
      <w:ind w:firstLine="566" w:firstLineChars="202"/>
    </w:pPr>
    <w:rPr>
      <w:rFonts w:ascii="仿宋_GB2312" w:hAnsi="仿宋_GB2312" w:eastAsia="仿宋_GB2312" w:cs="仿宋_GB2312"/>
      <w:color w:val="000000"/>
      <w:sz w:val="28"/>
      <w:szCs w:val="28"/>
    </w:rPr>
  </w:style>
  <w:style w:type="paragraph" w:customStyle="1" w:styleId="52">
    <w:name w:val="开头样式"/>
    <w:basedOn w:val="51"/>
    <w:qFormat/>
    <w:uiPriority w:val="0"/>
    <w:pPr>
      <w:ind w:firstLine="0" w:firstLineChars="0"/>
    </w:pPr>
  </w:style>
  <w:style w:type="character" w:customStyle="1" w:styleId="53">
    <w:name w:val="标题 4 字符"/>
    <w:basedOn w:val="19"/>
    <w:link w:val="4"/>
    <w:qFormat/>
    <w:uiPriority w:val="9"/>
    <w:rPr>
      <w:rFonts w:ascii="仿宋_GB2312" w:hAnsi="Calibri" w:eastAsia="仿宋_GB2312" w:cs="Times New Roman"/>
      <w:b/>
      <w:kern w:val="2"/>
      <w:sz w:val="28"/>
      <w:szCs w:val="22"/>
    </w:rPr>
  </w:style>
  <w:style w:type="paragraph" w:customStyle="1" w:styleId="54">
    <w:name w:val="表格样式"/>
    <w:basedOn w:val="1"/>
    <w:qFormat/>
    <w:uiPriority w:val="0"/>
    <w:pPr>
      <w:widowControl/>
      <w:jc w:val="left"/>
    </w:pPr>
    <w:rPr>
      <w:rFonts w:ascii="仿宋_GB2312" w:hAnsi="宋体" w:eastAsia="仿宋_GB2312" w:cs="宋体"/>
      <w:color w:val="000000"/>
      <w:kern w:val="0"/>
      <w:sz w:val="24"/>
    </w:rPr>
  </w:style>
  <w:style w:type="paragraph" w:customStyle="1" w:styleId="55">
    <w:name w:val="TOC 标题1"/>
    <w:basedOn w:val="2"/>
    <w:next w:val="1"/>
    <w:qFormat/>
    <w:uiPriority w:val="39"/>
    <w:pPr>
      <w:keepNext/>
      <w:keepLines/>
      <w:numPr>
        <w:numId w:val="0"/>
      </w:numPr>
      <w:spacing w:before="480" w:beforeAutospacing="0" w:after="0" w:afterAutospacing="0" w:line="276" w:lineRule="auto"/>
      <w:outlineLvl w:val="9"/>
    </w:pPr>
    <w:rPr>
      <w:rFonts w:ascii="Cambria" w:hAnsi="Cambria" w:eastAsia="宋体" w:cs="Times New Roman"/>
      <w:color w:val="365F91"/>
      <w:kern w:val="0"/>
      <w:sz w:val="28"/>
      <w:szCs w:val="28"/>
    </w:rPr>
  </w:style>
  <w:style w:type="character" w:customStyle="1" w:styleId="56">
    <w:name w:val="批注文字 字符"/>
    <w:basedOn w:val="19"/>
    <w:link w:val="7"/>
    <w:qFormat/>
    <w:uiPriority w:val="99"/>
    <w:rPr>
      <w:rFonts w:ascii="Times New Roman" w:hAnsi="Times New Roman" w:eastAsia="宋体" w:cs="Times New Roman"/>
      <w:kern w:val="2"/>
      <w:sz w:val="21"/>
      <w:szCs w:val="24"/>
    </w:rPr>
  </w:style>
  <w:style w:type="paragraph" w:customStyle="1" w:styleId="57">
    <w:name w:val="p0"/>
    <w:basedOn w:val="1"/>
    <w:qFormat/>
    <w:uiPriority w:val="99"/>
    <w:pPr>
      <w:widowControl/>
    </w:pPr>
    <w:rPr>
      <w:rFonts w:ascii="Calibri" w:hAnsi="Calibri"/>
      <w:kern w:val="0"/>
      <w:szCs w:val="21"/>
    </w:rPr>
  </w:style>
  <w:style w:type="paragraph" w:customStyle="1" w:styleId="58">
    <w:name w:val="Table Paragraph"/>
    <w:basedOn w:val="1"/>
    <w:unhideWhenUsed/>
    <w:qFormat/>
    <w:uiPriority w:val="1"/>
    <w:rPr>
      <w:rFonts w:hint="eastAsia"/>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88FAB8-C599-4097-B030-344541BE13F4}">
  <ds:schemaRefs/>
</ds:datastoreItem>
</file>

<file path=customXml/itemProps3.xml><?xml version="1.0" encoding="utf-8"?>
<ds:datastoreItem xmlns:ds="http://schemas.openxmlformats.org/officeDocument/2006/customXml" ds:itemID="{EB67BEFF-F025-46AD-82F0-A61131CEDC78}">
  <ds:schemaRefs/>
</ds:datastoreItem>
</file>

<file path=customXml/itemProps4.xml><?xml version="1.0" encoding="utf-8"?>
<ds:datastoreItem xmlns:ds="http://schemas.openxmlformats.org/officeDocument/2006/customXml" ds:itemID="{055CF165-B381-4DC7-B5BC-1F3BECB01304}">
  <ds:schemaRefs/>
</ds:datastoreItem>
</file>

<file path=customXml/itemProps5.xml><?xml version="1.0" encoding="utf-8"?>
<ds:datastoreItem xmlns:ds="http://schemas.openxmlformats.org/officeDocument/2006/customXml" ds:itemID="{6F4BD68F-B43B-479E-A303-33C318A9F5B6}">
  <ds:schemaRefs/>
</ds:datastoreItem>
</file>

<file path=customXml/itemProps6.xml><?xml version="1.0" encoding="utf-8"?>
<ds:datastoreItem xmlns:ds="http://schemas.openxmlformats.org/officeDocument/2006/customXml" ds:itemID="{0F41C0BB-C2DD-4E97-A90B-AA50776D9BB0}">
  <ds:schemaRefs/>
</ds:datastoreItem>
</file>

<file path=customXml/itemProps7.xml><?xml version="1.0" encoding="utf-8"?>
<ds:datastoreItem xmlns:ds="http://schemas.openxmlformats.org/officeDocument/2006/customXml" ds:itemID="{97F61065-DFA4-4F4D-BA22-1507E0D57B19}">
  <ds:schemaRefs/>
</ds:datastoreItem>
</file>

<file path=customXml/itemProps8.xml><?xml version="1.0" encoding="utf-8"?>
<ds:datastoreItem xmlns:ds="http://schemas.openxmlformats.org/officeDocument/2006/customXml" ds:itemID="{10B0293F-C3D0-4826-8E49-155C244F90ED}">
  <ds:schemaRefs/>
</ds:datastoreItem>
</file>

<file path=customXml/itemProps9.xml><?xml version="1.0" encoding="utf-8"?>
<ds:datastoreItem xmlns:ds="http://schemas.openxmlformats.org/officeDocument/2006/customXml" ds:itemID="{13FF6AFD-365C-442E-883B-CECFF7E29280}">
  <ds:schemaRefs/>
</ds:datastoreItem>
</file>

<file path=docProps/app.xml><?xml version="1.0" encoding="utf-8"?>
<Properties xmlns="http://schemas.openxmlformats.org/officeDocument/2006/extended-properties" xmlns:vt="http://schemas.openxmlformats.org/officeDocument/2006/docPropsVTypes">
  <Template>Normal.dotm</Template>
  <Company>ITianKong.Com</Company>
  <Pages>1</Pages>
  <Words>908</Words>
  <Characters>5180</Characters>
  <Lines>43</Lines>
  <Paragraphs>12</Paragraphs>
  <TotalTime>4</TotalTime>
  <ScaleCrop>false</ScaleCrop>
  <LinksUpToDate>false</LinksUpToDate>
  <CharactersWithSpaces>6076</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2018-03-26T13:22:00Z</dcterms:created>
  <dc:creator>耿超</dc:creator>
  <cp:lastModifiedBy>贵科</cp:lastModifiedBy>
  <cp:lastPrinted>2018-02-06T09:23:00Z</cp:lastPrinted>
  <dcterms:modified xsi:type="dcterms:W3CDTF">2020-10-14T01:53:04Z</dcterms:modified>
  <cp:revision>820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