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文星简黑体"/>
          <w:kern w:val="0"/>
          <w:sz w:val="32"/>
          <w:szCs w:val="32"/>
          <w:lang w:eastAsia="zh-CN"/>
        </w:rPr>
      </w:pPr>
      <w:r>
        <w:rPr>
          <w:rFonts w:hint="eastAsia" w:ascii="黑体" w:hAnsi="黑体" w:eastAsia="黑体" w:cs="文星简黑体"/>
          <w:kern w:val="0"/>
          <w:sz w:val="32"/>
          <w:szCs w:val="32"/>
          <w:lang w:eastAsia="zh-CN"/>
        </w:rPr>
        <w:drawing>
          <wp:inline distT="0" distB="0" distL="114300" distR="114300">
            <wp:extent cx="6057900" cy="8562975"/>
            <wp:effectExtent l="0" t="0" r="0" b="0"/>
            <wp:docPr id="3" name="图片 3" descr="C:\Users\Alfred Yua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lfred Yuan\Desktop\图片1.png图片1"/>
                    <pic:cNvPicPr>
                      <a:picLocks noChangeAspect="1"/>
                    </pic:cNvPicPr>
                  </pic:nvPicPr>
                  <pic:blipFill>
                    <a:blip r:embed="rId6"/>
                    <a:srcRect/>
                    <a:stretch>
                      <a:fillRect/>
                    </a:stretch>
                  </pic:blipFill>
                  <pic:spPr>
                    <a:xfrm>
                      <a:off x="0" y="0"/>
                      <a:ext cx="6057900" cy="8562975"/>
                    </a:xfrm>
                    <a:prstGeom prst="rect">
                      <a:avLst/>
                    </a:prstGeom>
                  </pic:spPr>
                </pic:pic>
              </a:graphicData>
            </a:graphic>
          </wp:inline>
        </w:drawing>
      </w:r>
    </w:p>
    <w:p>
      <w:pPr>
        <w:pStyle w:val="2"/>
        <w:rPr>
          <w:rFonts w:hint="eastAsia" w:ascii="黑体" w:hAnsi="黑体" w:eastAsia="黑体" w:cs="文星简黑体"/>
          <w:kern w:val="0"/>
          <w:sz w:val="32"/>
          <w:szCs w:val="32"/>
          <w:lang w:eastAsia="zh-CN"/>
        </w:rPr>
      </w:pPr>
    </w:p>
    <w:p>
      <w:pPr>
        <w:pStyle w:val="2"/>
        <w:rPr>
          <w:rFonts w:hint="eastAsia" w:ascii="黑体" w:hAnsi="黑体" w:eastAsia="黑体" w:cs="文星简黑体"/>
          <w:kern w:val="0"/>
          <w:sz w:val="32"/>
          <w:szCs w:val="32"/>
          <w:lang w:eastAsia="zh-CN"/>
        </w:rPr>
      </w:pPr>
    </w:p>
    <w:p>
      <w:pPr>
        <w:pStyle w:val="2"/>
        <w:rPr>
          <w:rFonts w:hint="eastAsia" w:ascii="黑体" w:hAnsi="黑体" w:eastAsia="黑体" w:cs="文星简黑体"/>
          <w:kern w:val="0"/>
          <w:sz w:val="32"/>
          <w:szCs w:val="32"/>
          <w:lang w:eastAsia="zh-CN"/>
        </w:rPr>
      </w:pPr>
    </w:p>
    <w:p>
      <w:pPr>
        <w:pStyle w:val="8"/>
        <w:rPr>
          <w:rFonts w:ascii="黑体"/>
          <w:highlight w:val="none"/>
        </w:rPr>
      </w:pPr>
    </w:p>
    <w:p>
      <w:pPr>
        <w:rPr>
          <w:rFonts w:hint="default"/>
          <w:b w:val="0"/>
          <w:bCs w:val="0"/>
          <w:sz w:val="24"/>
          <w:szCs w:val="21"/>
          <w:lang w:val="en-US" w:eastAsia="zh-CN"/>
        </w:rPr>
      </w:pPr>
      <w:r>
        <w:rPr>
          <w:rFonts w:hint="eastAsia" w:ascii="黑体" w:hAnsi="黑体" w:eastAsia="黑体" w:cs="黑体"/>
          <w:b w:val="0"/>
          <w:bCs w:val="0"/>
          <w:sz w:val="44"/>
          <w:szCs w:val="36"/>
          <w:lang w:val="en-US" w:eastAsia="zh-CN"/>
        </w:rPr>
        <w:t>报告编制说明</w:t>
      </w:r>
    </w:p>
    <w:p>
      <w:pPr>
        <w:rPr>
          <w:rFonts w:hint="eastAsia"/>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86360</wp:posOffset>
                </wp:positionV>
                <wp:extent cx="3564255" cy="3175"/>
                <wp:effectExtent l="0" t="12700" r="7620" b="12700"/>
                <wp:wrapNone/>
                <wp:docPr id="2" name="直接连接符 2"/>
                <wp:cNvGraphicFramePr/>
                <a:graphic xmlns:a="http://schemas.openxmlformats.org/drawingml/2006/main">
                  <a:graphicData uri="http://schemas.microsoft.com/office/word/2010/wordprocessingShape">
                    <wps:wsp>
                      <wps:cNvCnPr/>
                      <wps:spPr>
                        <a:xfrm flipV="1">
                          <a:off x="1129030" y="1481455"/>
                          <a:ext cx="3564255" cy="3175"/>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1.1pt;margin-top:6.8pt;height:0.25pt;width:280.65pt;z-index:251659264;mso-width-relative:page;mso-height-relative:page;" filled="f" stroked="t" coordsize="21600,21600" o:gfxdata="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ZPVF2AAAAAgBAAAPAAAAAAAAAAEAIAAAACIAAABkcnMvZG93bnJldi54&#10;bWxQSwECFAAUAAAACACHTuJAwHnmLPoBAADLAwAADgAAAAAAAAABACAAAAAnAQAAZHJzL2Uyb0Rv&#10;Yy54bWxQSwUGAAAAAAYABgBZAQAAkwUAAAAA&#10;">
                <v:fill on="f" focussize="0,0"/>
                <v:stroke weight="2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本报告是</w:t>
      </w:r>
      <w:r>
        <w:rPr>
          <w:rFonts w:hint="eastAsia" w:ascii="仿宋" w:hAnsi="仿宋" w:cs="仿宋"/>
          <w:sz w:val="28"/>
          <w:szCs w:val="28"/>
          <w:highlight w:val="none"/>
          <w:lang w:eastAsia="zh-CN"/>
        </w:rPr>
        <w:t>中景瑞晟（北京）管理咨询有限公司</w:t>
      </w:r>
      <w:r>
        <w:rPr>
          <w:rFonts w:hint="eastAsia" w:ascii="仿宋" w:hAnsi="仿宋" w:eastAsia="仿宋" w:cs="仿宋"/>
          <w:sz w:val="28"/>
          <w:szCs w:val="28"/>
          <w:highlight w:val="none"/>
        </w:rPr>
        <w:t>编制的</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cs="仿宋"/>
          <w:color w:val="auto"/>
          <w:sz w:val="28"/>
          <w:szCs w:val="28"/>
          <w:highlight w:val="none"/>
        </w:rPr>
        <w:t>枣庄市山亭区2020年环城绿道提升工程和北外环绿道建设工程项目绩效评价报告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i/>
          <w:color w:val="000000" w:themeColor="text1"/>
          <w:sz w:val="28"/>
          <w:szCs w:val="28"/>
          <w:highlight w:val="none"/>
          <w14:textFill>
            <w14:solidFill>
              <w14:schemeClr w14:val="tx1"/>
            </w14:solidFill>
          </w14:textFill>
        </w:rPr>
        <w:t>。</w:t>
      </w:r>
      <w:r>
        <w:rPr>
          <w:rFonts w:hint="eastAsia" w:ascii="仿宋" w:hAnsi="仿宋" w:eastAsia="仿宋" w:cs="仿宋"/>
          <w:sz w:val="28"/>
          <w:szCs w:val="28"/>
          <w:highlight w:val="none"/>
        </w:rPr>
        <w:t>报告中的数据、案例</w:t>
      </w:r>
      <w:r>
        <w:rPr>
          <w:rFonts w:hint="eastAsia" w:ascii="仿宋" w:hAnsi="仿宋" w:cs="仿宋"/>
          <w:sz w:val="28"/>
          <w:szCs w:val="28"/>
          <w:highlight w:val="none"/>
          <w:lang w:eastAsia="zh-CN"/>
        </w:rPr>
        <w:t>等</w:t>
      </w:r>
      <w:r>
        <w:rPr>
          <w:rFonts w:hint="eastAsia" w:ascii="仿宋" w:hAnsi="仿宋" w:eastAsia="仿宋" w:cs="仿宋"/>
          <w:sz w:val="28"/>
          <w:szCs w:val="28"/>
          <w:highlight w:val="none"/>
        </w:rPr>
        <w:t>来自</w:t>
      </w:r>
      <w:r>
        <w:rPr>
          <w:rFonts w:hint="eastAsia" w:ascii="仿宋" w:hAnsi="仿宋" w:cs="仿宋"/>
          <w:sz w:val="28"/>
          <w:szCs w:val="28"/>
          <w:highlight w:val="none"/>
        </w:rPr>
        <w:t>枣庄市山亭区交通运输局</w:t>
      </w:r>
      <w:r>
        <w:rPr>
          <w:rFonts w:hint="eastAsia" w:ascii="仿宋" w:hAnsi="仿宋" w:eastAsia="仿宋" w:cs="仿宋"/>
          <w:sz w:val="28"/>
          <w:szCs w:val="28"/>
          <w:highlight w:val="none"/>
        </w:rPr>
        <w:t>等提供的项目资料和其他来源可靠的信息渠道。本报告遵循</w:t>
      </w:r>
      <w:r>
        <w:rPr>
          <w:rFonts w:hint="eastAsia" w:ascii="仿宋" w:hAnsi="仿宋" w:cs="仿宋"/>
          <w:sz w:val="28"/>
          <w:szCs w:val="28"/>
          <w:highlight w:val="none"/>
          <w:lang w:val="en-US" w:eastAsia="zh-CN"/>
        </w:rPr>
        <w:t>枣庄市山亭区财政局</w:t>
      </w:r>
      <w:r>
        <w:rPr>
          <w:rFonts w:hint="eastAsia" w:ascii="仿宋" w:hAnsi="仿宋" w:eastAsia="仿宋" w:cs="仿宋"/>
          <w:sz w:val="28"/>
          <w:szCs w:val="28"/>
          <w:highlight w:val="none"/>
        </w:rPr>
        <w:t>有关预算绩效管理的规范要求编制，以纸质印刷版和电子版向</w:t>
      </w:r>
      <w:r>
        <w:rPr>
          <w:rFonts w:hint="eastAsia" w:ascii="仿宋" w:hAnsi="仿宋" w:cs="仿宋"/>
          <w:sz w:val="28"/>
          <w:szCs w:val="28"/>
          <w:highlight w:val="none"/>
          <w:lang w:val="en-US" w:eastAsia="zh-CN"/>
        </w:rPr>
        <w:t>枣庄市山亭区财政局</w:t>
      </w:r>
      <w:r>
        <w:rPr>
          <w:rFonts w:hint="eastAsia" w:ascii="仿宋" w:hAnsi="仿宋" w:eastAsia="仿宋" w:cs="仿宋"/>
          <w:sz w:val="28"/>
          <w:szCs w:val="28"/>
          <w:highlight w:val="none"/>
        </w:rPr>
        <w:t>报送。未经</w:t>
      </w:r>
      <w:r>
        <w:rPr>
          <w:rFonts w:hint="eastAsia" w:ascii="仿宋" w:hAnsi="仿宋" w:cs="仿宋"/>
          <w:sz w:val="28"/>
          <w:szCs w:val="28"/>
          <w:highlight w:val="none"/>
          <w:lang w:val="en-US" w:eastAsia="zh-CN"/>
        </w:rPr>
        <w:t>枣庄市山亭区财政局</w:t>
      </w:r>
      <w:r>
        <w:rPr>
          <w:rFonts w:hint="eastAsia" w:ascii="仿宋" w:hAnsi="仿宋" w:eastAsia="仿宋" w:cs="仿宋"/>
          <w:sz w:val="28"/>
          <w:szCs w:val="28"/>
          <w:highlight w:val="none"/>
        </w:rPr>
        <w:t>书面允许，不得随意翻印、发布。</w:t>
      </w:r>
    </w:p>
    <w:p>
      <w:pPr>
        <w:rPr>
          <w:rFonts w:hint="eastAsia"/>
          <w:lang w:val="en-US" w:eastAsia="zh-CN"/>
        </w:rPr>
      </w:pPr>
    </w:p>
    <w:p>
      <w:pPr>
        <w:rPr>
          <w:rFonts w:hint="eastAsia"/>
          <w:lang w:val="en-US" w:eastAsia="zh-CN"/>
        </w:rPr>
      </w:pPr>
    </w:p>
    <w:p>
      <w:pPr>
        <w:spacing w:line="600" w:lineRule="exact"/>
        <w:rPr>
          <w:rFonts w:hint="eastAsia" w:ascii="黑体" w:hAnsi="黑体" w:eastAsia="黑体"/>
          <w:sz w:val="28"/>
          <w:szCs w:val="28"/>
        </w:rPr>
      </w:pPr>
    </w:p>
    <w:p>
      <w:pPr>
        <w:spacing w:line="600" w:lineRule="exact"/>
        <w:rPr>
          <w:rFonts w:hint="eastAsia" w:ascii="黑体" w:hAnsi="黑体" w:eastAsia="黑体"/>
          <w:sz w:val="28"/>
          <w:szCs w:val="28"/>
          <w:highlight w:val="none"/>
          <w:lang w:val="en-US" w:eastAsia="zh-CN"/>
        </w:rPr>
      </w:pPr>
      <w:r>
        <w:rPr>
          <w:rFonts w:hint="eastAsia" w:ascii="黑体" w:hAnsi="黑体" w:eastAsia="黑体"/>
          <w:sz w:val="28"/>
          <w:szCs w:val="28"/>
        </w:rPr>
        <w:t>报告编号：中景咨字（2021）0207</w:t>
      </w:r>
    </w:p>
    <w:p>
      <w:pPr>
        <w:spacing w:line="600" w:lineRule="exact"/>
        <w:rPr>
          <w:rFonts w:hint="eastAsia" w:ascii="黑体" w:hAnsi="黑体" w:eastAsia="黑体"/>
          <w:sz w:val="28"/>
          <w:szCs w:val="28"/>
          <w:highlight w:val="none"/>
          <w:u w:val="single"/>
          <w:lang w:val="en-US" w:eastAsia="zh-CN"/>
        </w:rPr>
      </w:pPr>
      <w:r>
        <w:rPr>
          <w:rFonts w:hint="eastAsia" w:ascii="黑体" w:hAnsi="黑体" w:eastAsia="黑体"/>
          <w:color w:val="000000" w:themeColor="text1"/>
          <w:sz w:val="28"/>
          <w:szCs w:val="28"/>
          <w:highlight w:val="none"/>
          <w:u w:val="single"/>
          <w14:textFill>
            <w14:solidFill>
              <w14:schemeClr w14:val="tx1"/>
            </w14:solidFill>
          </w14:textFill>
        </w:rPr>
        <w:t>主评人</w:t>
      </w:r>
      <w:r>
        <w:rPr>
          <w:rFonts w:hint="eastAsia" w:ascii="黑体" w:hAnsi="黑体" w:eastAsia="黑体"/>
          <w:sz w:val="28"/>
          <w:szCs w:val="28"/>
          <w:highlight w:val="none"/>
          <w:u w:val="single"/>
        </w:rPr>
        <w:t>：</w:t>
      </w:r>
      <w:r>
        <w:rPr>
          <w:rFonts w:hint="eastAsia" w:ascii="黑体" w:hAnsi="黑体" w:eastAsia="黑体"/>
          <w:sz w:val="28"/>
          <w:szCs w:val="28"/>
          <w:highlight w:val="none"/>
          <w:u w:val="single"/>
          <w:lang w:val="en-US" w:eastAsia="zh-CN"/>
        </w:rPr>
        <w:t xml:space="preserve">刘彬 </w:t>
      </w:r>
      <w:r>
        <w:rPr>
          <w:rFonts w:hint="eastAsia" w:ascii="黑体" w:hAnsi="黑体" w:eastAsia="黑体"/>
          <w:sz w:val="28"/>
          <w:szCs w:val="28"/>
          <w:highlight w:val="none"/>
          <w:u w:val="single"/>
        </w:rPr>
        <w:t>高级项目经理</w:t>
      </w:r>
      <w:r>
        <w:rPr>
          <w:rFonts w:hint="eastAsia" w:ascii="黑体" w:hAnsi="黑体" w:eastAsia="黑体"/>
          <w:sz w:val="28"/>
          <w:szCs w:val="28"/>
          <w:highlight w:val="none"/>
          <w:u w:val="single"/>
          <w:lang w:val="en-US" w:eastAsia="zh-CN"/>
        </w:rPr>
        <w:t xml:space="preserve"> </w:t>
      </w:r>
    </w:p>
    <w:p>
      <w:pPr>
        <w:spacing w:line="600" w:lineRule="exact"/>
        <w:rPr>
          <w:rFonts w:hint="default" w:ascii="黑体" w:hAnsi="黑体" w:eastAsia="黑体"/>
          <w:sz w:val="28"/>
          <w:szCs w:val="28"/>
          <w:highlight w:val="none"/>
          <w:u w:val="single"/>
          <w:lang w:val="en-US" w:eastAsia="zh-CN"/>
        </w:rPr>
      </w:pPr>
      <w:r>
        <w:rPr>
          <w:rFonts w:hint="eastAsia" w:ascii="黑体" w:hAnsi="黑体" w:eastAsia="黑体"/>
          <w:color w:val="000000" w:themeColor="text1"/>
          <w:sz w:val="28"/>
          <w:szCs w:val="28"/>
          <w:highlight w:val="none"/>
          <w:u w:val="single"/>
          <w14:textFill>
            <w14:solidFill>
              <w14:schemeClr w14:val="tx1"/>
            </w14:solidFill>
          </w14:textFill>
        </w:rPr>
        <w:t>参评组</w:t>
      </w:r>
      <w:r>
        <w:rPr>
          <w:rFonts w:hint="eastAsia" w:ascii="黑体" w:hAnsi="黑体" w:eastAsia="黑体"/>
          <w:sz w:val="28"/>
          <w:szCs w:val="28"/>
          <w:highlight w:val="none"/>
          <w:u w:val="single"/>
        </w:rPr>
        <w:t>：</w:t>
      </w:r>
      <w:r>
        <w:rPr>
          <w:rFonts w:hint="eastAsia" w:ascii="黑体" w:hAnsi="黑体" w:eastAsia="黑体"/>
          <w:sz w:val="28"/>
          <w:szCs w:val="28"/>
          <w:highlight w:val="none"/>
          <w:u w:val="single"/>
          <w:lang w:val="en-US" w:eastAsia="zh-CN"/>
        </w:rPr>
        <w:t xml:space="preserve">袁征  </w:t>
      </w:r>
      <w:r>
        <w:rPr>
          <w:rFonts w:hint="eastAsia" w:ascii="黑体" w:hAnsi="黑体" w:eastAsia="黑体"/>
          <w:sz w:val="28"/>
          <w:szCs w:val="28"/>
          <w:highlight w:val="none"/>
          <w:u w:val="single"/>
        </w:rPr>
        <w:t>项目经理</w:t>
      </w:r>
      <w:r>
        <w:rPr>
          <w:rFonts w:hint="eastAsia" w:ascii="黑体" w:hAnsi="黑体" w:eastAsia="黑体"/>
          <w:sz w:val="28"/>
          <w:szCs w:val="28"/>
          <w:highlight w:val="none"/>
          <w:u w:val="single"/>
          <w:lang w:val="en-US" w:eastAsia="zh-CN"/>
        </w:rPr>
        <w:t xml:space="preserve">    </w:t>
      </w:r>
    </w:p>
    <w:p>
      <w:pPr>
        <w:spacing w:line="600" w:lineRule="exact"/>
        <w:ind w:firstLine="1120" w:firstLineChars="400"/>
        <w:rPr>
          <w:rFonts w:hint="eastAsia" w:ascii="黑体" w:hAnsi="黑体" w:eastAsia="黑体"/>
          <w:sz w:val="28"/>
          <w:szCs w:val="28"/>
          <w:highlight w:val="none"/>
          <w:u w:val="single"/>
          <w:lang w:val="en-US" w:eastAsia="zh-CN"/>
        </w:rPr>
      </w:pPr>
      <w:r>
        <w:rPr>
          <w:rFonts w:hint="eastAsia" w:ascii="黑体" w:hAnsi="黑体" w:eastAsia="黑体"/>
          <w:sz w:val="28"/>
          <w:szCs w:val="28"/>
          <w:highlight w:val="none"/>
          <w:u w:val="single"/>
          <w:lang w:val="en-US" w:eastAsia="zh-CN"/>
        </w:rPr>
        <w:t xml:space="preserve">冯桦  </w:t>
      </w:r>
      <w:r>
        <w:rPr>
          <w:rFonts w:hint="eastAsia" w:ascii="黑体" w:hAnsi="黑体" w:eastAsia="黑体"/>
          <w:sz w:val="28"/>
          <w:szCs w:val="28"/>
          <w:highlight w:val="none"/>
          <w:u w:val="single"/>
        </w:rPr>
        <w:t>项目</w:t>
      </w:r>
      <w:r>
        <w:rPr>
          <w:rFonts w:hint="eastAsia" w:ascii="黑体" w:hAnsi="黑体" w:eastAsia="黑体"/>
          <w:sz w:val="28"/>
          <w:szCs w:val="28"/>
          <w:highlight w:val="none"/>
          <w:u w:val="single"/>
          <w:lang w:val="en-US" w:eastAsia="zh-CN"/>
        </w:rPr>
        <w:t xml:space="preserve">助理    </w:t>
      </w:r>
    </w:p>
    <w:p>
      <w:pPr>
        <w:spacing w:line="600" w:lineRule="exact"/>
        <w:rPr>
          <w:rFonts w:hint="default" w:ascii="黑体" w:hAnsi="黑体" w:eastAsia="黑体"/>
          <w:sz w:val="28"/>
          <w:szCs w:val="28"/>
          <w:highlight w:val="none"/>
          <w:u w:val="single"/>
          <w:lang w:val="en-US" w:eastAsia="zh-CN"/>
        </w:rPr>
      </w:pPr>
      <w:r>
        <w:rPr>
          <w:rFonts w:hint="eastAsia" w:ascii="黑体" w:hAnsi="黑体" w:eastAsia="黑体"/>
          <w:sz w:val="28"/>
          <w:szCs w:val="28"/>
          <w:highlight w:val="none"/>
          <w:u w:val="single"/>
        </w:rPr>
        <w:t>质量控制：一级审核</w:t>
      </w:r>
      <w:r>
        <w:rPr>
          <w:rFonts w:hint="eastAsia" w:ascii="黑体" w:hAnsi="黑体" w:eastAsia="黑体"/>
          <w:sz w:val="28"/>
          <w:szCs w:val="28"/>
          <w:highlight w:val="none"/>
          <w:u w:val="single"/>
          <w:lang w:eastAsia="zh-CN"/>
        </w:rPr>
        <w:t>：</w:t>
      </w:r>
      <w:r>
        <w:rPr>
          <w:rFonts w:hint="eastAsia" w:ascii="黑体" w:hAnsi="黑体" w:eastAsia="黑体"/>
          <w:sz w:val="28"/>
          <w:szCs w:val="28"/>
          <w:highlight w:val="none"/>
          <w:u w:val="single"/>
          <w:lang w:val="en-US" w:eastAsia="zh-CN"/>
        </w:rPr>
        <w:t xml:space="preserve">孙天波 </w:t>
      </w:r>
    </w:p>
    <w:p>
      <w:pPr>
        <w:spacing w:line="600" w:lineRule="exact"/>
        <w:rPr>
          <w:rFonts w:hint="eastAsia" w:ascii="黑体" w:hAnsi="黑体" w:eastAsia="黑体"/>
          <w:sz w:val="28"/>
          <w:szCs w:val="28"/>
          <w:highlight w:val="none"/>
          <w:u w:val="single"/>
          <w:lang w:val="en-US" w:eastAsia="zh-CN"/>
        </w:rPr>
      </w:pPr>
      <w:r>
        <w:rPr>
          <w:rFonts w:hint="eastAsia" w:ascii="黑体" w:hAnsi="黑体" w:eastAsia="黑体"/>
          <w:sz w:val="28"/>
          <w:szCs w:val="28"/>
          <w:highlight w:val="none"/>
          <w:u w:val="single"/>
        </w:rPr>
        <w:t xml:space="preserve"> </w:t>
      </w:r>
      <w:r>
        <w:rPr>
          <w:rFonts w:ascii="黑体" w:hAnsi="黑体" w:eastAsia="黑体"/>
          <w:sz w:val="28"/>
          <w:szCs w:val="28"/>
          <w:highlight w:val="none"/>
          <w:u w:val="single"/>
        </w:rPr>
        <w:t xml:space="preserve">         </w:t>
      </w:r>
      <w:r>
        <w:rPr>
          <w:rFonts w:hint="eastAsia" w:ascii="黑体" w:hAnsi="黑体" w:eastAsia="黑体"/>
          <w:sz w:val="28"/>
          <w:szCs w:val="28"/>
          <w:highlight w:val="none"/>
          <w:u w:val="single"/>
        </w:rPr>
        <w:t>二级审核：</w:t>
      </w:r>
      <w:r>
        <w:rPr>
          <w:rFonts w:hint="eastAsia" w:ascii="黑体" w:hAnsi="黑体" w:eastAsia="黑体"/>
          <w:sz w:val="28"/>
          <w:szCs w:val="28"/>
          <w:highlight w:val="none"/>
          <w:u w:val="single"/>
          <w:lang w:val="en-US" w:eastAsia="zh-CN"/>
        </w:rPr>
        <w:t xml:space="preserve">刘丽薇 </w:t>
      </w:r>
    </w:p>
    <w:p>
      <w:pPr>
        <w:spacing w:line="600" w:lineRule="exact"/>
        <w:rPr>
          <w:rFonts w:hint="eastAsia" w:ascii="黑体" w:hAnsi="黑体" w:eastAsia="黑体"/>
          <w:sz w:val="28"/>
          <w:szCs w:val="28"/>
          <w:highlight w:val="none"/>
          <w:u w:val="single"/>
          <w:lang w:val="en-US" w:eastAsia="zh-CN"/>
        </w:rPr>
      </w:pPr>
      <w:r>
        <w:rPr>
          <w:rFonts w:hint="eastAsia" w:ascii="黑体" w:hAnsi="黑体" w:eastAsia="黑体"/>
          <w:sz w:val="28"/>
          <w:szCs w:val="28"/>
          <w:highlight w:val="none"/>
          <w:u w:val="single"/>
        </w:rPr>
        <w:t xml:space="preserve"> </w:t>
      </w:r>
      <w:r>
        <w:rPr>
          <w:rFonts w:ascii="黑体" w:hAnsi="黑体" w:eastAsia="黑体"/>
          <w:sz w:val="28"/>
          <w:szCs w:val="28"/>
          <w:highlight w:val="none"/>
          <w:u w:val="single"/>
        </w:rPr>
        <w:t xml:space="preserve">         </w:t>
      </w:r>
      <w:r>
        <w:rPr>
          <w:rFonts w:hint="eastAsia" w:ascii="黑体" w:hAnsi="黑体" w:eastAsia="黑体"/>
          <w:sz w:val="28"/>
          <w:szCs w:val="28"/>
          <w:highlight w:val="none"/>
          <w:u w:val="single"/>
        </w:rPr>
        <w:t>三级审核：</w:t>
      </w:r>
      <w:r>
        <w:rPr>
          <w:rFonts w:hint="eastAsia" w:ascii="黑体" w:hAnsi="黑体" w:eastAsia="黑体"/>
          <w:sz w:val="28"/>
          <w:szCs w:val="28"/>
          <w:highlight w:val="none"/>
          <w:u w:val="single"/>
          <w:lang w:val="en-US" w:eastAsia="zh-CN"/>
        </w:rPr>
        <w:t xml:space="preserve">李舒月 </w:t>
      </w:r>
    </w:p>
    <w:p>
      <w:pPr>
        <w:spacing w:line="600" w:lineRule="exact"/>
        <w:rPr>
          <w:rFonts w:hint="eastAsia" w:ascii="黑体" w:hAnsi="黑体" w:eastAsia="黑体"/>
          <w:sz w:val="28"/>
          <w:szCs w:val="28"/>
          <w:highlight w:val="none"/>
          <w:u w:val="single"/>
          <w:lang w:val="en-US" w:eastAsia="zh-CN"/>
        </w:rPr>
      </w:pPr>
    </w:p>
    <w:p>
      <w:pPr>
        <w:spacing w:line="600" w:lineRule="exact"/>
        <w:rPr>
          <w:rFonts w:hint="eastAsia" w:ascii="黑体" w:hAnsi="黑体" w:eastAsia="黑体"/>
          <w:sz w:val="28"/>
          <w:szCs w:val="28"/>
          <w:highlight w:val="none"/>
          <w:u w:val="single"/>
          <w:lang w:val="en-US" w:eastAsia="zh-CN"/>
        </w:rPr>
      </w:pPr>
    </w:p>
    <w:p>
      <w:pPr>
        <w:spacing w:line="600" w:lineRule="exact"/>
        <w:rPr>
          <w:rFonts w:hint="eastAsia" w:ascii="黑体" w:hAnsi="黑体" w:eastAsia="黑体"/>
          <w:sz w:val="28"/>
          <w:szCs w:val="28"/>
          <w:highlight w:val="none"/>
          <w:u w:val="single"/>
          <w:lang w:val="en-US" w:eastAsia="zh-CN"/>
        </w:rPr>
      </w:pPr>
    </w:p>
    <w:p>
      <w:pPr>
        <w:spacing w:line="600" w:lineRule="exact"/>
        <w:jc w:val="right"/>
        <w:rPr>
          <w:rFonts w:hint="default" w:ascii="黑体" w:hAnsi="黑体" w:eastAsia="黑体"/>
          <w:sz w:val="28"/>
          <w:szCs w:val="28"/>
          <w:highlight w:val="none"/>
          <w:u w:val="none"/>
          <w:lang w:val="en-US" w:eastAsia="zh-CN"/>
        </w:rPr>
      </w:pPr>
      <w:r>
        <w:rPr>
          <w:rFonts w:hint="eastAsia" w:ascii="黑体" w:hAnsi="黑体" w:eastAsia="黑体"/>
          <w:sz w:val="28"/>
          <w:szCs w:val="28"/>
          <w:highlight w:val="none"/>
          <w:u w:val="none"/>
          <w:lang w:val="en-US" w:eastAsia="zh-CN"/>
        </w:rPr>
        <w:t>中景瑞晟（北京）管理咨询有限公司</w:t>
      </w:r>
    </w:p>
    <w:p>
      <w:pPr>
        <w:pStyle w:val="8"/>
        <w:spacing w:before="5"/>
        <w:rPr>
          <w:rFonts w:ascii="黑体"/>
          <w:sz w:val="26"/>
          <w:highlight w:val="none"/>
        </w:rPr>
        <w:sectPr>
          <w:pgSz w:w="11910" w:h="16840"/>
          <w:pgMar w:top="1440" w:right="1800" w:bottom="1440" w:left="1800" w:header="0" w:footer="1469" w:gutter="0"/>
          <w:cols w:space="720" w:num="1"/>
        </w:sectPr>
      </w:pPr>
    </w:p>
    <w:sdt>
      <w:sdtPr>
        <w:rPr>
          <w:rFonts w:hint="eastAsia" w:ascii="方正小标宋简体" w:hAnsi="方正小标宋简体" w:eastAsia="方正小标宋简体" w:cs="方正小标宋简体"/>
          <w:kern w:val="0"/>
          <w:sz w:val="44"/>
          <w:szCs w:val="44"/>
          <w:lang w:val="en-US" w:eastAsia="zh-CN"/>
        </w:rPr>
        <w:id w:val="147469449"/>
        <w15:color w:val="DBDBDB"/>
        <w:docPartObj>
          <w:docPartGallery w:val="Table of Contents"/>
          <w:docPartUnique/>
        </w:docPartObj>
      </w:sdtPr>
      <w:sdtEndPr>
        <w:rPr>
          <w:rFonts w:hint="eastAsia" w:ascii="仿宋_GB2312" w:hAnsi="仿宋_GB2312" w:eastAsia="仿宋_GB2312" w:cs="仿宋_GB2312"/>
          <w:color w:val="000000"/>
          <w:kern w:val="0"/>
          <w:sz w:val="28"/>
          <w:szCs w:val="28"/>
          <w:highlight w:val="none"/>
          <w:lang w:val="en-US" w:eastAsia="zh-CN"/>
        </w:rPr>
      </w:sdtEndPr>
      <w:sdtContent>
        <w:p>
          <w:pPr>
            <w:jc w:val="center"/>
            <w:rPr>
              <w:rFonts w:hint="eastAsia" w:ascii="方正小标宋简体" w:hAnsi="方正小标宋简体" w:eastAsia="方正小标宋简体" w:cs="方正小标宋简体"/>
              <w:kern w:val="0"/>
              <w:sz w:val="44"/>
              <w:szCs w:val="44"/>
            </w:rPr>
          </w:pPr>
          <w:bookmarkStart w:id="0" w:name="_Toc22934"/>
          <w:bookmarkStart w:id="1" w:name="_Toc24161"/>
          <w:bookmarkStart w:id="2" w:name="_Toc22576"/>
          <w:bookmarkStart w:id="3" w:name="_Toc3091"/>
          <w:bookmarkStart w:id="4" w:name="_Toc8916"/>
          <w:r>
            <w:rPr>
              <w:rFonts w:hint="eastAsia" w:ascii="方正小标宋简体" w:hAnsi="方正小标宋简体" w:eastAsia="方正小标宋简体" w:cs="方正小标宋简体"/>
              <w:kern w:val="0"/>
              <w:sz w:val="44"/>
              <w:szCs w:val="44"/>
            </w:rPr>
            <w:t>目</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录</w:t>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TOC \o "1-2" \h \u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_Toc2733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摘要</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_Toc2733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1</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_Toc2455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正文部分</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_Toc2455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5</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_Toc4599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一、项目基本情况</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_Toc4599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5</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_Toc24944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（一）项目概况</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_Toc24944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_Toc32226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（二）项目绩效目标</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_Toc32226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_Toc319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二、绩效评价工作开展情况</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_Toc319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7</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_Toc12938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（一）绩效评价目的</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_Toc12938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7</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_Toc30457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（二）绩效评价对象和范围</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_Toc30457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_Toc16746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（三）绩效评价原则和方法</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_Toc16746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_Toc30921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（四）绩效评价指标体系</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_Toc30921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_Toc13505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（五）评价人员组成</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_Toc13505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_Toc12358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（六）绩效评价工作过程</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_Toc12358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10</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_Toc10810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三、评价结论和绩效分析</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_Toc10810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11</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_Toc6562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（一）综合评价结论</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_Toc6562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_Toc13323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四、绩效评价指标分析</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_Toc13323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12</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_Toc27042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（一）项目决策情况</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_Toc27042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_Toc15962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（二）项目过程情况</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_Toc15962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14</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_Toc5093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（三）项目产出情况</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_Toc5093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16</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_Toc15262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（四）项目效益情况</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_Toc15262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17</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_Toc8471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五、主要绩效</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_Toc8471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20</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_Toc6577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六、存在问题及建议</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_Toc6577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20</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_Toc14334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（一）项目决策方面</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_Toc14334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20</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_Toc31544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（二）项目过程方面</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_Toc31544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21</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_Toc29658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（三）项目产出方面</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_Toc29658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23</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HYPERLINK \l _Toc11503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（四）项目效益方面</w:t>
          </w:r>
          <w:r>
            <w:rPr>
              <w:rFonts w:hint="eastAsia" w:ascii="仿宋_GB2312" w:hAnsi="仿宋_GB2312" w:eastAsia="仿宋_GB2312" w:cs="仿宋_GB2312"/>
              <w:color w:val="000000"/>
              <w:sz w:val="28"/>
              <w:szCs w:val="28"/>
              <w:highlight w:val="none"/>
              <w:lang w:val="en-US" w:eastAsia="zh-CN"/>
            </w:rPr>
            <w:tab/>
          </w:r>
          <w:r>
            <w:rPr>
              <w:rFonts w:hint="eastAsia" w:ascii="仿宋_GB2312" w:hAnsi="仿宋_GB2312" w:eastAsia="仿宋_GB2312" w:cs="仿宋_GB2312"/>
              <w:color w:val="000000"/>
              <w:sz w:val="28"/>
              <w:szCs w:val="28"/>
              <w:highlight w:val="none"/>
              <w:lang w:val="en-US" w:eastAsia="zh-CN"/>
            </w:rPr>
            <w:fldChar w:fldCharType="begin"/>
          </w:r>
          <w:r>
            <w:rPr>
              <w:rFonts w:hint="eastAsia" w:ascii="仿宋_GB2312" w:hAnsi="仿宋_GB2312" w:eastAsia="仿宋_GB2312" w:cs="仿宋_GB2312"/>
              <w:color w:val="000000"/>
              <w:sz w:val="28"/>
              <w:szCs w:val="28"/>
              <w:highlight w:val="none"/>
              <w:lang w:val="en-US" w:eastAsia="zh-CN"/>
            </w:rPr>
            <w:instrText xml:space="preserve"> PAGEREF _Toc11503 \h </w:instrText>
          </w:r>
          <w:r>
            <w:rPr>
              <w:rFonts w:hint="eastAsia" w:ascii="仿宋_GB2312" w:hAnsi="仿宋_GB2312" w:eastAsia="仿宋_GB2312" w:cs="仿宋_GB2312"/>
              <w:color w:val="000000"/>
              <w:sz w:val="28"/>
              <w:szCs w:val="28"/>
              <w:highlight w:val="none"/>
              <w:lang w:val="en-US" w:eastAsia="zh-CN"/>
            </w:rPr>
            <w:fldChar w:fldCharType="separate"/>
          </w:r>
          <w:r>
            <w:rPr>
              <w:rFonts w:hint="eastAsia" w:ascii="仿宋_GB2312" w:hAnsi="仿宋_GB2312" w:eastAsia="仿宋_GB2312" w:cs="仿宋_GB2312"/>
              <w:color w:val="000000"/>
              <w:sz w:val="28"/>
              <w:szCs w:val="28"/>
              <w:highlight w:val="none"/>
              <w:lang w:val="en-US" w:eastAsia="zh-CN"/>
            </w:rPr>
            <w:t>23</w:t>
          </w:r>
          <w:r>
            <w:rPr>
              <w:rFonts w:hint="eastAsia" w:ascii="仿宋_GB2312" w:hAnsi="仿宋_GB2312" w:eastAsia="仿宋_GB2312" w:cs="仿宋_GB2312"/>
              <w:color w:val="000000"/>
              <w:sz w:val="28"/>
              <w:szCs w:val="28"/>
              <w:highlight w:val="none"/>
              <w:lang w:val="en-US" w:eastAsia="zh-CN"/>
            </w:rPr>
            <w:fldChar w:fldCharType="end"/>
          </w:r>
          <w:r>
            <w:rPr>
              <w:rFonts w:hint="eastAsia" w:ascii="仿宋_GB2312" w:hAnsi="仿宋_GB2312" w:eastAsia="仿宋_GB2312" w:cs="仿宋_GB2312"/>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HYPERLINK \l _Toc6897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七、附件</w:t>
          </w:r>
          <w:r>
            <w:rPr>
              <w:rFonts w:hint="eastAsia" w:ascii="仿宋_GB2312" w:hAnsi="仿宋_GB2312" w:eastAsia="仿宋_GB2312" w:cs="仿宋_GB2312"/>
              <w:b/>
              <w:bCs/>
              <w:color w:val="000000"/>
              <w:sz w:val="28"/>
              <w:szCs w:val="28"/>
              <w:highlight w:val="none"/>
              <w:lang w:val="en-US" w:eastAsia="zh-CN"/>
            </w:rPr>
            <w:tab/>
          </w:r>
          <w:r>
            <w:rPr>
              <w:rFonts w:hint="eastAsia" w:ascii="仿宋_GB2312" w:hAnsi="仿宋_GB2312" w:eastAsia="仿宋_GB2312" w:cs="仿宋_GB2312"/>
              <w:b/>
              <w:bCs/>
              <w:color w:val="000000"/>
              <w:sz w:val="28"/>
              <w:szCs w:val="28"/>
              <w:highlight w:val="none"/>
              <w:lang w:val="en-US" w:eastAsia="zh-CN"/>
            </w:rPr>
            <w:fldChar w:fldCharType="begin"/>
          </w:r>
          <w:r>
            <w:rPr>
              <w:rFonts w:hint="eastAsia" w:ascii="仿宋_GB2312" w:hAnsi="仿宋_GB2312" w:eastAsia="仿宋_GB2312" w:cs="仿宋_GB2312"/>
              <w:b/>
              <w:bCs/>
              <w:color w:val="000000"/>
              <w:sz w:val="28"/>
              <w:szCs w:val="28"/>
              <w:highlight w:val="none"/>
              <w:lang w:val="en-US" w:eastAsia="zh-CN"/>
            </w:rPr>
            <w:instrText xml:space="preserve"> PAGEREF _Toc6897 \h </w:instrText>
          </w:r>
          <w:r>
            <w:rPr>
              <w:rFonts w:hint="eastAsia" w:ascii="仿宋_GB2312" w:hAnsi="仿宋_GB2312" w:eastAsia="仿宋_GB2312" w:cs="仿宋_GB2312"/>
              <w:b/>
              <w:bCs/>
              <w:color w:val="000000"/>
              <w:sz w:val="28"/>
              <w:szCs w:val="28"/>
              <w:highlight w:val="none"/>
              <w:lang w:val="en-US" w:eastAsia="zh-CN"/>
            </w:rPr>
            <w:fldChar w:fldCharType="separate"/>
          </w:r>
          <w:r>
            <w:rPr>
              <w:rFonts w:hint="eastAsia" w:ascii="仿宋_GB2312" w:hAnsi="仿宋_GB2312" w:eastAsia="仿宋_GB2312" w:cs="仿宋_GB2312"/>
              <w:b/>
              <w:bCs/>
              <w:color w:val="000000"/>
              <w:sz w:val="28"/>
              <w:szCs w:val="28"/>
              <w:highlight w:val="none"/>
              <w:lang w:val="en-US" w:eastAsia="zh-CN"/>
            </w:rPr>
            <w:t>24</w:t>
          </w:r>
          <w:r>
            <w:rPr>
              <w:rFonts w:hint="eastAsia" w:ascii="仿宋_GB2312" w:hAnsi="仿宋_GB2312" w:eastAsia="仿宋_GB2312" w:cs="仿宋_GB2312"/>
              <w:b/>
              <w:bCs/>
              <w:color w:val="000000"/>
              <w:sz w:val="28"/>
              <w:szCs w:val="28"/>
              <w:highlight w:val="none"/>
              <w:lang w:val="en-US" w:eastAsia="zh-CN"/>
            </w:rPr>
            <w:fldChar w:fldCharType="end"/>
          </w:r>
          <w:r>
            <w:rPr>
              <w:rFonts w:hint="eastAsia" w:ascii="仿宋_GB2312" w:hAnsi="仿宋_GB2312" w:eastAsia="仿宋_GB2312" w:cs="仿宋_GB2312"/>
              <w:b/>
              <w:bCs/>
              <w:color w:val="000000"/>
              <w:sz w:val="28"/>
              <w:szCs w:val="28"/>
              <w:highlight w:val="none"/>
              <w:lang w:val="en-US" w:eastAsia="zh-CN"/>
            </w:rPr>
            <w:fldChar w:fldCharType="end"/>
          </w:r>
        </w:p>
        <w:p>
          <w:pPr>
            <w:pStyle w:val="23"/>
            <w:keepNext w:val="0"/>
            <w:keepLines w:val="0"/>
            <w:pageBreakBefore w:val="0"/>
            <w:tabs>
              <w:tab w:val="right" w:leader="dot" w:pos="830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fldChar w:fldCharType="end"/>
          </w:r>
        </w:p>
      </w:sdtContent>
    </w:sdt>
    <w:p>
      <w:pPr>
        <w:spacing w:line="580" w:lineRule="exact"/>
        <w:ind w:firstLine="640" w:firstLineChars="200"/>
        <w:rPr>
          <w:rFonts w:hint="eastAsia" w:ascii="仿宋_GB2312" w:eastAsia="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黑体" w:hAnsi="黑体" w:eastAsia="黑体" w:cs="黑体"/>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5" w:name="_Toc6592"/>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0"/>
        <w:rPr>
          <w:rFonts w:hint="eastAsia" w:ascii="黑体" w:hAnsi="黑体" w:eastAsia="黑体" w:cs="黑体"/>
          <w:sz w:val="44"/>
          <w:szCs w:val="44"/>
          <w:highlight w:val="none"/>
          <w:lang w:val="en-US" w:eastAsia="zh-CN"/>
        </w:rPr>
      </w:pPr>
      <w:bookmarkStart w:id="6" w:name="_Toc2733"/>
      <w:r>
        <w:rPr>
          <w:rFonts w:hint="eastAsia" w:ascii="黑体" w:hAnsi="黑体" w:eastAsia="黑体" w:cs="黑体"/>
          <w:sz w:val="44"/>
          <w:szCs w:val="44"/>
          <w:highlight w:val="none"/>
          <w:lang w:val="en-US" w:eastAsia="zh-CN"/>
        </w:rPr>
        <w:t>摘要</w:t>
      </w:r>
      <w:bookmarkEnd w:id="0"/>
      <w:bookmarkEnd w:id="5"/>
      <w:bookmarkEnd w:id="6"/>
    </w:p>
    <w:bookmarkEnd w:id="1"/>
    <w:bookmarkEnd w:id="2"/>
    <w:bookmarkEnd w:id="3"/>
    <w:bookmarkEnd w:id="4"/>
    <w:p>
      <w:pPr>
        <w:widowControl/>
        <w:spacing w:line="580" w:lineRule="exact"/>
        <w:ind w:firstLine="640" w:firstLineChars="200"/>
        <w:jc w:val="center"/>
        <w:rPr>
          <w:rFonts w:ascii="仿宋_GB2312" w:eastAsia="仿宋_GB2312"/>
          <w:color w:val="000000"/>
          <w:sz w:val="32"/>
          <w:szCs w:val="32"/>
          <w:highlight w:val="none"/>
        </w:rPr>
      </w:pPr>
      <w:bookmarkStart w:id="7" w:name="_Toc20968"/>
    </w:p>
    <w:p>
      <w:pPr>
        <w:pStyle w:val="21"/>
        <w:adjustRightInd w:val="0"/>
        <w:snapToGrid w:val="0"/>
        <w:spacing w:line="580" w:lineRule="exact"/>
        <w:ind w:firstLine="640" w:firstLineChars="200"/>
        <w:rPr>
          <w:rFonts w:hint="eastAsia" w:ascii="仿宋_GB2312" w:eastAsia="仿宋_GB2312"/>
          <w:color w:val="000000"/>
          <w:sz w:val="32"/>
          <w:szCs w:val="32"/>
          <w:highlight w:val="yellow"/>
          <w:lang w:val="en-US" w:eastAsia="zh-CN"/>
        </w:rPr>
      </w:pPr>
      <w:r>
        <w:rPr>
          <w:rFonts w:hint="eastAsia" w:ascii="仿宋_GB2312" w:hAnsi="仿宋_GB2312" w:eastAsia="仿宋_GB2312" w:cs="仿宋_GB2312"/>
          <w:kern w:val="0"/>
          <w:sz w:val="32"/>
          <w:szCs w:val="32"/>
        </w:rPr>
        <w:t>为切实推进环城绿道提升工程建设，努力打造宜居宜业生态环境，</w:t>
      </w:r>
      <w:r>
        <w:rPr>
          <w:rFonts w:hint="eastAsia" w:ascii="仿宋_GB2312" w:hAnsi="仿宋_GB2312" w:eastAsia="仿宋_GB2312" w:cs="仿宋_GB2312"/>
          <w:kern w:val="0"/>
          <w:sz w:val="32"/>
          <w:szCs w:val="32"/>
          <w:lang w:val="en-US" w:eastAsia="zh-CN"/>
        </w:rPr>
        <w:t>山亭区委区政府</w:t>
      </w:r>
      <w:r>
        <w:rPr>
          <w:rFonts w:hint="eastAsia" w:ascii="仿宋_GB2312" w:hAnsi="仿宋_GB2312" w:eastAsia="仿宋_GB2312" w:cs="仿宋_GB2312"/>
          <w:kern w:val="0"/>
          <w:sz w:val="32"/>
          <w:szCs w:val="32"/>
        </w:rPr>
        <w:t>以习近平新时代中国特色社会主义思想为指导，认真践行“绿水青山就是金山银山”的理念，结合</w:t>
      </w:r>
      <w:r>
        <w:rPr>
          <w:rFonts w:hint="eastAsia" w:ascii="仿宋_GB2312" w:hAnsi="仿宋_GB2312" w:eastAsia="仿宋_GB2312" w:cs="仿宋_GB2312"/>
          <w:kern w:val="0"/>
          <w:sz w:val="32"/>
          <w:szCs w:val="32"/>
          <w:lang w:val="en-US" w:eastAsia="zh-CN"/>
        </w:rPr>
        <w:t>山亭区</w:t>
      </w:r>
      <w:r>
        <w:rPr>
          <w:rFonts w:hint="eastAsia" w:ascii="仿宋_GB2312" w:hAnsi="仿宋_GB2312" w:eastAsia="仿宋_GB2312" w:cs="仿宋_GB2312"/>
          <w:kern w:val="0"/>
          <w:sz w:val="32"/>
          <w:szCs w:val="32"/>
        </w:rPr>
        <w:t>实际，突出山亭绿道特色，体现地域特点，</w:t>
      </w:r>
      <w:r>
        <w:rPr>
          <w:rFonts w:hint="eastAsia" w:ascii="仿宋_GB2312" w:hAnsi="仿宋_GB2312" w:eastAsia="仿宋_GB2312" w:cs="仿宋_GB2312"/>
          <w:kern w:val="0"/>
          <w:sz w:val="32"/>
          <w:szCs w:val="32"/>
          <w:lang w:val="en-US" w:eastAsia="zh-CN"/>
        </w:rPr>
        <w:t>研究</w:t>
      </w:r>
      <w:r>
        <w:rPr>
          <w:rFonts w:hint="eastAsia" w:ascii="仿宋_GB2312" w:hAnsi="仿宋_GB2312" w:eastAsia="仿宋_GB2312" w:cs="仿宋_GB2312"/>
          <w:kern w:val="0"/>
          <w:sz w:val="32"/>
          <w:szCs w:val="32"/>
        </w:rPr>
        <w:t>制定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2019年山亭区环城绿道提升工程实施方案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山亭区“四好农村路”三年集中攻坚专项行动实施方案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山政办发〔20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〕31号</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着力优化绿道布局、提升绿化彩化水平，努力构筑森林生态圈，为建设自然生态宜居宜业新山亭提供有力的森林生态支撑。</w:t>
      </w:r>
      <w:r>
        <w:rPr>
          <w:rFonts w:hint="eastAsia" w:ascii="仿宋_GB2312" w:hAnsi="仿宋_GB2312" w:eastAsia="仿宋_GB2312" w:cs="仿宋_GB2312"/>
          <w:kern w:val="0"/>
          <w:sz w:val="32"/>
          <w:szCs w:val="32"/>
          <w:lang w:val="en-US" w:eastAsia="zh-CN"/>
        </w:rPr>
        <w:t>就道路</w:t>
      </w:r>
      <w:r>
        <w:rPr>
          <w:rFonts w:hint="eastAsia" w:ascii="仿宋_GB2312" w:eastAsia="仿宋_GB2312"/>
          <w:b w:val="0"/>
          <w:bCs w:val="0"/>
          <w:sz w:val="32"/>
          <w:szCs w:val="32"/>
          <w:highlight w:val="none"/>
          <w:lang w:val="en-US" w:eastAsia="zh-CN"/>
        </w:rPr>
        <w:t>新建、改建和扩建</w:t>
      </w:r>
      <w:r>
        <w:rPr>
          <w:rFonts w:hint="eastAsia" w:ascii="仿宋_GB2312" w:hAnsi="仿宋_GB2312" w:eastAsia="仿宋_GB2312" w:cs="仿宋_GB2312"/>
          <w:kern w:val="0"/>
          <w:sz w:val="32"/>
          <w:szCs w:val="32"/>
          <w:lang w:val="en-US" w:eastAsia="zh-CN"/>
        </w:rPr>
        <w:t>方面</w:t>
      </w:r>
      <w:r>
        <w:rPr>
          <w:rFonts w:hint="eastAsia" w:ascii="仿宋_GB2312" w:hAnsi="仿宋" w:eastAsia="仿宋_GB2312" w:cs="仿宋"/>
          <w:color w:val="auto"/>
          <w:sz w:val="32"/>
          <w:szCs w:val="32"/>
          <w:highlight w:val="none"/>
        </w:rPr>
        <w:t>山亭区财政局安排财政资金共计</w:t>
      </w:r>
      <w:r>
        <w:rPr>
          <w:rFonts w:hint="eastAsia" w:ascii="仿宋_GB2312" w:hAnsi="仿宋" w:eastAsia="仿宋_GB2312" w:cs="仿宋"/>
          <w:color w:val="auto"/>
          <w:sz w:val="32"/>
          <w:szCs w:val="32"/>
          <w:highlight w:val="none"/>
          <w:lang w:eastAsia="zh-CN"/>
        </w:rPr>
        <w:t>3</w:t>
      </w:r>
      <w:r>
        <w:rPr>
          <w:rFonts w:hint="eastAsia" w:ascii="仿宋_GB2312" w:hAnsi="仿宋" w:eastAsia="仿宋_GB2312" w:cs="仿宋"/>
          <w:color w:val="auto"/>
          <w:sz w:val="32"/>
          <w:szCs w:val="32"/>
          <w:highlight w:val="none"/>
          <w:lang w:val="en-US" w:eastAsia="zh-CN"/>
        </w:rPr>
        <w:t>454.46</w:t>
      </w:r>
      <w:r>
        <w:rPr>
          <w:rFonts w:hint="eastAsia" w:ascii="仿宋_GB2312" w:hAnsi="仿宋" w:eastAsia="仿宋_GB2312" w:cs="仿宋"/>
          <w:color w:val="auto"/>
          <w:sz w:val="32"/>
          <w:szCs w:val="32"/>
          <w:highlight w:val="none"/>
        </w:rPr>
        <w:t>万元，</w:t>
      </w:r>
      <w:r>
        <w:rPr>
          <w:rFonts w:hint="eastAsia" w:ascii="仿宋_GB2312" w:hAnsi="仿宋" w:eastAsia="仿宋_GB2312" w:cs="仿宋"/>
          <w:color w:val="auto"/>
          <w:sz w:val="32"/>
          <w:szCs w:val="32"/>
          <w:highlight w:val="none"/>
          <w:lang w:val="en-US" w:eastAsia="zh-CN"/>
        </w:rPr>
        <w:t>分别用于山亭区环城绿道提升工程1686.9万元和</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1767.56万元</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目前</w:t>
      </w:r>
      <w:r>
        <w:rPr>
          <w:rFonts w:hint="eastAsia" w:ascii="仿宋_GB2312" w:eastAsia="仿宋_GB2312"/>
          <w:b w:val="0"/>
          <w:bCs w:val="0"/>
          <w:sz w:val="32"/>
          <w:szCs w:val="32"/>
          <w:highlight w:val="none"/>
          <w:lang w:val="en-US" w:eastAsia="zh-CN"/>
        </w:rPr>
        <w:t>山亭区环城绿道提升工程涉及青龙绿道(环城绿道的一部分）的新建、改建和扩建，已完成工作量总长度48.7公里，其中，绿道新建5.5公里，现有绿道扩宽后铺设7.7公里，现有绿道路面直接铺设19.06公里，现有绿道路面修缮后铺设5.14公里，现有绿道直接划线彩化11.3公里；</w:t>
      </w:r>
      <w:r>
        <w:rPr>
          <w:rFonts w:hint="eastAsia" w:ascii="仿宋_GB2312" w:hAnsi="仿宋" w:eastAsia="仿宋_GB2312" w:cs="仿宋"/>
          <w:color w:val="auto"/>
          <w:sz w:val="32"/>
          <w:szCs w:val="32"/>
          <w:highlight w:val="none"/>
          <w:lang w:val="en-US" w:eastAsia="zh-CN"/>
        </w:rPr>
        <w:t>北</w:t>
      </w:r>
      <w:r>
        <w:rPr>
          <w:rFonts w:hint="eastAsia" w:ascii="仿宋_GB2312" w:hAnsi="仿宋" w:eastAsia="仿宋_GB2312" w:cs="仿宋"/>
          <w:color w:val="auto"/>
          <w:sz w:val="32"/>
          <w:szCs w:val="32"/>
          <w:highlight w:val="none"/>
        </w:rPr>
        <w:t>外环绿道建设工程</w:t>
      </w:r>
      <w:r>
        <w:rPr>
          <w:rFonts w:hint="eastAsia" w:ascii="仿宋_GB2312" w:hAnsi="仿宋" w:eastAsia="仿宋_GB2312" w:cs="仿宋"/>
          <w:color w:val="auto"/>
          <w:sz w:val="32"/>
          <w:szCs w:val="32"/>
          <w:highlight w:val="none"/>
          <w:lang w:val="en-US" w:eastAsia="zh-CN"/>
        </w:rPr>
        <w:t>完成路面改建4.8公里。项目实施后为山亭区乡村振兴提供了交通基础</w:t>
      </w:r>
      <w:r>
        <w:rPr>
          <w:rFonts w:hint="eastAsia" w:ascii="仿宋_GB2312" w:eastAsia="仿宋_GB2312"/>
          <w:b w:val="0"/>
          <w:bCs w:val="0"/>
          <w:sz w:val="32"/>
          <w:szCs w:val="32"/>
          <w:highlight w:val="none"/>
          <w:lang w:val="en-US" w:eastAsia="zh-CN"/>
        </w:rPr>
        <w:t>。</w:t>
      </w:r>
    </w:p>
    <w:p>
      <w:pPr>
        <w:ind w:firstLine="643" w:firstLineChars="200"/>
        <w:rPr>
          <w:rFonts w:hint="default" w:ascii="仿宋_GB2312" w:eastAsia="仿宋_GB2312"/>
          <w:sz w:val="32"/>
          <w:szCs w:val="32"/>
          <w:highlight w:val="none"/>
          <w:lang w:val="en-US" w:eastAsia="zh-CN"/>
        </w:rPr>
      </w:pPr>
      <w:r>
        <w:rPr>
          <w:rFonts w:hint="eastAsia" w:ascii="仿宋_GB2312" w:hAnsi="仿宋_GB2312" w:eastAsia="仿宋_GB2312" w:cs="Times New Roman"/>
          <w:b/>
          <w:bCs/>
          <w:sz w:val="32"/>
          <w:highlight w:val="none"/>
        </w:rPr>
        <w:t>综合评价认定，</w:t>
      </w:r>
      <w:r>
        <w:rPr>
          <w:rFonts w:hint="eastAsia" w:ascii="仿宋_GB2312" w:hAnsi="仿宋" w:eastAsia="仿宋_GB2312" w:cs="仿宋"/>
          <w:color w:val="auto"/>
          <w:sz w:val="32"/>
          <w:szCs w:val="32"/>
          <w:highlight w:val="none"/>
          <w:lang w:val="en-US" w:eastAsia="zh-CN"/>
        </w:rPr>
        <w:t>枣庄市山亭区2020年环城绿道提升工程和</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绩效评价</w:t>
      </w:r>
      <w:r>
        <w:rPr>
          <w:rFonts w:hint="eastAsia" w:ascii="仿宋_GB2312" w:eastAsia="仿宋_GB2312"/>
          <w:sz w:val="32"/>
          <w:szCs w:val="32"/>
          <w:highlight w:val="none"/>
          <w:lang w:val="en-US" w:eastAsia="zh-CN"/>
        </w:rPr>
        <w:t>综合得分为85.3分，评价等级为“良”。综合评价认为，项目决策依据基本充分，管理机制健全完备，资金使用合规，项目整体运行情况良好，</w:t>
      </w:r>
      <w:r>
        <w:rPr>
          <w:rFonts w:hint="default" w:ascii="仿宋_GB2312" w:eastAsia="仿宋_GB2312"/>
          <w:sz w:val="32"/>
          <w:szCs w:val="32"/>
          <w:highlight w:val="none"/>
          <w:lang w:val="en-US" w:eastAsia="zh-CN"/>
        </w:rPr>
        <w:t>但</w:t>
      </w:r>
      <w:r>
        <w:rPr>
          <w:rFonts w:hint="eastAsia" w:ascii="仿宋_GB2312" w:eastAsia="仿宋_GB2312"/>
          <w:sz w:val="32"/>
          <w:szCs w:val="32"/>
          <w:highlight w:val="none"/>
          <w:lang w:val="en-US" w:eastAsia="zh-CN"/>
        </w:rPr>
        <w:t>同时</w:t>
      </w:r>
      <w:r>
        <w:rPr>
          <w:rFonts w:hint="default" w:ascii="仿宋_GB2312" w:eastAsia="仿宋_GB2312"/>
          <w:sz w:val="32"/>
          <w:szCs w:val="32"/>
          <w:highlight w:val="none"/>
          <w:lang w:val="en-US" w:eastAsia="zh-CN"/>
        </w:rPr>
        <w:t>存在</w:t>
      </w:r>
      <w:r>
        <w:rPr>
          <w:rFonts w:hint="eastAsia" w:ascii="仿宋_GB2312" w:eastAsia="仿宋_GB2312"/>
          <w:sz w:val="32"/>
          <w:szCs w:val="32"/>
          <w:highlight w:val="none"/>
          <w:lang w:val="en-US" w:eastAsia="zh-CN"/>
        </w:rPr>
        <w:t>管理</w:t>
      </w:r>
      <w:r>
        <w:rPr>
          <w:rFonts w:hint="default" w:ascii="仿宋_GB2312" w:eastAsia="仿宋_GB2312"/>
          <w:sz w:val="32"/>
          <w:szCs w:val="32"/>
          <w:highlight w:val="none"/>
          <w:lang w:val="en-US" w:eastAsia="zh-CN"/>
        </w:rPr>
        <w:t>制度落实不到位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项目</w:t>
      </w:r>
      <w:r>
        <w:rPr>
          <w:rFonts w:hint="eastAsia" w:ascii="仿宋_GB2312" w:eastAsia="仿宋_GB2312"/>
          <w:sz w:val="32"/>
          <w:szCs w:val="32"/>
          <w:highlight w:val="none"/>
          <w:lang w:val="en-US" w:eastAsia="zh-CN"/>
        </w:rPr>
        <w:t>完成及时率不高，部分</w:t>
      </w:r>
      <w:r>
        <w:rPr>
          <w:rFonts w:hint="default" w:ascii="仿宋_GB2312" w:eastAsia="仿宋_GB2312"/>
          <w:sz w:val="32"/>
          <w:szCs w:val="32"/>
          <w:highlight w:val="none"/>
          <w:lang w:val="en-US" w:eastAsia="zh-CN"/>
        </w:rPr>
        <w:t>项目效益未</w:t>
      </w:r>
      <w:r>
        <w:rPr>
          <w:rFonts w:hint="eastAsia" w:ascii="仿宋_GB2312" w:eastAsia="仿宋_GB2312"/>
          <w:sz w:val="32"/>
          <w:szCs w:val="32"/>
          <w:highlight w:val="none"/>
          <w:lang w:val="en-US" w:eastAsia="zh-CN"/>
        </w:rPr>
        <w:t>显现</w:t>
      </w:r>
      <w:r>
        <w:rPr>
          <w:rFonts w:hint="default" w:ascii="仿宋_GB2312" w:eastAsia="仿宋_GB2312"/>
          <w:sz w:val="32"/>
          <w:szCs w:val="32"/>
          <w:highlight w:val="none"/>
          <w:lang w:val="en-US" w:eastAsia="zh-CN"/>
        </w:rPr>
        <w:t>，后期维护管理机制不够健全等问题。</w:t>
      </w:r>
    </w:p>
    <w:p>
      <w:pPr>
        <w:spacing w:line="580" w:lineRule="exact"/>
        <w:ind w:firstLine="643" w:firstLineChars="200"/>
        <w:rPr>
          <w:rFonts w:hint="default" w:ascii="仿宋_GB2312" w:eastAsia="仿宋_GB2312"/>
          <w:color w:val="000000"/>
          <w:sz w:val="32"/>
          <w:szCs w:val="32"/>
          <w:highlight w:val="none"/>
          <w:lang w:val="en-US" w:eastAsia="zh-CN"/>
        </w:rPr>
      </w:pPr>
      <w:r>
        <w:rPr>
          <w:rFonts w:hint="eastAsia" w:ascii="仿宋_GB2312" w:hAnsi="仿宋_GB2312" w:eastAsia="仿宋_GB2312" w:cs="Times New Roman"/>
          <w:b/>
          <w:bCs/>
          <w:kern w:val="2"/>
          <w:sz w:val="32"/>
          <w:szCs w:val="22"/>
          <w:highlight w:val="none"/>
          <w:lang w:val="en-US" w:eastAsia="zh-CN" w:bidi="ar-SA"/>
        </w:rPr>
        <w:t>存在问题及建议:</w:t>
      </w:r>
      <w:r>
        <w:rPr>
          <w:rFonts w:hint="eastAsia" w:ascii="仿宋_GB2312" w:eastAsia="仿宋_GB2312"/>
          <w:b/>
          <w:bCs/>
          <w:color w:val="000000"/>
          <w:sz w:val="32"/>
          <w:szCs w:val="32"/>
          <w:highlight w:val="none"/>
          <w:lang w:val="en-US" w:eastAsia="zh-CN"/>
        </w:rPr>
        <w:t>1.立项手续不完善。</w:t>
      </w:r>
      <w:r>
        <w:rPr>
          <w:rFonts w:hint="eastAsia" w:ascii="仿宋_GB2312" w:eastAsia="仿宋_GB2312"/>
          <w:color w:val="000000"/>
          <w:sz w:val="32"/>
          <w:szCs w:val="32"/>
          <w:highlight w:val="none"/>
          <w:lang w:val="en-US" w:eastAsia="zh-CN"/>
        </w:rPr>
        <w:t>环城绿道提升工程未见申报、批复、可行性研究报告等资料。建议今后主管部门严格按照相关法律法规和政策规定执行项目立项程序，委托专业机构对项目的可行性进行科学合理的分析预测，并提交发改等相关部门研究批复。</w:t>
      </w:r>
      <w:r>
        <w:rPr>
          <w:rFonts w:hint="eastAsia" w:ascii="仿宋_GB2312" w:eastAsia="仿宋_GB2312"/>
          <w:b/>
          <w:bCs/>
          <w:color w:val="000000"/>
          <w:sz w:val="32"/>
          <w:szCs w:val="32"/>
          <w:highlight w:val="none"/>
          <w:lang w:val="en-US" w:eastAsia="zh-CN"/>
        </w:rPr>
        <w:t>2.项目绩效目标设定未细化。</w:t>
      </w:r>
      <w:r>
        <w:rPr>
          <w:rFonts w:hint="eastAsia" w:ascii="仿宋_GB2312" w:eastAsia="仿宋_GB2312"/>
          <w:color w:val="000000"/>
          <w:sz w:val="32"/>
          <w:szCs w:val="32"/>
          <w:highlight w:val="none"/>
          <w:lang w:val="en-US" w:eastAsia="zh-CN"/>
        </w:rPr>
        <w:t>北外环绿道建设工程和环城绿道提升工程项目绩效目标均未细化分解至具体的绩效指标，且不可以通过清晰、可衡量的指标值予以体现；两个项目绩效目标中成本指标中均采用个别子项的单位成本作为指标，不能与数量指标对应，也不能全面反映项目单位成本；满意度指标两个项目均选择“社会公众满意度”和“项目区群众满意度”两个存在重叠的人群设置满意度指标值。绩效目标与年度计划和预算不匹配。建议加强学习相关绩效政策文件，提高绩效目标编制水平，科学设定项目的绩效指标，提高目标对于项目的引领作用。绩效目标的设置要明确、清晰，具有可考核性。</w:t>
      </w:r>
      <w:r>
        <w:rPr>
          <w:rFonts w:hint="eastAsia" w:ascii="仿宋_GB2312" w:eastAsia="仿宋_GB2312"/>
          <w:b/>
          <w:bCs/>
          <w:color w:val="000000"/>
          <w:sz w:val="32"/>
          <w:szCs w:val="32"/>
          <w:highlight w:val="none"/>
          <w:lang w:val="en-US" w:eastAsia="zh-CN"/>
        </w:rPr>
        <w:t>3.阶段性资金拨付均未进行阶段性验收。</w:t>
      </w:r>
      <w:r>
        <w:rPr>
          <w:rFonts w:hint="eastAsia" w:ascii="仿宋_GB2312" w:eastAsia="仿宋_GB2312"/>
          <w:sz w:val="32"/>
          <w:szCs w:val="32"/>
          <w:highlight w:val="none"/>
          <w:lang w:val="en-US" w:eastAsia="zh-CN"/>
        </w:rPr>
        <w:t>两个项目按照合同约定支付项目进度款时，申请拨付手续中均缺少阶段性验收报告。</w:t>
      </w:r>
      <w:r>
        <w:rPr>
          <w:rFonts w:hint="eastAsia" w:ascii="仿宋_GB2312" w:eastAsia="仿宋_GB2312"/>
          <w:color w:val="000000"/>
          <w:sz w:val="32"/>
          <w:szCs w:val="32"/>
          <w:highlight w:val="none"/>
          <w:lang w:val="en-US" w:eastAsia="zh-CN"/>
        </w:rPr>
        <w:t>建议主管部门严格按照相关法律法规规范验收程序。</w:t>
      </w:r>
      <w:r>
        <w:rPr>
          <w:rFonts w:hint="eastAsia" w:ascii="仿宋_GB2312" w:eastAsia="仿宋_GB2312"/>
          <w:b/>
          <w:bCs/>
          <w:color w:val="000000"/>
          <w:sz w:val="32"/>
          <w:szCs w:val="32"/>
          <w:highlight w:val="none"/>
          <w:lang w:val="en-US" w:eastAsia="zh-CN"/>
        </w:rPr>
        <w:t>4.已建立的管理制度不够具体，存在漏洞；部分制度实际执行不规范。</w:t>
      </w:r>
      <w:r>
        <w:rPr>
          <w:rFonts w:hint="eastAsia" w:ascii="仿宋_GB2312" w:eastAsia="仿宋_GB2312"/>
          <w:sz w:val="32"/>
          <w:szCs w:val="32"/>
          <w:highlight w:val="none"/>
          <w:lang w:val="en-US" w:eastAsia="zh-CN"/>
        </w:rPr>
        <w:t>（1）制度执行不规范，山亭区交通运输局作为项目建设单位没有过程监督检查资料，例如：施工期间停工无申请审批依据。（2）项目调整不规范，</w:t>
      </w:r>
      <w:r>
        <w:rPr>
          <w:rFonts w:hint="eastAsia" w:ascii="仿宋_GB2312" w:hAnsi="仿宋" w:eastAsia="仿宋_GB2312" w:cs="仿宋"/>
          <w:color w:val="auto"/>
          <w:sz w:val="32"/>
          <w:szCs w:val="32"/>
          <w:highlight w:val="none"/>
        </w:rPr>
        <w:t>北外环绿道建设工程项目</w:t>
      </w:r>
      <w:r>
        <w:rPr>
          <w:rFonts w:hint="eastAsia" w:ascii="仿宋_GB2312" w:eastAsia="仿宋_GB2312"/>
          <w:sz w:val="32"/>
          <w:szCs w:val="32"/>
          <w:highlight w:val="none"/>
          <w:lang w:val="en-US" w:eastAsia="zh-CN"/>
        </w:rPr>
        <w:t>StreetPrint模压彩绘路面14400㎡，单价145.32元/㎡，单项金额209.26万元，该项内容已取消，但未见项目调整手续、绩效目标调整手续和预算变更手续。（3）档案管理不规范，未进行分档分项存放。（4）部分制度内容不够具体。此外缺少项目支出绩效管理办法、绩效目标填报管理办法等。</w:t>
      </w:r>
      <w:r>
        <w:rPr>
          <w:rFonts w:hint="eastAsia" w:ascii="仿宋_GB2312" w:eastAsia="仿宋_GB2312"/>
          <w:color w:val="000000"/>
          <w:sz w:val="32"/>
          <w:szCs w:val="32"/>
          <w:highlight w:val="none"/>
          <w:lang w:val="en-US" w:eastAsia="zh-CN"/>
        </w:rPr>
        <w:t>建议建立健全相关必要的管理制度，严格规范项目监管，主管部门需定期对项目开展督导检查工作，建立台账，将项目管理情况与奖惩和资源配置相结合，加强责任部门问责，从严审核把关、从严加强监督、从严追究责任。</w:t>
      </w:r>
      <w:r>
        <w:rPr>
          <w:rFonts w:hint="eastAsia" w:ascii="仿宋_GB2312" w:eastAsia="仿宋_GB2312"/>
          <w:b/>
          <w:bCs/>
          <w:color w:val="000000"/>
          <w:sz w:val="32"/>
          <w:szCs w:val="32"/>
          <w:highlight w:val="none"/>
          <w:lang w:val="en-US" w:eastAsia="zh-CN"/>
        </w:rPr>
        <w:t>5.项目完成及时率差，项目实施进度待加快。</w:t>
      </w:r>
      <w:r>
        <w:rPr>
          <w:rFonts w:hint="eastAsia" w:ascii="仿宋_GB2312" w:hAnsi="仿宋" w:eastAsia="仿宋_GB2312" w:cs="仿宋"/>
          <w:color w:val="auto"/>
          <w:sz w:val="32"/>
          <w:szCs w:val="32"/>
          <w:highlight w:val="none"/>
          <w:lang w:val="en-US" w:eastAsia="zh-CN"/>
        </w:rPr>
        <w:t>绩效目标申报完工时间为2020年6月，</w:t>
      </w:r>
      <w:r>
        <w:rPr>
          <w:rFonts w:hint="eastAsia" w:ascii="仿宋_GB2312" w:eastAsia="仿宋_GB2312"/>
          <w:sz w:val="32"/>
          <w:szCs w:val="32"/>
          <w:highlight w:val="none"/>
          <w:lang w:val="en-US" w:eastAsia="zh-CN"/>
        </w:rPr>
        <w:t>截至评价日项目未全面竣工验收</w:t>
      </w:r>
      <w:r>
        <w:rPr>
          <w:rFonts w:hint="eastAsia" w:ascii="仿宋_GB2312" w:eastAsia="仿宋_GB2312"/>
          <w:color w:val="000000"/>
          <w:sz w:val="32"/>
          <w:szCs w:val="32"/>
          <w:highlight w:val="none"/>
          <w:lang w:val="en-US" w:eastAsia="zh-CN"/>
        </w:rPr>
        <w:t>。建议</w:t>
      </w:r>
      <w:r>
        <w:rPr>
          <w:rFonts w:hint="eastAsia" w:ascii="仿宋_GB2312" w:hAnsi="仿宋_GB2312" w:eastAsia="仿宋_GB2312" w:cs="Times New Roman"/>
          <w:b w:val="0"/>
          <w:bCs w:val="0"/>
          <w:sz w:val="32"/>
          <w:lang w:val="en-US" w:eastAsia="zh-CN"/>
        </w:rPr>
        <w:t>主管部门（单位）</w:t>
      </w:r>
      <w:r>
        <w:rPr>
          <w:rFonts w:hint="eastAsia" w:ascii="仿宋_GB2312" w:eastAsia="仿宋_GB2312"/>
          <w:color w:val="000000"/>
          <w:sz w:val="32"/>
          <w:szCs w:val="32"/>
          <w:highlight w:val="none"/>
          <w:lang w:val="en-US" w:eastAsia="zh-CN"/>
        </w:rPr>
        <w:t>提前谋划、安排部署来年任务，协调各方力量，加快落实工程前期各项工作。实施绩效运行监控制度，对绩效目标实现程度（工程进度）和资金支付进度实行“双监控”，及时发现偏差并及时纠偏，对存在施工进度滞后等问题的项目，及时督导项目进度情况，确保绩效目标如期保质保量实现。</w:t>
      </w:r>
      <w:r>
        <w:rPr>
          <w:rFonts w:hint="eastAsia" w:ascii="仿宋_GB2312" w:eastAsia="仿宋_GB2312"/>
          <w:b/>
          <w:bCs/>
          <w:color w:val="000000"/>
          <w:sz w:val="32"/>
          <w:szCs w:val="32"/>
          <w:highlight w:val="none"/>
          <w:lang w:val="en-US" w:eastAsia="zh-CN"/>
        </w:rPr>
        <w:t>6.部分工程项目需要进行整修。</w:t>
      </w:r>
      <w:r>
        <w:rPr>
          <w:rFonts w:hint="eastAsia" w:ascii="仿宋_GB2312" w:eastAsia="仿宋_GB2312"/>
          <w:b w:val="0"/>
          <w:bCs w:val="0"/>
          <w:color w:val="000000"/>
          <w:sz w:val="32"/>
          <w:szCs w:val="32"/>
          <w:highlight w:val="none"/>
          <w:lang w:val="en-US" w:eastAsia="zh-CN"/>
        </w:rPr>
        <w:t>由于两个工程尚未交工，应对存在的路面裂痕、部分道路路口沉陷进行及时修复。</w:t>
      </w:r>
      <w:r>
        <w:rPr>
          <w:rFonts w:hint="eastAsia" w:ascii="仿宋_GB2312" w:eastAsia="仿宋_GB2312"/>
          <w:color w:val="000000"/>
          <w:sz w:val="32"/>
          <w:szCs w:val="32"/>
          <w:highlight w:val="none"/>
          <w:lang w:val="en-US" w:eastAsia="zh-CN"/>
        </w:rPr>
        <w:t>建议优选监理单位，推行责任追究制度，从源头上避免质量瑕疵事项的发生；加强对施工过程强制性审查和技术性审查，重视工程验收质量；进一步明确过失方，由于项目单位施工的过失引起质量瑕疵，施工单位应当承担相应的责任和费用。</w:t>
      </w:r>
      <w:r>
        <w:rPr>
          <w:rFonts w:hint="eastAsia" w:ascii="仿宋_GB2312" w:eastAsia="仿宋_GB2312"/>
          <w:b/>
          <w:bCs/>
          <w:color w:val="000000"/>
          <w:sz w:val="32"/>
          <w:szCs w:val="32"/>
          <w:highlight w:val="none"/>
          <w:lang w:val="en-US" w:eastAsia="zh-CN"/>
        </w:rPr>
        <w:t>7.部分项目效益未显现。</w:t>
      </w:r>
      <w:r>
        <w:rPr>
          <w:rFonts w:hint="eastAsia" w:ascii="仿宋_GB2312" w:eastAsia="仿宋_GB2312"/>
          <w:b w:val="0"/>
          <w:bCs w:val="0"/>
          <w:sz w:val="32"/>
          <w:szCs w:val="32"/>
          <w:highlight w:val="none"/>
          <w:lang w:val="en-US" w:eastAsia="zh-CN"/>
        </w:rPr>
        <w:t>道路安全隐患消除情况，据现场勘查，驾车行驶在</w:t>
      </w:r>
      <w:r>
        <w:rPr>
          <w:rFonts w:hint="eastAsia" w:ascii="仿宋_GB2312" w:hAnsi="仿宋" w:eastAsia="仿宋_GB2312" w:cs="仿宋"/>
          <w:color w:val="auto"/>
          <w:sz w:val="32"/>
          <w:szCs w:val="32"/>
          <w:highlight w:val="none"/>
          <w:lang w:val="en-US" w:eastAsia="zh-CN"/>
        </w:rPr>
        <w:t>环城绿道提升工程东河岔至洪门段，山路存在较多弯道和视线盲区，存在安全隐患，建议增设减速带、道路广角镜等交通安全措施。</w:t>
      </w:r>
      <w:r>
        <w:rPr>
          <w:rFonts w:hint="eastAsia" w:ascii="仿宋_GB2312" w:eastAsia="仿宋_GB2312"/>
          <w:color w:val="000000"/>
          <w:sz w:val="32"/>
          <w:szCs w:val="32"/>
          <w:highlight w:val="none"/>
          <w:lang w:val="en-US" w:eastAsia="zh-CN"/>
        </w:rPr>
        <w:t>建议优选设计单位，对于安全隐患多采用实地调查方式，对道路的安全通过性各项细节进行推敲，因地制宜选择安装交通安全设施。</w:t>
      </w:r>
      <w:r>
        <w:rPr>
          <w:rFonts w:hint="eastAsia" w:ascii="仿宋_GB2312" w:eastAsia="仿宋_GB2312"/>
          <w:b/>
          <w:bCs/>
          <w:color w:val="000000"/>
          <w:sz w:val="32"/>
          <w:szCs w:val="32"/>
          <w:highlight w:val="none"/>
          <w:lang w:val="en-US" w:eastAsia="zh-CN"/>
        </w:rPr>
        <w:t>8.项目后期维护管理机制不够健全，项目可持续性待提升</w:t>
      </w:r>
      <w:r>
        <w:rPr>
          <w:rFonts w:hint="eastAsia" w:ascii="仿宋" w:hAnsi="仿宋" w:eastAsia="仿宋" w:cs="仿宋"/>
          <w:color w:val="000000"/>
          <w:kern w:val="0"/>
          <w:sz w:val="31"/>
          <w:szCs w:val="31"/>
          <w:lang w:val="en-US" w:eastAsia="zh-CN" w:bidi="ar"/>
        </w:rPr>
        <w:t>。</w:t>
      </w:r>
      <w:r>
        <w:rPr>
          <w:rFonts w:hint="eastAsia" w:ascii="仿宋_GB2312" w:eastAsia="仿宋_GB2312"/>
          <w:color w:val="000000"/>
          <w:sz w:val="32"/>
          <w:szCs w:val="32"/>
          <w:highlight w:val="none"/>
          <w:lang w:val="en-US" w:eastAsia="zh-CN"/>
        </w:rPr>
        <w:t>建议进一步健全农村公路养护管理机制和考核机制，提高道路责任单位的管养意识，严格落实安全生产责任制，重视后续管理、维护、保养等工作，积极开展日常维护管理工作，</w:t>
      </w:r>
      <w:r>
        <w:rPr>
          <w:rFonts w:hint="eastAsia" w:ascii="仿宋" w:hAnsi="仿宋" w:eastAsia="仿宋" w:cs="仿宋"/>
          <w:color w:val="000000"/>
          <w:kern w:val="0"/>
          <w:sz w:val="31"/>
          <w:szCs w:val="31"/>
          <w:lang w:val="en-US" w:eastAsia="zh-CN" w:bidi="ar"/>
        </w:rPr>
        <w:t>持续发挥</w:t>
      </w:r>
      <w:r>
        <w:rPr>
          <w:rFonts w:ascii="仿宋" w:hAnsi="仿宋" w:eastAsia="仿宋" w:cs="仿宋"/>
          <w:color w:val="000000"/>
          <w:kern w:val="0"/>
          <w:sz w:val="31"/>
          <w:szCs w:val="31"/>
          <w:lang w:val="en-US" w:eastAsia="zh-CN" w:bidi="ar"/>
        </w:rPr>
        <w:t>“四好农村路”</w:t>
      </w:r>
      <w:r>
        <w:rPr>
          <w:rFonts w:hint="eastAsia" w:ascii="仿宋" w:hAnsi="仿宋" w:eastAsia="仿宋" w:cs="仿宋"/>
          <w:color w:val="000000"/>
          <w:kern w:val="0"/>
          <w:sz w:val="31"/>
          <w:szCs w:val="31"/>
          <w:lang w:val="en-US" w:eastAsia="zh-CN" w:bidi="ar"/>
        </w:rPr>
        <w:t>社会效益，助力乡村振兴</w:t>
      </w:r>
      <w:r>
        <w:rPr>
          <w:rFonts w:hint="eastAsia" w:ascii="仿宋_GB2312" w:eastAsia="仿宋_GB2312"/>
          <w:color w:val="000000"/>
          <w:sz w:val="32"/>
          <w:szCs w:val="32"/>
          <w:highlight w:val="none"/>
          <w:lang w:val="en-US" w:eastAsia="zh-CN"/>
        </w:rPr>
        <w:t>。</w:t>
      </w:r>
    </w:p>
    <w:p>
      <w:pPr>
        <w:pStyle w:val="2"/>
        <w:rPr>
          <w:rFonts w:hint="eastAsia"/>
          <w:lang w:val="en-US" w:eastAsia="zh-CN"/>
        </w:rPr>
      </w:pPr>
    </w:p>
    <w:p>
      <w:pPr>
        <w:spacing w:line="580" w:lineRule="exact"/>
        <w:ind w:firstLine="640" w:firstLineChars="200"/>
        <w:rPr>
          <w:rFonts w:hint="default" w:ascii="仿宋_GB2312" w:eastAsia="仿宋_GB2312"/>
          <w:color w:val="000000"/>
          <w:sz w:val="32"/>
          <w:szCs w:val="32"/>
          <w:highlight w:val="yellow"/>
          <w:lang w:val="en-US" w:eastAsia="zh-CN"/>
        </w:rPr>
      </w:pPr>
    </w:p>
    <w:p>
      <w:pPr>
        <w:spacing w:line="580" w:lineRule="exact"/>
        <w:ind w:firstLine="640" w:firstLineChars="200"/>
        <w:rPr>
          <w:rFonts w:hint="eastAsia" w:ascii="仿宋_GB2312" w:eastAsia="仿宋_GB2312"/>
          <w:color w:val="000000"/>
          <w:sz w:val="32"/>
          <w:szCs w:val="32"/>
          <w:highlight w:val="none"/>
          <w:lang w:val="en-US" w:eastAsia="zh-CN"/>
        </w:rPr>
      </w:pPr>
    </w:p>
    <w:p>
      <w:pPr>
        <w:widowControl/>
        <w:spacing w:line="580" w:lineRule="exact"/>
        <w:ind w:firstLine="640" w:firstLineChars="200"/>
        <w:rPr>
          <w:rFonts w:ascii="仿宋_GB2312" w:eastAsia="仿宋_GB2312"/>
          <w:color w:val="000000"/>
          <w:sz w:val="32"/>
          <w:szCs w:val="32"/>
          <w:highlight w:val="none"/>
        </w:rPr>
      </w:pPr>
    </w:p>
    <w:p>
      <w:pPr>
        <w:widowControl/>
        <w:spacing w:line="580" w:lineRule="exact"/>
        <w:ind w:firstLine="640" w:firstLineChars="200"/>
        <w:rPr>
          <w:rFonts w:ascii="仿宋_GB2312" w:eastAsia="仿宋_GB2312"/>
          <w:color w:val="000000"/>
          <w:sz w:val="32"/>
          <w:szCs w:val="32"/>
          <w:highlight w:val="none"/>
        </w:rPr>
      </w:pPr>
    </w:p>
    <w:p>
      <w:pPr>
        <w:spacing w:line="580" w:lineRule="exact"/>
        <w:ind w:firstLine="640" w:firstLineChars="200"/>
        <w:rPr>
          <w:rFonts w:hint="eastAsia" w:ascii="仿宋_GB2312" w:eastAsia="仿宋_GB2312"/>
          <w:color w:val="000000"/>
          <w:sz w:val="32"/>
          <w:szCs w:val="32"/>
          <w:highlight w:val="none"/>
          <w:lang w:val="en-US" w:eastAsia="zh-CN"/>
        </w:rPr>
      </w:pPr>
    </w:p>
    <w:p>
      <w:pPr>
        <w:widowControl/>
        <w:overflowPunct w:val="0"/>
        <w:autoSpaceDE w:val="0"/>
        <w:autoSpaceDN w:val="0"/>
        <w:adjustRightInd w:val="0"/>
        <w:spacing w:line="600" w:lineRule="exact"/>
        <w:jc w:val="center"/>
        <w:textAlignment w:val="baseline"/>
        <w:outlineLvl w:val="0"/>
        <w:rPr>
          <w:rFonts w:hint="eastAsia" w:ascii="黑体" w:hAnsi="黑体" w:eastAsia="黑体" w:cs="Times New Roman"/>
          <w:kern w:val="0"/>
          <w:sz w:val="44"/>
          <w:szCs w:val="44"/>
          <w:lang w:val="en-US" w:eastAsia="zh-CN"/>
        </w:rPr>
      </w:pPr>
      <w:bookmarkStart w:id="8" w:name="_Toc3412"/>
      <w:bookmarkStart w:id="9" w:name="_Toc27122"/>
    </w:p>
    <w:p>
      <w:pPr>
        <w:widowControl/>
        <w:overflowPunct w:val="0"/>
        <w:autoSpaceDE w:val="0"/>
        <w:autoSpaceDN w:val="0"/>
        <w:adjustRightInd w:val="0"/>
        <w:spacing w:line="600" w:lineRule="exact"/>
        <w:jc w:val="center"/>
        <w:textAlignment w:val="baseline"/>
        <w:outlineLvl w:val="0"/>
        <w:rPr>
          <w:rFonts w:hint="eastAsia" w:ascii="黑体" w:hAnsi="黑体" w:eastAsia="黑体" w:cs="Times New Roman"/>
          <w:kern w:val="0"/>
          <w:sz w:val="44"/>
          <w:szCs w:val="44"/>
          <w:lang w:val="en-US" w:eastAsia="zh-CN"/>
        </w:rPr>
      </w:pPr>
    </w:p>
    <w:p>
      <w:pPr>
        <w:pStyle w:val="2"/>
        <w:rPr>
          <w:rFonts w:hint="eastAsia" w:ascii="黑体" w:hAnsi="黑体" w:eastAsia="黑体" w:cs="Times New Roman"/>
          <w:kern w:val="0"/>
          <w:sz w:val="44"/>
          <w:szCs w:val="44"/>
          <w:lang w:val="en-US" w:eastAsia="zh-CN"/>
        </w:rPr>
      </w:pPr>
    </w:p>
    <w:p>
      <w:pPr>
        <w:pStyle w:val="2"/>
        <w:rPr>
          <w:rFonts w:hint="eastAsia" w:ascii="黑体" w:hAnsi="黑体" w:eastAsia="黑体" w:cs="Times New Roman"/>
          <w:kern w:val="0"/>
          <w:sz w:val="44"/>
          <w:szCs w:val="44"/>
          <w:lang w:val="en-US" w:eastAsia="zh-CN"/>
        </w:rPr>
      </w:pPr>
    </w:p>
    <w:p>
      <w:pPr>
        <w:pStyle w:val="2"/>
        <w:rPr>
          <w:rFonts w:hint="eastAsia" w:ascii="黑体" w:hAnsi="黑体" w:eastAsia="黑体" w:cs="Times New Roman"/>
          <w:kern w:val="0"/>
          <w:sz w:val="44"/>
          <w:szCs w:val="44"/>
          <w:lang w:val="en-US" w:eastAsia="zh-CN"/>
        </w:rPr>
      </w:pPr>
    </w:p>
    <w:p>
      <w:pPr>
        <w:pStyle w:val="2"/>
        <w:rPr>
          <w:rFonts w:hint="eastAsia" w:ascii="黑体" w:hAnsi="黑体" w:eastAsia="黑体" w:cs="Times New Roman"/>
          <w:kern w:val="0"/>
          <w:sz w:val="44"/>
          <w:szCs w:val="44"/>
          <w:lang w:val="en-US" w:eastAsia="zh-CN"/>
        </w:rPr>
      </w:pPr>
    </w:p>
    <w:p>
      <w:pPr>
        <w:widowControl/>
        <w:overflowPunct w:val="0"/>
        <w:autoSpaceDE w:val="0"/>
        <w:autoSpaceDN w:val="0"/>
        <w:adjustRightInd w:val="0"/>
        <w:spacing w:line="600" w:lineRule="exact"/>
        <w:jc w:val="center"/>
        <w:textAlignment w:val="baseline"/>
        <w:outlineLvl w:val="0"/>
        <w:rPr>
          <w:rFonts w:hint="eastAsia" w:ascii="黑体" w:hAnsi="黑体" w:eastAsia="黑体" w:cs="Times New Roman"/>
          <w:kern w:val="0"/>
          <w:sz w:val="44"/>
          <w:szCs w:val="44"/>
          <w:lang w:val="en-US" w:eastAsia="zh-CN"/>
        </w:rPr>
      </w:pPr>
    </w:p>
    <w:p>
      <w:pPr>
        <w:widowControl/>
        <w:overflowPunct w:val="0"/>
        <w:autoSpaceDE w:val="0"/>
        <w:autoSpaceDN w:val="0"/>
        <w:adjustRightInd w:val="0"/>
        <w:spacing w:line="600" w:lineRule="exact"/>
        <w:jc w:val="center"/>
        <w:textAlignment w:val="baseline"/>
        <w:outlineLvl w:val="0"/>
        <w:rPr>
          <w:rFonts w:hint="eastAsia" w:ascii="黑体" w:hAnsi="黑体" w:eastAsia="黑体" w:cs="Times New Roman"/>
          <w:kern w:val="0"/>
          <w:sz w:val="44"/>
          <w:szCs w:val="44"/>
          <w:lang w:val="en-US" w:eastAsia="zh-CN"/>
        </w:rPr>
      </w:pPr>
      <w:bookmarkStart w:id="10" w:name="_Toc2455"/>
      <w:r>
        <w:rPr>
          <w:rFonts w:hint="eastAsia" w:ascii="黑体" w:hAnsi="黑体" w:eastAsia="黑体" w:cs="Times New Roman"/>
          <w:kern w:val="0"/>
          <w:sz w:val="44"/>
          <w:szCs w:val="44"/>
          <w:lang w:val="en-US" w:eastAsia="zh-CN"/>
        </w:rPr>
        <w:t>正文部分</w:t>
      </w:r>
      <w:bookmarkEnd w:id="7"/>
      <w:bookmarkEnd w:id="8"/>
      <w:bookmarkEnd w:id="9"/>
      <w:bookmarkEnd w:id="10"/>
    </w:p>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bidi="ar-SA"/>
        </w:rPr>
      </w:pPr>
      <w:bookmarkStart w:id="11" w:name="_Toc4599"/>
      <w:bookmarkStart w:id="12" w:name="_Toc6276"/>
      <w:bookmarkStart w:id="13" w:name="_Toc17433"/>
      <w:bookmarkStart w:id="14" w:name="_Toc22887"/>
      <w:r>
        <w:rPr>
          <w:rFonts w:hint="eastAsia" w:ascii="仿宋_GB2312" w:hAnsi="仿宋_GB2312" w:eastAsia="黑体" w:cs="Times New Roman"/>
          <w:b w:val="0"/>
          <w:bCs w:val="0"/>
          <w:kern w:val="44"/>
          <w:szCs w:val="24"/>
          <w:lang w:val="en-US" w:bidi="ar-SA"/>
        </w:rPr>
        <w:t>一、</w:t>
      </w:r>
      <w:r>
        <w:rPr>
          <w:rFonts w:hint="eastAsia" w:ascii="仿宋_GB2312" w:hAnsi="仿宋_GB2312" w:cs="Times New Roman"/>
          <w:b w:val="0"/>
          <w:bCs w:val="0"/>
          <w:kern w:val="44"/>
          <w:szCs w:val="24"/>
          <w:lang w:val="en-US" w:eastAsia="zh-CN" w:bidi="ar-SA"/>
        </w:rPr>
        <w:t>项目</w:t>
      </w:r>
      <w:r>
        <w:rPr>
          <w:rFonts w:hint="eastAsia" w:ascii="仿宋_GB2312" w:hAnsi="仿宋_GB2312" w:eastAsia="黑体" w:cs="Times New Roman"/>
          <w:b w:val="0"/>
          <w:bCs w:val="0"/>
          <w:kern w:val="44"/>
          <w:szCs w:val="24"/>
          <w:lang w:val="en-US" w:bidi="ar-SA"/>
        </w:rPr>
        <w:t>基本情况</w:t>
      </w:r>
      <w:bookmarkEnd w:id="11"/>
      <w:bookmarkEnd w:id="12"/>
      <w:bookmarkEnd w:id="13"/>
      <w:bookmarkEnd w:id="14"/>
    </w:p>
    <w:p>
      <w:pPr>
        <w:pStyle w:val="4"/>
        <w:keepNext/>
        <w:keepLines/>
        <w:autoSpaceDE/>
        <w:autoSpaceDN/>
        <w:spacing w:line="580" w:lineRule="exact"/>
        <w:ind w:left="0" w:firstLine="640" w:firstLineChars="200"/>
        <w:jc w:val="both"/>
        <w:rPr>
          <w:rFonts w:hint="eastAsia" w:ascii="Arial" w:hAnsi="Arial" w:eastAsia="楷体_GB2312" w:cs="Times New Roman"/>
          <w:kern w:val="2"/>
          <w:sz w:val="32"/>
          <w:szCs w:val="24"/>
          <w:lang w:val="en-US" w:bidi="ar-SA"/>
        </w:rPr>
      </w:pPr>
      <w:bookmarkStart w:id="15" w:name="_Toc24944"/>
      <w:bookmarkStart w:id="16" w:name="_Toc8760"/>
      <w:bookmarkStart w:id="17" w:name="_Toc6119"/>
      <w:bookmarkStart w:id="18" w:name="_Toc10833"/>
      <w:r>
        <w:rPr>
          <w:rFonts w:hint="eastAsia" w:ascii="Arial" w:hAnsi="Arial" w:eastAsia="楷体_GB2312" w:cs="Times New Roman"/>
          <w:kern w:val="2"/>
          <w:sz w:val="32"/>
          <w:szCs w:val="24"/>
          <w:lang w:val="en-US" w:bidi="ar-SA"/>
        </w:rPr>
        <w:t>（一）项目概况</w:t>
      </w:r>
      <w:bookmarkEnd w:id="15"/>
      <w:bookmarkEnd w:id="16"/>
      <w:bookmarkEnd w:id="17"/>
      <w:bookmarkEnd w:id="18"/>
    </w:p>
    <w:p>
      <w:pPr>
        <w:spacing w:line="58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1.项目立项</w:t>
      </w:r>
    </w:p>
    <w:p>
      <w:pPr>
        <w:pStyle w:val="19"/>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为切实推进环城绿道提升工程建设，努力打造宜居宜业生态环境，</w:t>
      </w:r>
      <w:r>
        <w:rPr>
          <w:rFonts w:hint="eastAsia" w:ascii="仿宋_GB2312" w:hAnsi="仿宋_GB2312" w:eastAsia="仿宋_GB2312" w:cs="仿宋_GB2312"/>
          <w:kern w:val="0"/>
          <w:sz w:val="32"/>
          <w:szCs w:val="32"/>
          <w:lang w:val="en-US" w:eastAsia="zh-CN"/>
        </w:rPr>
        <w:t>山亭区委区政府</w:t>
      </w:r>
      <w:r>
        <w:rPr>
          <w:rFonts w:hint="eastAsia" w:ascii="仿宋_GB2312" w:hAnsi="仿宋_GB2312" w:eastAsia="仿宋_GB2312" w:cs="仿宋_GB2312"/>
          <w:kern w:val="0"/>
          <w:sz w:val="32"/>
          <w:szCs w:val="32"/>
        </w:rPr>
        <w:t>以习近平新时代中国特色社会主义思想为指导，认真践行“绿水青山就是金山银山”的理念，结合</w:t>
      </w:r>
      <w:r>
        <w:rPr>
          <w:rFonts w:hint="eastAsia" w:ascii="仿宋_GB2312" w:hAnsi="仿宋_GB2312" w:eastAsia="仿宋_GB2312" w:cs="仿宋_GB2312"/>
          <w:kern w:val="0"/>
          <w:sz w:val="32"/>
          <w:szCs w:val="32"/>
          <w:lang w:val="en-US" w:eastAsia="zh-CN"/>
        </w:rPr>
        <w:t>山亭区</w:t>
      </w:r>
      <w:r>
        <w:rPr>
          <w:rFonts w:hint="eastAsia" w:ascii="仿宋_GB2312" w:hAnsi="仿宋_GB2312" w:eastAsia="仿宋_GB2312" w:cs="仿宋_GB2312"/>
          <w:kern w:val="0"/>
          <w:sz w:val="32"/>
          <w:szCs w:val="32"/>
        </w:rPr>
        <w:t>实际，突出山亭绿道特色，体现地域特点，</w:t>
      </w:r>
      <w:r>
        <w:rPr>
          <w:rFonts w:hint="eastAsia" w:ascii="仿宋_GB2312" w:hAnsi="仿宋_GB2312" w:eastAsia="仿宋_GB2312" w:cs="仿宋_GB2312"/>
          <w:kern w:val="0"/>
          <w:sz w:val="32"/>
          <w:szCs w:val="32"/>
          <w:lang w:val="en-US" w:eastAsia="zh-CN"/>
        </w:rPr>
        <w:t>研究</w:t>
      </w:r>
      <w:r>
        <w:rPr>
          <w:rFonts w:hint="eastAsia" w:ascii="仿宋_GB2312" w:hAnsi="仿宋_GB2312" w:eastAsia="仿宋_GB2312" w:cs="仿宋_GB2312"/>
          <w:kern w:val="0"/>
          <w:sz w:val="32"/>
          <w:szCs w:val="32"/>
        </w:rPr>
        <w:t>制定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2019年山亭区环城绿道提升工程实施方案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山亭区“四好农村路”三年集中攻坚专项行动实施方案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山政办发〔20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〕31号</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着力优化绿道布局、提升绿化彩化水平，努力构筑森林生态圈，为建设自然生态宜居宜业新山亭提供有力的森林生态支撑。</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ascii="仿宋_GB2312" w:eastAsia="仿宋_GB2312"/>
          <w:color w:val="000000"/>
          <w:sz w:val="32"/>
          <w:szCs w:val="32"/>
          <w:highlight w:val="none"/>
        </w:rPr>
        <w:t>.项目资金投入和使用情况</w:t>
      </w:r>
    </w:p>
    <w:p>
      <w:pPr>
        <w:pStyle w:val="21"/>
        <w:spacing w:line="580" w:lineRule="exact"/>
        <w:ind w:firstLine="640" w:firstLineChars="200"/>
        <w:outlineLvl w:val="1"/>
        <w:rPr>
          <w:rFonts w:ascii="仿宋_GB2312" w:hAnsi="仿宋" w:eastAsia="仿宋_GB2312" w:cs="仿宋"/>
          <w:sz w:val="32"/>
          <w:szCs w:val="32"/>
          <w:highlight w:val="none"/>
        </w:rPr>
      </w:pPr>
      <w:bookmarkStart w:id="19" w:name="_Toc4460"/>
      <w:bookmarkStart w:id="20" w:name="_Toc28969"/>
      <w:r>
        <w:rPr>
          <w:rFonts w:hint="eastAsia" w:ascii="仿宋_GB2312" w:hAnsi="仿宋" w:eastAsia="仿宋_GB2312" w:cs="仿宋"/>
          <w:color w:val="auto"/>
          <w:sz w:val="32"/>
          <w:szCs w:val="32"/>
          <w:highlight w:val="none"/>
        </w:rPr>
        <w:t>2018年山亭区财政局安排财政资金共计</w:t>
      </w:r>
      <w:r>
        <w:rPr>
          <w:rFonts w:hint="eastAsia" w:ascii="仿宋_GB2312" w:hAnsi="仿宋" w:eastAsia="仿宋_GB2312" w:cs="仿宋"/>
          <w:color w:val="auto"/>
          <w:sz w:val="32"/>
          <w:szCs w:val="32"/>
          <w:highlight w:val="none"/>
          <w:lang w:eastAsia="zh-CN"/>
        </w:rPr>
        <w:t>3</w:t>
      </w:r>
      <w:r>
        <w:rPr>
          <w:rFonts w:hint="eastAsia" w:ascii="仿宋_GB2312" w:hAnsi="仿宋" w:eastAsia="仿宋_GB2312" w:cs="仿宋"/>
          <w:color w:val="auto"/>
          <w:sz w:val="32"/>
          <w:szCs w:val="32"/>
          <w:highlight w:val="none"/>
          <w:lang w:val="en-US" w:eastAsia="zh-CN"/>
        </w:rPr>
        <w:t>454.46</w:t>
      </w:r>
      <w:r>
        <w:rPr>
          <w:rFonts w:hint="eastAsia" w:ascii="仿宋_GB2312" w:hAnsi="仿宋" w:eastAsia="仿宋_GB2312" w:cs="仿宋"/>
          <w:color w:val="auto"/>
          <w:sz w:val="32"/>
          <w:szCs w:val="32"/>
          <w:highlight w:val="none"/>
        </w:rPr>
        <w:t>万元，</w:t>
      </w:r>
      <w:r>
        <w:rPr>
          <w:rFonts w:hint="eastAsia" w:ascii="仿宋_GB2312" w:hAnsi="仿宋" w:eastAsia="仿宋_GB2312" w:cs="仿宋"/>
          <w:color w:val="auto"/>
          <w:sz w:val="32"/>
          <w:szCs w:val="32"/>
          <w:highlight w:val="none"/>
          <w:lang w:val="en-US" w:eastAsia="zh-CN"/>
        </w:rPr>
        <w:t>分别用于山亭区环城绿道提升工程1686.9万元和</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1767.56万元</w:t>
      </w:r>
      <w:r>
        <w:rPr>
          <w:rFonts w:hint="eastAsia" w:ascii="仿宋_GB2312" w:hAnsi="仿宋" w:eastAsia="仿宋_GB2312" w:cs="仿宋"/>
          <w:color w:val="auto"/>
          <w:sz w:val="32"/>
          <w:szCs w:val="32"/>
          <w:highlight w:val="none"/>
        </w:rPr>
        <w:t>。</w:t>
      </w:r>
      <w:bookmarkEnd w:id="19"/>
      <w:bookmarkEnd w:id="20"/>
    </w:p>
    <w:p>
      <w:pPr>
        <w:pStyle w:val="15"/>
        <w:spacing w:before="0" w:beforeAutospacing="0" w:after="0" w:afterAutospacing="0" w:line="580" w:lineRule="exact"/>
        <w:ind w:firstLine="640" w:firstLineChars="200"/>
        <w:jc w:val="both"/>
        <w:rPr>
          <w:rFonts w:hint="eastAsia" w:ascii="仿宋_GB2312" w:eastAsia="仿宋_GB2312"/>
          <w:sz w:val="32"/>
          <w:szCs w:val="32"/>
        </w:rPr>
      </w:pPr>
      <w:bookmarkStart w:id="21" w:name="_Toc25201"/>
      <w:r>
        <w:rPr>
          <w:rFonts w:hint="eastAsia" w:ascii="仿宋_GB2312" w:eastAsia="仿宋_GB2312"/>
          <w:sz w:val="32"/>
          <w:szCs w:val="32"/>
          <w:lang w:val="en-US" w:eastAsia="zh-CN"/>
        </w:rPr>
        <w:t>3.</w:t>
      </w:r>
      <w:r>
        <w:rPr>
          <w:rFonts w:hint="eastAsia" w:ascii="仿宋_GB2312" w:eastAsia="仿宋_GB2312"/>
          <w:sz w:val="32"/>
          <w:szCs w:val="32"/>
        </w:rPr>
        <w:t>项目组织管理</w:t>
      </w:r>
      <w:bookmarkEnd w:id="21"/>
    </w:p>
    <w:p>
      <w:pPr>
        <w:pStyle w:val="4"/>
        <w:keepNext/>
        <w:keepLines/>
        <w:autoSpaceDE/>
        <w:autoSpaceDN/>
        <w:spacing w:line="580" w:lineRule="exact"/>
        <w:ind w:left="0" w:firstLine="640" w:firstLineChars="200"/>
        <w:jc w:val="both"/>
        <w:rPr>
          <w:rFonts w:hint="eastAsia" w:ascii="仿宋_GB2312" w:eastAsia="仿宋_GB2312"/>
          <w:sz w:val="32"/>
          <w:szCs w:val="32"/>
        </w:rPr>
      </w:pPr>
      <w:bookmarkStart w:id="22" w:name="_Toc31599"/>
      <w:bookmarkStart w:id="23" w:name="_Toc23985"/>
      <w:bookmarkStart w:id="24" w:name="_Toc15838"/>
      <w:bookmarkStart w:id="25" w:name="_Toc10000"/>
      <w:bookmarkStart w:id="26" w:name="_Toc7108"/>
      <w:r>
        <w:rPr>
          <w:rFonts w:hint="eastAsia" w:ascii="仿宋_GB2312" w:eastAsia="仿宋_GB2312"/>
          <w:sz w:val="32"/>
          <w:szCs w:val="32"/>
        </w:rPr>
        <w:t>由</w:t>
      </w:r>
      <w:r>
        <w:rPr>
          <w:rFonts w:hint="eastAsia" w:ascii="仿宋_GB2312" w:eastAsia="仿宋_GB2312"/>
          <w:sz w:val="32"/>
          <w:szCs w:val="32"/>
          <w:lang w:val="en-US" w:eastAsia="zh-CN"/>
        </w:rPr>
        <w:t>山亭区交通运输局</w:t>
      </w:r>
      <w:r>
        <w:rPr>
          <w:rFonts w:hint="eastAsia" w:ascii="仿宋_GB2312" w:eastAsia="仿宋_GB2312"/>
          <w:sz w:val="32"/>
          <w:szCs w:val="32"/>
        </w:rPr>
        <w:t>牵头负责项目实施，确保项目顺利进行。由计划股负责前期图纸会审、工程造价评审和招投标工作，并与农村公路事务中心共同负责现场施工监督。农村公路事务中心负责对项目实施监督，确定项目进度情况与沿线镇政府做好协调工作。财务股负责做好资金支出审查，对项目资金实施监督，确保资金支出符合工程进度和合同约定。</w:t>
      </w:r>
      <w:bookmarkEnd w:id="22"/>
      <w:bookmarkEnd w:id="23"/>
    </w:p>
    <w:p>
      <w:pPr>
        <w:pStyle w:val="4"/>
        <w:keepNext/>
        <w:keepLines/>
        <w:autoSpaceDE/>
        <w:autoSpaceDN/>
        <w:spacing w:line="580" w:lineRule="exact"/>
        <w:ind w:left="0" w:firstLine="640" w:firstLineChars="200"/>
        <w:jc w:val="both"/>
        <w:rPr>
          <w:rFonts w:hint="eastAsia" w:ascii="Arial" w:hAnsi="Arial" w:eastAsia="楷体_GB2312" w:cs="Times New Roman"/>
          <w:kern w:val="2"/>
          <w:sz w:val="32"/>
          <w:szCs w:val="24"/>
          <w:lang w:val="en-US" w:bidi="ar-SA"/>
        </w:rPr>
      </w:pPr>
      <w:bookmarkStart w:id="27" w:name="_Toc32226"/>
      <w:r>
        <w:rPr>
          <w:rFonts w:hint="eastAsia" w:ascii="Arial" w:hAnsi="Arial" w:eastAsia="楷体_GB2312" w:cs="Times New Roman"/>
          <w:kern w:val="2"/>
          <w:sz w:val="32"/>
          <w:szCs w:val="24"/>
          <w:lang w:val="en-US" w:bidi="ar-SA"/>
        </w:rPr>
        <w:t>（二）项目绩效目标</w:t>
      </w:r>
      <w:bookmarkEnd w:id="24"/>
      <w:bookmarkEnd w:id="25"/>
      <w:bookmarkEnd w:id="26"/>
      <w:bookmarkEnd w:id="27"/>
    </w:p>
    <w:p>
      <w:pPr>
        <w:pStyle w:val="8"/>
        <w:kinsoku w:val="0"/>
        <w:overflowPunct w:val="0"/>
        <w:spacing w:line="580" w:lineRule="exact"/>
        <w:ind w:left="0"/>
        <w:jc w:val="center"/>
        <w:rPr>
          <w:rFonts w:hint="eastAsia" w:ascii="宋体" w:hAnsi="宋体" w:eastAsia="宋体" w:cs="宋体"/>
          <w:b/>
          <w:kern w:val="2"/>
          <w:sz w:val="24"/>
          <w:szCs w:val="22"/>
          <w:highlight w:val="none"/>
          <w:lang w:val="en-US" w:eastAsia="zh-CN" w:bidi="ar-SA"/>
        </w:rPr>
      </w:pPr>
      <w:bookmarkStart w:id="28" w:name="_Toc1940877062_WPSOffice_Level2"/>
      <w:bookmarkStart w:id="29" w:name="_Toc1209078408_WPSOffice_Level2"/>
      <w:bookmarkStart w:id="30" w:name="_Toc654733744_WPSOffice_Level2"/>
      <w:bookmarkStart w:id="31" w:name="_Toc14926"/>
      <w:bookmarkStart w:id="32" w:name="_Toc17985"/>
      <w:bookmarkStart w:id="33" w:name="_Toc25044"/>
      <w:r>
        <w:rPr>
          <w:rFonts w:hint="eastAsia" w:ascii="黑体" w:hAnsi="黑体" w:eastAsia="黑体" w:cs="黑体"/>
          <w:b/>
          <w:kern w:val="2"/>
          <w:sz w:val="28"/>
          <w:szCs w:val="28"/>
          <w:highlight w:val="none"/>
          <w:lang w:val="en-US" w:eastAsia="zh-CN" w:bidi="ar-SA"/>
        </w:rPr>
        <w:t>表1：山亭区环城绿道提升工程项目绩效目标</w:t>
      </w:r>
      <w:bookmarkEnd w:id="28"/>
      <w:bookmarkEnd w:id="29"/>
      <w:bookmarkEnd w:id="30"/>
      <w:r>
        <w:rPr>
          <w:rFonts w:hint="eastAsia" w:ascii="黑体" w:hAnsi="黑体" w:eastAsia="黑体" w:cs="黑体"/>
          <w:b/>
          <w:kern w:val="2"/>
          <w:sz w:val="28"/>
          <w:szCs w:val="28"/>
          <w:highlight w:val="none"/>
          <w:lang w:val="en-US" w:eastAsia="zh-CN" w:bidi="ar-SA"/>
        </w:rPr>
        <w:t>情况表</w:t>
      </w:r>
    </w:p>
    <w:tbl>
      <w:tblPr>
        <w:tblStyle w:val="16"/>
        <w:tblW w:w="8291" w:type="dxa"/>
        <w:tblInd w:w="100" w:type="dxa"/>
        <w:shd w:val="clear" w:color="auto" w:fill="auto"/>
        <w:tblLayout w:type="autofit"/>
        <w:tblCellMar>
          <w:top w:w="0" w:type="dxa"/>
          <w:left w:w="108" w:type="dxa"/>
          <w:bottom w:w="0" w:type="dxa"/>
          <w:right w:w="108" w:type="dxa"/>
        </w:tblCellMar>
      </w:tblPr>
      <w:tblGrid>
        <w:gridCol w:w="1112"/>
        <w:gridCol w:w="1297"/>
        <w:gridCol w:w="3975"/>
        <w:gridCol w:w="1907"/>
      </w:tblGrid>
      <w:tr>
        <w:tblPrEx>
          <w:shd w:val="clear" w:color="auto" w:fill="auto"/>
          <w:tblCellMar>
            <w:top w:w="0" w:type="dxa"/>
            <w:left w:w="108" w:type="dxa"/>
            <w:bottom w:w="0" w:type="dxa"/>
            <w:right w:w="108" w:type="dxa"/>
          </w:tblCellMar>
        </w:tblPrEx>
        <w:trPr>
          <w:trHeight w:val="304" w:hRule="atLeast"/>
        </w:trPr>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一级指标</w:t>
            </w:r>
          </w:p>
        </w:tc>
        <w:tc>
          <w:tcPr>
            <w:tcW w:w="12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二级指标</w:t>
            </w:r>
          </w:p>
        </w:tc>
        <w:tc>
          <w:tcPr>
            <w:tcW w:w="39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三级指标</w:t>
            </w:r>
          </w:p>
        </w:tc>
        <w:tc>
          <w:tcPr>
            <w:tcW w:w="190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指标值</w:t>
            </w:r>
          </w:p>
        </w:tc>
      </w:tr>
      <w:tr>
        <w:tblPrEx>
          <w:shd w:val="clear" w:color="auto" w:fill="auto"/>
          <w:tblCellMar>
            <w:top w:w="0" w:type="dxa"/>
            <w:left w:w="108" w:type="dxa"/>
            <w:bottom w:w="0" w:type="dxa"/>
            <w:right w:w="108" w:type="dxa"/>
          </w:tblCellMar>
        </w:tblPrEx>
        <w:trPr>
          <w:trHeight w:val="285" w:hRule="atLeast"/>
        </w:trPr>
        <w:tc>
          <w:tcPr>
            <w:tcW w:w="11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tc>
        <w:tc>
          <w:tcPr>
            <w:tcW w:w="1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路缘石</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27560m</w:t>
            </w:r>
          </w:p>
        </w:tc>
      </w:tr>
      <w:tr>
        <w:tblPrEx>
          <w:shd w:val="clear" w:color="auto" w:fill="auto"/>
          <w:tblCellMar>
            <w:top w:w="0" w:type="dxa"/>
            <w:left w:w="108" w:type="dxa"/>
            <w:bottom w:w="0" w:type="dxa"/>
            <w:right w:w="108" w:type="dxa"/>
          </w:tblCellMar>
        </w:tblPrEx>
        <w:trPr>
          <w:trHeight w:val="129"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新增沥青混凝土路面</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34677㎡</w:t>
            </w:r>
          </w:p>
        </w:tc>
      </w:tr>
      <w:tr>
        <w:tblPrEx>
          <w:shd w:val="clear" w:color="auto" w:fill="auto"/>
          <w:tblCellMar>
            <w:top w:w="0" w:type="dxa"/>
            <w:left w:w="108" w:type="dxa"/>
            <w:bottom w:w="0" w:type="dxa"/>
            <w:right w:w="108" w:type="dxa"/>
          </w:tblCellMar>
        </w:tblPrEx>
        <w:trPr>
          <w:trHeight w:val="126"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道路设计、建设管理达标率</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采购方式合格率</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108"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项目（工程）验收合格率</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时效指标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交工验收及时率</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项目完成及时率</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285"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成本指标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透层</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5.3元/㎡</w:t>
            </w:r>
          </w:p>
        </w:tc>
      </w:tr>
      <w:tr>
        <w:tblPrEx>
          <w:shd w:val="clear" w:color="auto" w:fill="auto"/>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水泥稳定土基层厚200mm</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97.8元/㎡</w:t>
            </w:r>
          </w:p>
        </w:tc>
      </w:tr>
      <w:tr>
        <w:tblPrEx>
          <w:shd w:val="clear" w:color="auto" w:fill="auto"/>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细粒式沥青混凝土厚50mm</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75.6元/㎡</w:t>
            </w:r>
          </w:p>
        </w:tc>
      </w:tr>
      <w:tr>
        <w:tblPrEx>
          <w:tblCellMar>
            <w:top w:w="0" w:type="dxa"/>
            <w:left w:w="108" w:type="dxa"/>
            <w:bottom w:w="0" w:type="dxa"/>
            <w:right w:w="108" w:type="dxa"/>
          </w:tblCellMar>
        </w:tblPrEx>
        <w:trPr>
          <w:trHeight w:val="90" w:hRule="atLeast"/>
        </w:trPr>
        <w:tc>
          <w:tcPr>
            <w:tcW w:w="11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效益指标</w:t>
            </w:r>
          </w:p>
        </w:tc>
        <w:tc>
          <w:tcPr>
            <w:tcW w:w="1297"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经济效益指标</w:t>
            </w:r>
          </w:p>
        </w:tc>
        <w:tc>
          <w:tcPr>
            <w:tcW w:w="397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降低群众出行成本</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降低群众出行成本和时间成本</w:t>
            </w:r>
          </w:p>
        </w:tc>
      </w:tr>
      <w:tr>
        <w:tblPrEx>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社会效益指标</w:t>
            </w:r>
          </w:p>
        </w:tc>
        <w:tc>
          <w:tcPr>
            <w:tcW w:w="39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基本公共服务水平</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w:t>
            </w:r>
          </w:p>
        </w:tc>
      </w:tr>
      <w:tr>
        <w:tblPrEx>
          <w:tblCellMar>
            <w:top w:w="0" w:type="dxa"/>
            <w:left w:w="108" w:type="dxa"/>
            <w:bottom w:w="0" w:type="dxa"/>
            <w:right w:w="108" w:type="dxa"/>
          </w:tblCellMar>
        </w:tblPrEx>
        <w:trPr>
          <w:trHeight w:val="285"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覆盖镇街</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9个</w:t>
            </w:r>
          </w:p>
        </w:tc>
      </w:tr>
      <w:tr>
        <w:tblPrEx>
          <w:shd w:val="clear" w:color="auto" w:fill="auto"/>
          <w:tblCellMar>
            <w:top w:w="0" w:type="dxa"/>
            <w:left w:w="108" w:type="dxa"/>
            <w:bottom w:w="0" w:type="dxa"/>
            <w:right w:w="108" w:type="dxa"/>
          </w:tblCellMar>
        </w:tblPrEx>
        <w:trPr>
          <w:trHeight w:val="184"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可持续影响指标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项目适应未来一定时间内交通需求</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8年</w:t>
            </w:r>
          </w:p>
        </w:tc>
      </w:tr>
      <w:tr>
        <w:tblPrEx>
          <w:shd w:val="clear" w:color="auto" w:fill="auto"/>
          <w:tblCellMar>
            <w:top w:w="0" w:type="dxa"/>
            <w:left w:w="108" w:type="dxa"/>
            <w:bottom w:w="0" w:type="dxa"/>
            <w:right w:w="108" w:type="dxa"/>
          </w:tblCellMar>
        </w:tblPrEx>
        <w:trPr>
          <w:trHeight w:val="90" w:hRule="atLeast"/>
        </w:trPr>
        <w:tc>
          <w:tcPr>
            <w:tcW w:w="11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服务对象满意度</w:t>
            </w:r>
          </w:p>
        </w:tc>
        <w:tc>
          <w:tcPr>
            <w:tcW w:w="129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社会公众满意度</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r>
        <w:tblPrEx>
          <w:tblCellMar>
            <w:top w:w="0" w:type="dxa"/>
            <w:left w:w="108" w:type="dxa"/>
            <w:bottom w:w="0" w:type="dxa"/>
            <w:right w:w="108" w:type="dxa"/>
          </w:tblCellMar>
        </w:tblPrEx>
        <w:trPr>
          <w:trHeight w:val="90" w:hRule="atLeast"/>
        </w:trPr>
        <w:tc>
          <w:tcPr>
            <w:tcW w:w="11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129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3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项目区群众慢意度</w:t>
            </w:r>
          </w:p>
        </w:tc>
        <w:tc>
          <w:tcPr>
            <w:tcW w:w="19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bl>
    <w:p>
      <w:pPr>
        <w:pStyle w:val="21"/>
        <w:spacing w:line="580" w:lineRule="exact"/>
        <w:ind w:firstLine="640" w:firstLineChars="200"/>
        <w:outlineLvl w:val="1"/>
        <w:rPr>
          <w:rFonts w:hint="eastAsia" w:ascii="仿宋_GB2312" w:hAnsi="仿宋_GB2312" w:eastAsia="仿宋_GB2312" w:cs="仿宋_GB2312"/>
          <w:sz w:val="32"/>
          <w:szCs w:val="32"/>
          <w:lang w:bidi="ar"/>
        </w:rPr>
      </w:pPr>
    </w:p>
    <w:p>
      <w:pPr>
        <w:pStyle w:val="8"/>
        <w:kinsoku w:val="0"/>
        <w:overflowPunct w:val="0"/>
        <w:spacing w:line="580" w:lineRule="exact"/>
        <w:ind w:left="0"/>
        <w:jc w:val="center"/>
        <w:rPr>
          <w:rFonts w:hint="eastAsia" w:ascii="黑体" w:hAnsi="黑体" w:eastAsia="黑体" w:cs="黑体"/>
          <w:b/>
          <w:kern w:val="2"/>
          <w:sz w:val="28"/>
          <w:szCs w:val="28"/>
          <w:highlight w:val="none"/>
          <w:lang w:val="en-US" w:eastAsia="zh-CN" w:bidi="ar-SA"/>
        </w:rPr>
      </w:pPr>
      <w:r>
        <w:rPr>
          <w:rFonts w:hint="eastAsia" w:ascii="黑体" w:hAnsi="黑体" w:eastAsia="黑体" w:cs="黑体"/>
          <w:b/>
          <w:kern w:val="2"/>
          <w:sz w:val="28"/>
          <w:szCs w:val="28"/>
          <w:highlight w:val="none"/>
          <w:lang w:val="en-US" w:eastAsia="zh-CN" w:bidi="ar-SA"/>
        </w:rPr>
        <w:t>表2：北外环绿道建设工程项目绩效目标情况表</w:t>
      </w:r>
    </w:p>
    <w:tbl>
      <w:tblPr>
        <w:tblStyle w:val="16"/>
        <w:tblW w:w="8323" w:type="dxa"/>
        <w:tblInd w:w="100" w:type="dxa"/>
        <w:shd w:val="clear" w:color="auto" w:fill="auto"/>
        <w:tblLayout w:type="autofit"/>
        <w:tblCellMar>
          <w:top w:w="0" w:type="dxa"/>
          <w:left w:w="108" w:type="dxa"/>
          <w:bottom w:w="0" w:type="dxa"/>
          <w:right w:w="108" w:type="dxa"/>
        </w:tblCellMar>
      </w:tblPr>
      <w:tblGrid>
        <w:gridCol w:w="1123"/>
        <w:gridCol w:w="1307"/>
        <w:gridCol w:w="4136"/>
        <w:gridCol w:w="1757"/>
      </w:tblGrid>
      <w:tr>
        <w:tblPrEx>
          <w:shd w:val="clear" w:color="auto" w:fill="auto"/>
        </w:tblPrEx>
        <w:trPr>
          <w:trHeight w:val="645" w:hRule="atLeast"/>
        </w:trPr>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30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1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shd w:val="clear" w:color="auto" w:fill="auto"/>
          <w:tblCellMar>
            <w:top w:w="0" w:type="dxa"/>
            <w:left w:w="108" w:type="dxa"/>
            <w:bottom w:w="0" w:type="dxa"/>
            <w:right w:w="108" w:type="dxa"/>
          </w:tblCellMar>
        </w:tblPrEx>
        <w:trPr>
          <w:trHeight w:val="210" w:hRule="atLeast"/>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30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混凝土预制路缘石</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4824m</w:t>
            </w:r>
          </w:p>
        </w:tc>
      </w:tr>
      <w:tr>
        <w:tblPrEx>
          <w:shd w:val="clear" w:color="auto" w:fill="auto"/>
          <w:tblCellMar>
            <w:top w:w="0" w:type="dxa"/>
            <w:left w:w="108" w:type="dxa"/>
            <w:bottom w:w="0" w:type="dxa"/>
            <w:right w:w="108" w:type="dxa"/>
          </w:tblCellMar>
        </w:tblPrEx>
        <w:trPr>
          <w:trHeight w:val="328"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新增沥青混凝土路面</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37143㎡</w:t>
            </w:r>
          </w:p>
        </w:tc>
      </w:tr>
      <w:tr>
        <w:tblPrEx>
          <w:shd w:val="clear" w:color="auto" w:fill="auto"/>
          <w:tblCellMar>
            <w:top w:w="0" w:type="dxa"/>
            <w:left w:w="108" w:type="dxa"/>
            <w:bottom w:w="0" w:type="dxa"/>
            <w:right w:w="108" w:type="dxa"/>
          </w:tblCellMar>
        </w:tblPrEx>
        <w:trPr>
          <w:trHeight w:val="9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道口标注</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84个</w:t>
            </w:r>
          </w:p>
        </w:tc>
      </w:tr>
      <w:tr>
        <w:tblPrEx>
          <w:shd w:val="clear" w:color="auto" w:fill="auto"/>
          <w:tblCellMar>
            <w:top w:w="0" w:type="dxa"/>
            <w:left w:w="108" w:type="dxa"/>
            <w:bottom w:w="0" w:type="dxa"/>
            <w:right w:w="108" w:type="dxa"/>
          </w:tblCellMar>
        </w:tblPrEx>
        <w:trPr>
          <w:trHeight w:val="247"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StreetPrint模压彩绘路面</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w:t>
            </w:r>
          </w:p>
        </w:tc>
      </w:tr>
      <w:tr>
        <w:tblPrEx>
          <w:shd w:val="clear" w:color="auto" w:fill="auto"/>
          <w:tblCellMar>
            <w:top w:w="0" w:type="dxa"/>
            <w:left w:w="108" w:type="dxa"/>
            <w:bottom w:w="0" w:type="dxa"/>
            <w:right w:w="108" w:type="dxa"/>
          </w:tblCellMar>
        </w:tblPrEx>
        <w:trPr>
          <w:trHeight w:val="193"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道路设计、建设管理达标率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243"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采购方式合格率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23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项目（工程）验收合格率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178"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交工验收及时率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9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项目完成及时率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shd w:val="clear" w:color="auto" w:fill="auto"/>
          <w:tblCellMar>
            <w:top w:w="0" w:type="dxa"/>
            <w:left w:w="108" w:type="dxa"/>
            <w:bottom w:w="0" w:type="dxa"/>
            <w:right w:w="108" w:type="dxa"/>
          </w:tblCellMar>
        </w:tblPrEx>
        <w:trPr>
          <w:trHeight w:val="182"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StreetPrint模压彩绘路面</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145.32元/㎡</w:t>
            </w:r>
          </w:p>
        </w:tc>
      </w:tr>
      <w:tr>
        <w:tblPrEx>
          <w:shd w:val="clear" w:color="auto" w:fill="auto"/>
          <w:tblCellMar>
            <w:top w:w="0" w:type="dxa"/>
            <w:left w:w="108" w:type="dxa"/>
            <w:bottom w:w="0" w:type="dxa"/>
            <w:right w:w="108" w:type="dxa"/>
          </w:tblCellMar>
        </w:tblPrEx>
        <w:trPr>
          <w:trHeight w:val="33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透层</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5.3元/㎡</w:t>
            </w:r>
          </w:p>
        </w:tc>
      </w:tr>
      <w:tr>
        <w:tblPrEx>
          <w:shd w:val="clear" w:color="auto" w:fill="auto"/>
          <w:tblCellMar>
            <w:top w:w="0" w:type="dxa"/>
            <w:left w:w="108" w:type="dxa"/>
            <w:bottom w:w="0" w:type="dxa"/>
            <w:right w:w="108" w:type="dxa"/>
          </w:tblCellMar>
        </w:tblPrEx>
        <w:trPr>
          <w:trHeight w:val="9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水泥稳定土基层厚180mm</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86.76元/㎡</w:t>
            </w:r>
          </w:p>
        </w:tc>
      </w:tr>
      <w:tr>
        <w:tblPrEx>
          <w:shd w:val="clear" w:color="auto" w:fill="auto"/>
          <w:tblCellMar>
            <w:top w:w="0" w:type="dxa"/>
            <w:left w:w="108" w:type="dxa"/>
            <w:bottom w:w="0" w:type="dxa"/>
            <w:right w:w="108" w:type="dxa"/>
          </w:tblCellMar>
        </w:tblPrEx>
        <w:trPr>
          <w:trHeight w:val="192"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水泥稳定土基层厚200mm</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96.4元/㎡</w:t>
            </w:r>
          </w:p>
        </w:tc>
      </w:tr>
      <w:tr>
        <w:tblPrEx>
          <w:shd w:val="clear" w:color="auto" w:fill="auto"/>
          <w:tblCellMar>
            <w:top w:w="0" w:type="dxa"/>
            <w:left w:w="108" w:type="dxa"/>
            <w:bottom w:w="0" w:type="dxa"/>
            <w:right w:w="108" w:type="dxa"/>
          </w:tblCellMar>
        </w:tblPrEx>
        <w:trPr>
          <w:trHeight w:val="257"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细粒式沥青混凝土厚50mm</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75.6元/㎡</w:t>
            </w:r>
          </w:p>
        </w:tc>
      </w:tr>
      <w:tr>
        <w:tblPrEx>
          <w:shd w:val="clear" w:color="auto" w:fill="auto"/>
          <w:tblCellMar>
            <w:top w:w="0" w:type="dxa"/>
            <w:left w:w="108" w:type="dxa"/>
            <w:bottom w:w="0" w:type="dxa"/>
            <w:right w:w="108" w:type="dxa"/>
          </w:tblCellMar>
        </w:tblPrEx>
        <w:trPr>
          <w:trHeight w:val="9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成本节约率</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100%-80%</w:t>
            </w:r>
          </w:p>
        </w:tc>
      </w:tr>
      <w:tr>
        <w:tblPrEx>
          <w:shd w:val="clear" w:color="auto" w:fill="auto"/>
          <w:tblCellMar>
            <w:top w:w="0" w:type="dxa"/>
            <w:left w:w="108" w:type="dxa"/>
            <w:bottom w:w="0" w:type="dxa"/>
            <w:right w:w="108" w:type="dxa"/>
          </w:tblCellMar>
        </w:tblPrEx>
        <w:trPr>
          <w:trHeight w:val="90" w:hRule="atLeast"/>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307"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4136"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改善区域旅游品质</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w:t>
            </w:r>
          </w:p>
        </w:tc>
      </w:tr>
      <w:tr>
        <w:tblPrEx>
          <w:shd w:val="clear" w:color="auto" w:fill="auto"/>
          <w:tblCellMar>
            <w:top w:w="0" w:type="dxa"/>
            <w:left w:w="108" w:type="dxa"/>
            <w:bottom w:w="0" w:type="dxa"/>
            <w:right w:w="108" w:type="dxa"/>
          </w:tblCellMar>
        </w:tblPrEx>
        <w:trPr>
          <w:trHeight w:val="9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41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优化居住环境</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w:t>
            </w:r>
          </w:p>
        </w:tc>
      </w:tr>
      <w:tr>
        <w:tblPrEx>
          <w:shd w:val="clear" w:color="auto" w:fill="auto"/>
          <w:tblCellMar>
            <w:top w:w="0" w:type="dxa"/>
            <w:left w:w="108" w:type="dxa"/>
            <w:bottom w:w="0" w:type="dxa"/>
            <w:right w:w="108" w:type="dxa"/>
          </w:tblCellMar>
        </w:tblPrEx>
        <w:trPr>
          <w:trHeight w:val="145"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丰富市民健康方式</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丰富</w:t>
            </w:r>
          </w:p>
        </w:tc>
      </w:tr>
      <w:tr>
        <w:tblPrEx>
          <w:shd w:val="clear" w:color="auto" w:fill="auto"/>
          <w:tblCellMar>
            <w:top w:w="0" w:type="dxa"/>
            <w:left w:w="108" w:type="dxa"/>
            <w:bottom w:w="0" w:type="dxa"/>
            <w:right w:w="108" w:type="dxa"/>
          </w:tblCellMar>
        </w:tblPrEx>
        <w:trPr>
          <w:trHeight w:val="358"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项目适应未来一定时间内交通需求</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r>
      <w:tr>
        <w:tblPrEx>
          <w:shd w:val="clear" w:color="auto" w:fill="auto"/>
          <w:tblCellMar>
            <w:top w:w="0" w:type="dxa"/>
            <w:left w:w="108" w:type="dxa"/>
            <w:bottom w:w="0" w:type="dxa"/>
            <w:right w:w="108" w:type="dxa"/>
          </w:tblCellMar>
        </w:tblPrEx>
        <w:trPr>
          <w:trHeight w:val="135" w:hRule="atLeast"/>
        </w:trPr>
        <w:tc>
          <w:tcPr>
            <w:tcW w:w="112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30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社会公众满意度</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tblPrEx>
          <w:shd w:val="clear" w:color="auto" w:fill="auto"/>
          <w:tblCellMar>
            <w:top w:w="0" w:type="dxa"/>
            <w:left w:w="108" w:type="dxa"/>
            <w:bottom w:w="0" w:type="dxa"/>
            <w:right w:w="108" w:type="dxa"/>
          </w:tblCellMar>
        </w:tblPrEx>
        <w:trPr>
          <w:trHeight w:val="260" w:hRule="atLeast"/>
        </w:trPr>
        <w:tc>
          <w:tcPr>
            <w:tcW w:w="1123"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项目区群众满意度</w:t>
            </w:r>
          </w:p>
        </w:tc>
        <w:tc>
          <w:tcPr>
            <w:tcW w:w="17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bl>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bidi="ar-SA"/>
        </w:rPr>
      </w:pPr>
    </w:p>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bidi="ar-SA"/>
        </w:rPr>
      </w:pPr>
      <w:bookmarkStart w:id="34" w:name="_Toc319"/>
      <w:r>
        <w:rPr>
          <w:rFonts w:hint="eastAsia" w:ascii="仿宋_GB2312" w:hAnsi="仿宋_GB2312" w:eastAsia="黑体" w:cs="Times New Roman"/>
          <w:b w:val="0"/>
          <w:bCs w:val="0"/>
          <w:kern w:val="44"/>
          <w:szCs w:val="24"/>
          <w:lang w:val="en-US" w:bidi="ar-SA"/>
        </w:rPr>
        <w:t>二、绩效评价工作开展情况</w:t>
      </w:r>
      <w:bookmarkEnd w:id="31"/>
      <w:bookmarkEnd w:id="32"/>
      <w:bookmarkEnd w:id="33"/>
      <w:bookmarkEnd w:id="34"/>
    </w:p>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35" w:name="_Toc17492"/>
      <w:bookmarkStart w:id="36" w:name="_Toc8752"/>
      <w:bookmarkStart w:id="37" w:name="_Toc27700"/>
      <w:bookmarkStart w:id="38" w:name="_Toc12938"/>
      <w:r>
        <w:rPr>
          <w:rFonts w:hint="eastAsia" w:ascii="楷体_GB2312" w:hAnsi="楷体_GB2312" w:eastAsia="楷体_GB2312" w:cstheme="majorBidi"/>
          <w:bCs/>
          <w:sz w:val="32"/>
          <w:szCs w:val="32"/>
          <w:highlight w:val="none"/>
          <w:lang w:val="en-US" w:bidi="ar-SA"/>
        </w:rPr>
        <w:t>（一）绩效评价目的</w:t>
      </w:r>
      <w:bookmarkEnd w:id="35"/>
      <w:bookmarkEnd w:id="36"/>
      <w:bookmarkEnd w:id="37"/>
      <w:bookmarkEnd w:id="38"/>
    </w:p>
    <w:p>
      <w:pPr>
        <w:spacing w:line="58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为确保将财政专项资金落到实处，取得实效，枣庄市山亭区财政局委托中景瑞晟（北京）咨询管理有限公司（以下简称</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评价机构</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）对该项目进行绩效评价</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sz w:val="32"/>
          <w:szCs w:val="32"/>
          <w:lang w:bidi="ar"/>
        </w:rPr>
        <w:t>通过对项目的决策、过程、产出和效果四个方面进行客观、公正的评价，总结经验和发现问题,为今后此类项目的实施提供经验和做法，落实可持续机制，以推动项目效益的持续发挥，促进财政专项资金绩效最大化显现。</w:t>
      </w:r>
    </w:p>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39" w:name="_Toc31343"/>
      <w:bookmarkStart w:id="40" w:name="_Toc30457"/>
      <w:bookmarkStart w:id="41" w:name="_Toc17230"/>
      <w:bookmarkStart w:id="42" w:name="_Toc6486"/>
      <w:r>
        <w:rPr>
          <w:rFonts w:hint="eastAsia" w:ascii="楷体_GB2312" w:hAnsi="楷体_GB2312" w:eastAsia="楷体_GB2312" w:cstheme="majorBidi"/>
          <w:bCs/>
          <w:sz w:val="32"/>
          <w:szCs w:val="32"/>
          <w:highlight w:val="none"/>
          <w:lang w:val="en-US" w:bidi="ar-SA"/>
        </w:rPr>
        <w:t>（二）绩效评价对象和范围</w:t>
      </w:r>
      <w:bookmarkEnd w:id="39"/>
      <w:bookmarkEnd w:id="40"/>
      <w:bookmarkEnd w:id="41"/>
      <w:bookmarkEnd w:id="42"/>
    </w:p>
    <w:p>
      <w:pPr>
        <w:snapToGrid w:val="0"/>
        <w:spacing w:line="580" w:lineRule="exact"/>
        <w:ind w:firstLine="640" w:firstLineChars="200"/>
        <w:rPr>
          <w:rFonts w:ascii="仿宋_GB2312" w:hAnsi="仿宋_GB2312" w:eastAsia="仿宋_GB2312" w:cs="仿宋_GB2312"/>
          <w:color w:val="auto"/>
          <w:sz w:val="32"/>
          <w:szCs w:val="32"/>
          <w:highlight w:val="none"/>
          <w:lang w:bidi="ar"/>
        </w:rPr>
      </w:pPr>
      <w:bookmarkStart w:id="43" w:name="_Toc17573"/>
      <w:bookmarkStart w:id="44" w:name="_Toc18270"/>
      <w:bookmarkStart w:id="45" w:name="_Toc15688"/>
      <w:r>
        <w:rPr>
          <w:rFonts w:hint="eastAsia" w:ascii="仿宋_GB2312" w:hAnsi="仿宋_GB2312" w:eastAsia="仿宋_GB2312" w:cs="仿宋_GB2312"/>
          <w:color w:val="auto"/>
          <w:sz w:val="32"/>
          <w:szCs w:val="32"/>
          <w:lang w:bidi="ar"/>
        </w:rPr>
        <w:t>1.评价对象：</w:t>
      </w:r>
      <w:r>
        <w:rPr>
          <w:rFonts w:hint="eastAsia" w:ascii="仿宋_GB2312" w:hAnsi="仿宋_GB2312" w:eastAsia="仿宋_GB2312" w:cs="仿宋_GB2312"/>
          <w:color w:val="auto"/>
          <w:sz w:val="32"/>
          <w:szCs w:val="32"/>
          <w:lang w:val="en-US" w:eastAsia="zh-CN" w:bidi="ar"/>
        </w:rPr>
        <w:t>2</w:t>
      </w:r>
      <w:r>
        <w:rPr>
          <w:rFonts w:hint="eastAsia" w:ascii="仿宋_GB2312" w:eastAsia="仿宋_GB2312" w:cs="仿宋_GB2312"/>
          <w:color w:val="auto"/>
          <w:sz w:val="32"/>
          <w:szCs w:val="32"/>
          <w:highlight w:val="none"/>
        </w:rPr>
        <w:t>020年山亭区绿道建设项目</w:t>
      </w:r>
      <w:r>
        <w:rPr>
          <w:rFonts w:hint="eastAsia" w:ascii="仿宋_GB2312" w:hAnsi="仿宋" w:eastAsia="仿宋_GB2312" w:cs="仿宋"/>
          <w:color w:val="auto"/>
          <w:sz w:val="32"/>
          <w:szCs w:val="32"/>
          <w:highlight w:val="none"/>
          <w:lang w:eastAsia="zh-CN"/>
        </w:rPr>
        <w:t>3</w:t>
      </w:r>
      <w:r>
        <w:rPr>
          <w:rFonts w:hint="eastAsia" w:ascii="仿宋_GB2312" w:hAnsi="仿宋" w:eastAsia="仿宋_GB2312" w:cs="仿宋"/>
          <w:color w:val="auto"/>
          <w:sz w:val="32"/>
          <w:szCs w:val="32"/>
          <w:highlight w:val="none"/>
          <w:lang w:val="en-US" w:eastAsia="zh-CN"/>
        </w:rPr>
        <w:t>454.46</w:t>
      </w:r>
      <w:r>
        <w:rPr>
          <w:rFonts w:hint="eastAsia" w:ascii="仿宋_GB2312" w:hAnsi="仿宋" w:eastAsia="仿宋_GB2312" w:cs="Arial"/>
          <w:color w:val="auto"/>
          <w:sz w:val="32"/>
          <w:szCs w:val="32"/>
          <w:highlight w:val="none"/>
        </w:rPr>
        <w:t>万元</w:t>
      </w:r>
      <w:r>
        <w:rPr>
          <w:rFonts w:ascii="仿宋_GB2312" w:hAnsi="仿宋_GB2312" w:eastAsia="仿宋_GB2312" w:cs="仿宋_GB2312"/>
          <w:color w:val="auto"/>
          <w:sz w:val="32"/>
          <w:szCs w:val="32"/>
          <w:highlight w:val="none"/>
          <w:lang w:bidi="ar"/>
        </w:rPr>
        <w:t>的使用绩效。</w:t>
      </w:r>
    </w:p>
    <w:p>
      <w:pPr>
        <w:pStyle w:val="19"/>
        <w:snapToGrid w:val="0"/>
        <w:spacing w:line="580" w:lineRule="exact"/>
        <w:ind w:firstLine="64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2.评价范围：</w:t>
      </w:r>
      <w:r>
        <w:rPr>
          <w:rFonts w:hint="eastAsia" w:ascii="仿宋_GB2312" w:hAnsi="仿宋" w:eastAsia="仿宋_GB2312" w:cs="仿宋"/>
          <w:color w:val="auto"/>
          <w:sz w:val="32"/>
          <w:szCs w:val="32"/>
          <w:lang w:val="en-US" w:eastAsia="zh-CN"/>
        </w:rPr>
        <w:t>自项目申请立项开始至评价日2021年7月11日项目实施全过程及后期运营情况</w:t>
      </w:r>
      <w:r>
        <w:rPr>
          <w:rFonts w:hint="default" w:ascii="仿宋_GB2312" w:hAnsi="仿宋" w:eastAsia="仿宋_GB2312" w:cs="仿宋"/>
          <w:color w:val="auto"/>
          <w:sz w:val="32"/>
          <w:szCs w:val="32"/>
          <w:lang w:eastAsia="zh-Hans"/>
        </w:rPr>
        <w:t>。</w:t>
      </w:r>
    </w:p>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46" w:name="_Toc16746"/>
      <w:r>
        <w:rPr>
          <w:rFonts w:hint="eastAsia" w:ascii="楷体_GB2312" w:hAnsi="楷体_GB2312" w:eastAsia="楷体_GB2312" w:cstheme="majorBidi"/>
          <w:bCs/>
          <w:sz w:val="32"/>
          <w:szCs w:val="32"/>
          <w:highlight w:val="none"/>
          <w:lang w:val="en-US" w:bidi="ar-SA"/>
        </w:rPr>
        <w:t>（三）绩效评价原则和方法</w:t>
      </w:r>
      <w:bookmarkEnd w:id="43"/>
      <w:bookmarkEnd w:id="44"/>
      <w:bookmarkEnd w:id="45"/>
      <w:bookmarkEnd w:id="46"/>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评价组遵循独立、客观、科学、高效原则，综合采用以下方法开展工作：</w:t>
      </w:r>
    </w:p>
    <w:p>
      <w:pPr>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1.案卷研究法。评价组针对单位上报的自评资料和作证材料进行书面审核分析，全面梳理与项目相关的管理制度以及项目申报书、实施方案和工作总结等资料，从总体上把握项目实施要求和执行情况，掌握项目实施、资金使用的基本情况，为下一步的现场勘查做好准备。</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.座谈法。评价组与</w:t>
      </w:r>
      <w:r>
        <w:rPr>
          <w:rFonts w:hint="eastAsia" w:ascii="仿宋_GB2312" w:eastAsia="仿宋_GB2312"/>
          <w:sz w:val="32"/>
          <w:szCs w:val="32"/>
          <w:highlight w:val="none"/>
          <w:lang w:val="en-US" w:eastAsia="zh-CN"/>
        </w:rPr>
        <w:t>主管</w:t>
      </w:r>
      <w:r>
        <w:rPr>
          <w:rFonts w:hint="eastAsia" w:ascii="仿宋_GB2312" w:eastAsia="仿宋_GB2312"/>
          <w:sz w:val="32"/>
          <w:szCs w:val="32"/>
          <w:highlight w:val="none"/>
        </w:rPr>
        <w:t>部门座谈，</w:t>
      </w:r>
      <w:r>
        <w:rPr>
          <w:rFonts w:hint="eastAsia" w:ascii="仿宋_GB2312" w:eastAsia="仿宋_GB2312"/>
          <w:sz w:val="32"/>
          <w:szCs w:val="32"/>
          <w:highlight w:val="none"/>
          <w:lang w:val="en-US" w:eastAsia="zh-CN"/>
        </w:rPr>
        <w:t>整体上</w:t>
      </w:r>
      <w:r>
        <w:rPr>
          <w:rFonts w:hint="eastAsia" w:ascii="仿宋_GB2312" w:eastAsia="仿宋_GB2312"/>
          <w:sz w:val="32"/>
          <w:szCs w:val="32"/>
          <w:highlight w:val="none"/>
        </w:rPr>
        <w:t>了解</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开展情况，</w:t>
      </w:r>
      <w:r>
        <w:rPr>
          <w:rFonts w:hint="eastAsia" w:ascii="仿宋_GB2312" w:hAnsi="宋体" w:eastAsia="仿宋_GB2312" w:cs="宋体"/>
          <w:kern w:val="0"/>
          <w:sz w:val="32"/>
          <w:szCs w:val="32"/>
        </w:rPr>
        <w:t>了解项目实施的具体细节和存在的问题困难，</w:t>
      </w:r>
      <w:r>
        <w:rPr>
          <w:rFonts w:hint="eastAsia" w:ascii="仿宋_GB2312" w:eastAsia="仿宋_GB2312"/>
          <w:sz w:val="32"/>
          <w:szCs w:val="32"/>
          <w:highlight w:val="none"/>
        </w:rPr>
        <w:t>并听取相关部门的意见和建议。</w:t>
      </w:r>
    </w:p>
    <w:p>
      <w:pPr>
        <w:spacing w:line="58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.现场调研法。评价组对遴选的项目开展现场调研，组组织相关行业专家，赴现场实地考察项目进展、组织管理和资金实施效果等情况</w:t>
      </w:r>
      <w:r>
        <w:rPr>
          <w:rFonts w:hint="eastAsia" w:ascii="仿宋_GB2312" w:eastAsia="仿宋_GB2312"/>
          <w:sz w:val="32"/>
          <w:szCs w:val="32"/>
          <w:highlight w:val="none"/>
          <w:lang w:eastAsia="zh-CN"/>
        </w:rPr>
        <w:t>。</w:t>
      </w:r>
    </w:p>
    <w:p>
      <w:pPr>
        <w:spacing w:line="580" w:lineRule="exact"/>
        <w:ind w:firstLine="640" w:firstLineChars="200"/>
        <w:rPr>
          <w:rFonts w:hint="eastAsia" w:ascii="仿宋_GB2312" w:eastAsia="仿宋_GB2312"/>
          <w:color w:val="000000"/>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.公众评判法。通过专家评价、</w:t>
      </w:r>
      <w:r>
        <w:rPr>
          <w:rFonts w:hint="eastAsia" w:ascii="仿宋_GB2312" w:eastAsia="仿宋_GB2312"/>
          <w:sz w:val="32"/>
          <w:szCs w:val="32"/>
          <w:highlight w:val="none"/>
          <w:lang w:val="en-US" w:eastAsia="zh-CN"/>
        </w:rPr>
        <w:t>调查</w:t>
      </w:r>
      <w:r>
        <w:rPr>
          <w:rFonts w:hint="eastAsia" w:ascii="仿宋_GB2312" w:eastAsia="仿宋_GB2312"/>
          <w:sz w:val="32"/>
          <w:szCs w:val="32"/>
          <w:highlight w:val="none"/>
        </w:rPr>
        <w:t>问卷及抽样调查，对</w:t>
      </w:r>
      <w:r>
        <w:rPr>
          <w:rFonts w:hint="eastAsia" w:ascii="仿宋_GB2312" w:eastAsia="仿宋_GB2312"/>
          <w:sz w:val="32"/>
          <w:szCs w:val="32"/>
          <w:highlight w:val="none"/>
          <w:lang w:val="en-US" w:eastAsia="zh-CN"/>
        </w:rPr>
        <w:t>部分</w:t>
      </w:r>
      <w:r>
        <w:rPr>
          <w:rFonts w:hint="eastAsia" w:ascii="仿宋_GB2312" w:eastAsia="仿宋_GB2312"/>
          <w:sz w:val="32"/>
          <w:szCs w:val="32"/>
          <w:highlight w:val="none"/>
        </w:rPr>
        <w:t>绩效考评内容完成情况进行打分，搜集</w:t>
      </w:r>
      <w:r>
        <w:rPr>
          <w:rFonts w:hint="eastAsia" w:ascii="仿宋_GB2312" w:eastAsia="仿宋_GB2312"/>
          <w:sz w:val="32"/>
          <w:szCs w:val="32"/>
          <w:highlight w:val="none"/>
          <w:lang w:val="en-US" w:eastAsia="zh-CN"/>
        </w:rPr>
        <w:t>项目区群众</w:t>
      </w:r>
      <w:r>
        <w:rPr>
          <w:rFonts w:hint="eastAsia" w:ascii="仿宋_GB2312" w:eastAsia="仿宋_GB2312"/>
          <w:sz w:val="32"/>
          <w:szCs w:val="32"/>
          <w:highlight w:val="none"/>
        </w:rPr>
        <w:t>对项目组织实施过程以及实施效果的满意度</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并根据分值评价绩效目标完成情况。</w:t>
      </w:r>
    </w:p>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47" w:name="_Toc30921"/>
      <w:bookmarkStart w:id="48" w:name="_Toc18491"/>
      <w:bookmarkStart w:id="49" w:name="_Toc24623"/>
      <w:bookmarkStart w:id="50" w:name="_Toc3693"/>
      <w:r>
        <w:rPr>
          <w:rFonts w:hint="eastAsia" w:ascii="楷体_GB2312" w:hAnsi="楷体_GB2312" w:eastAsia="楷体_GB2312" w:cstheme="majorBidi"/>
          <w:bCs/>
          <w:sz w:val="32"/>
          <w:szCs w:val="32"/>
          <w:highlight w:val="none"/>
          <w:lang w:val="en-US" w:bidi="ar-SA"/>
        </w:rPr>
        <w:t>（四）绩效评价指标体系</w:t>
      </w:r>
      <w:bookmarkEnd w:id="47"/>
      <w:bookmarkEnd w:id="48"/>
      <w:bookmarkEnd w:id="49"/>
      <w:bookmarkEnd w:id="50"/>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1.指标体系设计的总体思路</w:t>
      </w:r>
    </w:p>
    <w:p>
      <w:pPr>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lang w:bidi="ar"/>
        </w:rPr>
        <w:t>本次绩效评价指标体系的设计参照《山亭区项目支出绩效评价管理办法》（山财绩〔2020〕1号）的相关规定，对各级指标进行细化和调整，并参照专家意见和以往经验确定三级和四级指标的权重。另外，根据相关法律法规、项目绩效目标及相关管理办法及项目特点，确定绩效评价标准。</w:t>
      </w:r>
      <w:r>
        <w:rPr>
          <w:rFonts w:hint="eastAsia" w:ascii="仿宋_GB2312" w:eastAsia="仿宋_GB2312"/>
          <w:sz w:val="32"/>
          <w:szCs w:val="32"/>
          <w:highlight w:val="none"/>
        </w:rPr>
        <w:t>本文针对</w:t>
      </w:r>
      <w:r>
        <w:rPr>
          <w:rFonts w:hint="eastAsia" w:ascii="仿宋_GB2312" w:eastAsia="仿宋_GB2312"/>
          <w:sz w:val="32"/>
          <w:szCs w:val="32"/>
          <w:highlight w:val="none"/>
          <w:lang w:val="en-US" w:eastAsia="zh-CN"/>
        </w:rPr>
        <w:t>山亭区交通运输局</w:t>
      </w:r>
      <w:r>
        <w:rPr>
          <w:rFonts w:hint="eastAsia" w:ascii="仿宋_GB2312" w:eastAsia="仿宋_GB2312"/>
          <w:sz w:val="32"/>
          <w:szCs w:val="32"/>
          <w:highlight w:val="none"/>
        </w:rPr>
        <w:t>项目实施制定</w:t>
      </w:r>
      <w:r>
        <w:rPr>
          <w:rFonts w:hint="eastAsia" w:ascii="仿宋_GB2312" w:eastAsia="仿宋_GB2312"/>
          <w:sz w:val="32"/>
          <w:szCs w:val="32"/>
          <w:highlight w:val="none"/>
          <w:lang w:val="en-US" w:eastAsia="zh-CN"/>
        </w:rPr>
        <w:t>具有项目特色的指标体系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最终确定了</w:t>
      </w:r>
      <w:r>
        <w:rPr>
          <w:rFonts w:hint="eastAsia" w:ascii="仿宋_GB2312" w:hAnsi="仿宋" w:eastAsia="仿宋_GB2312" w:cs="仿宋"/>
          <w:color w:val="auto"/>
          <w:sz w:val="32"/>
          <w:szCs w:val="32"/>
          <w:highlight w:val="none"/>
          <w:lang w:val="en-US" w:eastAsia="zh-CN"/>
        </w:rPr>
        <w:t>枣庄市山亭区2020年环城绿道提升工程和</w:t>
      </w:r>
      <w:r>
        <w:rPr>
          <w:rFonts w:hint="eastAsia" w:ascii="仿宋_GB2312" w:hAnsi="仿宋" w:eastAsia="仿宋_GB2312" w:cs="仿宋"/>
          <w:color w:val="auto"/>
          <w:sz w:val="32"/>
          <w:szCs w:val="32"/>
          <w:highlight w:val="none"/>
        </w:rPr>
        <w:t>北外环绿道建设工程项目</w:t>
      </w:r>
      <w:r>
        <w:rPr>
          <w:rFonts w:hint="eastAsia" w:ascii="仿宋_GB2312" w:eastAsia="仿宋_GB2312"/>
          <w:sz w:val="32"/>
          <w:szCs w:val="32"/>
          <w:highlight w:val="none"/>
        </w:rPr>
        <w:t>绩效评价指标体系由</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个一级指标、</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个二级指标、</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个三级指标和</w:t>
      </w:r>
      <w:r>
        <w:rPr>
          <w:rFonts w:hint="eastAsia" w:ascii="仿宋_GB2312" w:eastAsia="仿宋_GB2312"/>
          <w:sz w:val="32"/>
          <w:szCs w:val="32"/>
          <w:highlight w:val="none"/>
          <w:lang w:val="en-US" w:eastAsia="zh-CN"/>
        </w:rPr>
        <w:t>33</w:t>
      </w:r>
      <w:r>
        <w:rPr>
          <w:rFonts w:hint="eastAsia" w:ascii="仿宋_GB2312" w:eastAsia="仿宋_GB2312"/>
          <w:sz w:val="32"/>
          <w:szCs w:val="32"/>
          <w:highlight w:val="none"/>
        </w:rPr>
        <w:t>个四级指标组成（详见附件1）</w:t>
      </w:r>
      <w:r>
        <w:rPr>
          <w:rFonts w:hint="eastAsia" w:ascii="仿宋_GB2312" w:eastAsia="仿宋_GB2312"/>
          <w:sz w:val="32"/>
          <w:szCs w:val="32"/>
          <w:highlight w:val="none"/>
          <w:lang w:eastAsia="zh-CN"/>
        </w:rPr>
        <w:t>。</w:t>
      </w:r>
    </w:p>
    <w:p>
      <w:pPr>
        <w:pStyle w:val="21"/>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.绩效评价级次</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本次绩效评价级次分为</w:t>
      </w:r>
      <w:r>
        <w:rPr>
          <w:rFonts w:ascii="仿宋_GB2312" w:eastAsia="仿宋_GB2312"/>
          <w:color w:val="000000"/>
          <w:sz w:val="32"/>
          <w:szCs w:val="32"/>
          <w:highlight w:val="none"/>
        </w:rPr>
        <w:t>4个等级：</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综合得分在</w:t>
      </w:r>
      <w:r>
        <w:rPr>
          <w:rFonts w:ascii="仿宋_GB2312" w:eastAsia="仿宋_GB2312"/>
          <w:color w:val="000000"/>
          <w:sz w:val="32"/>
          <w:szCs w:val="32"/>
          <w:highlight w:val="none"/>
        </w:rPr>
        <w:t>90</w:t>
      </w:r>
      <w:r>
        <w:rPr>
          <w:rFonts w:hint="eastAsia" w:ascii="仿宋_GB2312" w:eastAsia="仿宋_GB2312"/>
          <w:color w:val="000000"/>
          <w:sz w:val="32"/>
          <w:szCs w:val="32"/>
          <w:highlight w:val="none"/>
        </w:rPr>
        <w:t>分</w:t>
      </w:r>
      <w:r>
        <w:rPr>
          <w:rFonts w:ascii="仿宋_GB2312" w:eastAsia="仿宋_GB2312"/>
          <w:color w:val="000000"/>
          <w:sz w:val="32"/>
          <w:szCs w:val="32"/>
          <w:highlight w:val="none"/>
        </w:rPr>
        <w:t>（含90分）以上为</w:t>
      </w:r>
      <w:r>
        <w:rPr>
          <w:rFonts w:hint="eastAsia" w:ascii="仿宋_GB2312" w:eastAsia="仿宋_GB2312"/>
          <w:color w:val="000000"/>
          <w:sz w:val="32"/>
          <w:szCs w:val="32"/>
          <w:highlight w:val="none"/>
        </w:rPr>
        <w:t>“优”</w:t>
      </w:r>
      <w:r>
        <w:rPr>
          <w:rFonts w:ascii="仿宋_GB2312" w:eastAsia="仿宋_GB2312"/>
          <w:color w:val="000000"/>
          <w:sz w:val="32"/>
          <w:szCs w:val="32"/>
          <w:highlight w:val="none"/>
        </w:rPr>
        <w:t>；</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综合得分在</w:t>
      </w:r>
      <w:r>
        <w:rPr>
          <w:rFonts w:ascii="仿宋_GB2312" w:eastAsia="仿宋_GB2312"/>
          <w:color w:val="000000"/>
          <w:sz w:val="32"/>
          <w:szCs w:val="32"/>
          <w:highlight w:val="none"/>
        </w:rPr>
        <w:t>80～90分（含80分）为</w:t>
      </w:r>
      <w:r>
        <w:rPr>
          <w:rFonts w:hint="eastAsia" w:ascii="仿宋_GB2312" w:eastAsia="仿宋_GB2312"/>
          <w:color w:val="000000"/>
          <w:sz w:val="32"/>
          <w:szCs w:val="32"/>
          <w:highlight w:val="none"/>
        </w:rPr>
        <w:t>“良”</w:t>
      </w:r>
      <w:r>
        <w:rPr>
          <w:rFonts w:ascii="仿宋_GB2312" w:eastAsia="仿宋_GB2312"/>
          <w:color w:val="000000"/>
          <w:sz w:val="32"/>
          <w:szCs w:val="32"/>
          <w:highlight w:val="none"/>
        </w:rPr>
        <w:t>；</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综合得分在</w:t>
      </w:r>
      <w:r>
        <w:rPr>
          <w:rFonts w:ascii="仿宋_GB2312" w:eastAsia="仿宋_GB2312"/>
          <w:color w:val="000000"/>
          <w:sz w:val="32"/>
          <w:szCs w:val="32"/>
          <w:highlight w:val="none"/>
        </w:rPr>
        <w:t>60～80分（含60分）为</w:t>
      </w:r>
      <w:r>
        <w:rPr>
          <w:rFonts w:hint="eastAsia" w:ascii="仿宋_GB2312" w:eastAsia="仿宋_GB2312"/>
          <w:color w:val="000000"/>
          <w:sz w:val="32"/>
          <w:szCs w:val="32"/>
          <w:highlight w:val="none"/>
        </w:rPr>
        <w:t>“中”</w:t>
      </w:r>
      <w:r>
        <w:rPr>
          <w:rFonts w:ascii="仿宋_GB2312" w:eastAsia="仿宋_GB2312"/>
          <w:color w:val="000000"/>
          <w:sz w:val="32"/>
          <w:szCs w:val="32"/>
          <w:highlight w:val="none"/>
        </w:rPr>
        <w:t>；</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综合得分在</w:t>
      </w:r>
      <w:r>
        <w:rPr>
          <w:rFonts w:ascii="仿宋_GB2312" w:eastAsia="仿宋_GB2312"/>
          <w:color w:val="000000"/>
          <w:sz w:val="32"/>
          <w:szCs w:val="32"/>
          <w:highlight w:val="none"/>
        </w:rPr>
        <w:t>60分以下为</w:t>
      </w:r>
      <w:r>
        <w:rPr>
          <w:rFonts w:hint="eastAsia" w:ascii="仿宋_GB2312" w:eastAsia="仿宋_GB2312"/>
          <w:color w:val="000000"/>
          <w:sz w:val="32"/>
          <w:szCs w:val="32"/>
          <w:highlight w:val="none"/>
        </w:rPr>
        <w:t>“差”</w:t>
      </w:r>
      <w:r>
        <w:rPr>
          <w:rFonts w:ascii="仿宋_GB2312" w:eastAsia="仿宋_GB2312"/>
          <w:color w:val="000000"/>
          <w:sz w:val="32"/>
          <w:szCs w:val="32"/>
          <w:highlight w:val="none"/>
        </w:rPr>
        <w:t>。</w:t>
      </w:r>
    </w:p>
    <w:p>
      <w:pPr>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其中“优”表示成效显著，“良”表示成效明显，“中”表示成效一般，“差”表示成效较差。</w:t>
      </w:r>
    </w:p>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51" w:name="_Toc12666"/>
      <w:bookmarkStart w:id="52" w:name="_Toc17815"/>
      <w:bookmarkStart w:id="53" w:name="_Toc13505"/>
      <w:bookmarkStart w:id="54" w:name="_Toc9301"/>
      <w:r>
        <w:rPr>
          <w:rFonts w:hint="eastAsia" w:ascii="楷体_GB2312" w:hAnsi="楷体_GB2312" w:eastAsia="楷体_GB2312" w:cstheme="majorBidi"/>
          <w:bCs/>
          <w:sz w:val="32"/>
          <w:szCs w:val="32"/>
          <w:highlight w:val="none"/>
          <w:lang w:val="en-US" w:bidi="ar-SA"/>
        </w:rPr>
        <w:t>（五）评价人员组成</w:t>
      </w:r>
      <w:bookmarkEnd w:id="51"/>
      <w:bookmarkEnd w:id="52"/>
      <w:bookmarkEnd w:id="53"/>
      <w:bookmarkEnd w:id="54"/>
    </w:p>
    <w:p>
      <w:pPr>
        <w:pStyle w:val="21"/>
        <w:spacing w:line="580" w:lineRule="exact"/>
        <w:ind w:firstLine="640" w:firstLineChars="200"/>
        <w:outlineLvl w:val="0"/>
        <w:rPr>
          <w:rFonts w:ascii="仿宋_GB2312" w:eastAsia="仿宋_GB2312"/>
          <w:sz w:val="32"/>
          <w:szCs w:val="32"/>
        </w:rPr>
      </w:pPr>
      <w:bookmarkStart w:id="55" w:name="_Toc32259"/>
      <w:bookmarkStart w:id="56" w:name="_Toc10252"/>
      <w:bookmarkStart w:id="57" w:name="_Toc17347"/>
      <w:bookmarkStart w:id="58" w:name="_Toc6231"/>
      <w:bookmarkStart w:id="59" w:name="_Toc23702"/>
      <w:r>
        <w:rPr>
          <w:rFonts w:hint="eastAsia" w:ascii="仿宋_GB2312" w:hAnsi="仿宋_GB2312" w:eastAsia="仿宋_GB2312" w:cs="仿宋_GB2312"/>
          <w:sz w:val="32"/>
          <w:szCs w:val="32"/>
          <w:lang w:bidi="ar"/>
        </w:rPr>
        <w:t>此次评价组由</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名工作人员和</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名财务专家组成，评价小组成员与被评价项目及被评价单位不存在任何利益冲突。绩效评价专家及财务专家具有相应资质或职称，在行业领域中具有多年的从业经验，同时多次参与绩效评价工作并熟悉绩效评价的工作流程；工作人员具备绩效评价知识和经验，熟悉评价项目、评价规范和技术规范。</w:t>
      </w:r>
      <w:r>
        <w:rPr>
          <w:rFonts w:hint="eastAsia" w:ascii="仿宋_GB2312" w:eastAsia="仿宋_GB2312"/>
          <w:sz w:val="32"/>
          <w:szCs w:val="32"/>
        </w:rPr>
        <w:t>工作人员及备选专家分工详见下表：</w:t>
      </w:r>
      <w:bookmarkEnd w:id="55"/>
      <w:bookmarkEnd w:id="56"/>
    </w:p>
    <w:p>
      <w:pPr>
        <w:pStyle w:val="8"/>
        <w:kinsoku w:val="0"/>
        <w:overflowPunct w:val="0"/>
        <w:spacing w:line="580" w:lineRule="exact"/>
        <w:ind w:left="0"/>
        <w:jc w:val="center"/>
        <w:rPr>
          <w:rFonts w:hint="eastAsia" w:ascii="黑体" w:hAnsi="黑体" w:eastAsia="黑体" w:cs="黑体"/>
          <w:kern w:val="0"/>
          <w:sz w:val="28"/>
          <w:szCs w:val="28"/>
          <w:lang w:val="en-US" w:eastAsia="zh-CN" w:bidi="ar-SA"/>
        </w:rPr>
      </w:pPr>
      <w:bookmarkStart w:id="60" w:name="_Toc338558954_WPSOffice_Level3"/>
      <w:bookmarkStart w:id="61" w:name="_Toc1879087618_WPSOffice_Level3"/>
      <w:bookmarkStart w:id="62" w:name="_Toc1470880829_WPSOffice_Level3"/>
      <w:bookmarkStart w:id="63" w:name="_Toc640901275_WPSOffice_Level3"/>
      <w:bookmarkStart w:id="64" w:name="_Toc406530812_WPSOffice_Level3"/>
      <w:bookmarkStart w:id="65" w:name="_Toc1619163465_WPSOffice_Level3"/>
      <w:bookmarkStart w:id="66" w:name="_Toc1084026770_WPSOffice_Level3"/>
      <w:bookmarkStart w:id="67" w:name="_Toc1443758907_WPSOffice_Level3"/>
      <w:r>
        <w:rPr>
          <w:rFonts w:hint="eastAsia" w:ascii="黑体" w:hAnsi="黑体" w:eastAsia="黑体" w:cs="黑体"/>
          <w:kern w:val="0"/>
          <w:sz w:val="28"/>
          <w:szCs w:val="28"/>
          <w:lang w:val="en-US" w:eastAsia="zh-CN" w:bidi="ar-SA"/>
        </w:rPr>
        <w:t>表3：工作人员及分工情况表</w:t>
      </w:r>
      <w:bookmarkEnd w:id="60"/>
      <w:bookmarkEnd w:id="61"/>
      <w:bookmarkEnd w:id="62"/>
      <w:bookmarkEnd w:id="63"/>
      <w:bookmarkEnd w:id="64"/>
      <w:bookmarkEnd w:id="65"/>
      <w:bookmarkEnd w:id="66"/>
      <w:bookmarkEnd w:id="67"/>
    </w:p>
    <w:tbl>
      <w:tblPr>
        <w:tblStyle w:val="16"/>
        <w:tblW w:w="0" w:type="auto"/>
        <w:jc w:val="center"/>
        <w:shd w:val="clear" w:color="auto" w:fill="auto"/>
        <w:tblLayout w:type="fixed"/>
        <w:tblCellMar>
          <w:top w:w="0" w:type="dxa"/>
          <w:left w:w="108" w:type="dxa"/>
          <w:bottom w:w="0" w:type="dxa"/>
          <w:right w:w="108" w:type="dxa"/>
        </w:tblCellMar>
      </w:tblPr>
      <w:tblGrid>
        <w:gridCol w:w="525"/>
        <w:gridCol w:w="969"/>
        <w:gridCol w:w="1843"/>
        <w:gridCol w:w="2207"/>
        <w:gridCol w:w="2914"/>
      </w:tblGrid>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序号</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姓名</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职务</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zh-CN"/>
              </w:rPr>
              <w:t>职称</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工作单位</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分工</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rPr>
              <w:t>1</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李舒月</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项目负责人</w:t>
            </w:r>
            <w:r>
              <w:rPr>
                <w:rFonts w:hint="eastAsia" w:ascii="宋体" w:hAnsi="宋体" w:eastAsia="宋体" w:cs="宋体"/>
                <w:kern w:val="0"/>
                <w:sz w:val="21"/>
                <w:szCs w:val="21"/>
              </w:rPr>
              <w:t>/ PMP</w:t>
            </w:r>
            <w:r>
              <w:rPr>
                <w:rFonts w:hint="eastAsia" w:ascii="宋体" w:hAnsi="宋体" w:eastAsia="宋体" w:cs="宋体"/>
                <w:kern w:val="0"/>
                <w:sz w:val="21"/>
                <w:szCs w:val="21"/>
                <w:lang w:val="zh-CN"/>
              </w:rPr>
              <w:t>®</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负责整个评价工作的监督与控制，把控阶段性成果及最终成果的质量</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刘  彬</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高级项目经理</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负责整个评价工作的监督与控制，把控阶段性成果及成果的质量</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3</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袁</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征</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项目经理/</w:t>
            </w:r>
            <w:r>
              <w:rPr>
                <w:rFonts w:hint="eastAsia" w:ascii="宋体" w:hAnsi="宋体" w:eastAsia="宋体" w:cs="宋体"/>
                <w:kern w:val="0"/>
                <w:sz w:val="21"/>
                <w:szCs w:val="21"/>
                <w:lang w:val="zh-CN"/>
              </w:rPr>
              <w:t>绩效评价师</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负责评价工作前期准备、实施阶段及报告撰写各个阶段统筹安排</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4</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张引娜</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项目助理</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负责协助完成现场评价相关工作</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冯</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桦</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项目助理</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负责协助完成现场评价相关工作</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6</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孙天波</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高级会计师</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作为财务专家对项目的实施情况进行评价</w:t>
            </w:r>
          </w:p>
        </w:tc>
      </w:tr>
      <w:tr>
        <w:tblPrEx>
          <w:shd w:val="clear" w:color="auto" w:fill="auto"/>
          <w:tblCellMar>
            <w:top w:w="0" w:type="dxa"/>
            <w:left w:w="108" w:type="dxa"/>
            <w:bottom w:w="0" w:type="dxa"/>
            <w:right w:w="108" w:type="dxa"/>
          </w:tblCellMar>
        </w:tblPrEx>
        <w:trPr>
          <w:trHeight w:val="444" w:hRule="atLeast"/>
          <w:jc w:val="center"/>
        </w:trPr>
        <w:tc>
          <w:tcPr>
            <w:tcW w:w="525"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SA"/>
              </w:rPr>
              <w:t>7</w:t>
            </w:r>
          </w:p>
        </w:tc>
        <w:tc>
          <w:tcPr>
            <w:tcW w:w="969"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刘焕平</w:t>
            </w:r>
          </w:p>
        </w:tc>
        <w:tc>
          <w:tcPr>
            <w:tcW w:w="1843"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管理专家/</w:t>
            </w:r>
            <w:r>
              <w:rPr>
                <w:rFonts w:hint="eastAsia" w:ascii="宋体" w:hAnsi="宋体" w:eastAsia="宋体" w:cs="宋体"/>
                <w:kern w:val="0"/>
                <w:sz w:val="21"/>
                <w:szCs w:val="21"/>
                <w:lang w:val="zh-CN"/>
              </w:rPr>
              <w:t>高级会计师</w:t>
            </w:r>
          </w:p>
        </w:tc>
        <w:tc>
          <w:tcPr>
            <w:tcW w:w="2207"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center"/>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中景瑞晟（北京）管理咨询有限公司</w:t>
            </w:r>
          </w:p>
        </w:tc>
        <w:tc>
          <w:tcPr>
            <w:tcW w:w="2914" w:type="dxa"/>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adjustRightInd w:val="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负责财政预算绩效管理方面评价工作，并提出评价意见</w:t>
            </w:r>
          </w:p>
        </w:tc>
      </w:tr>
    </w:tbl>
    <w:p>
      <w:pPr>
        <w:pStyle w:val="4"/>
        <w:keepNext/>
        <w:keepLines/>
        <w:widowControl/>
        <w:overflowPunct w:val="0"/>
        <w:adjustRightInd w:val="0"/>
        <w:spacing w:line="580" w:lineRule="exact"/>
        <w:ind w:left="0" w:firstLine="640" w:firstLineChars="200"/>
        <w:jc w:val="both"/>
        <w:textAlignment w:val="baseline"/>
        <w:rPr>
          <w:rFonts w:ascii="楷体_GB2312" w:hAnsi="楷体_GB2312" w:eastAsia="楷体_GB2312" w:cstheme="majorBidi"/>
          <w:bCs/>
          <w:sz w:val="32"/>
          <w:szCs w:val="32"/>
          <w:highlight w:val="none"/>
          <w:lang w:val="en-US" w:bidi="ar-SA"/>
        </w:rPr>
      </w:pPr>
      <w:bookmarkStart w:id="68" w:name="_Toc12358"/>
      <w:r>
        <w:rPr>
          <w:rFonts w:hint="eastAsia" w:ascii="楷体_GB2312" w:hAnsi="楷体_GB2312" w:eastAsia="楷体_GB2312" w:cstheme="majorBidi"/>
          <w:bCs/>
          <w:sz w:val="32"/>
          <w:szCs w:val="32"/>
          <w:highlight w:val="none"/>
          <w:lang w:val="en-US" w:bidi="ar-SA"/>
        </w:rPr>
        <w:t>（六）绩效评价工作过程</w:t>
      </w:r>
      <w:bookmarkEnd w:id="57"/>
      <w:bookmarkEnd w:id="58"/>
      <w:bookmarkEnd w:id="59"/>
      <w:bookmarkEnd w:id="68"/>
    </w:p>
    <w:p>
      <w:pPr>
        <w:spacing w:line="580" w:lineRule="exact"/>
        <w:ind w:firstLine="640" w:firstLineChars="200"/>
        <w:rPr>
          <w:rFonts w:hint="eastAsia" w:ascii="仿宋_GB2312" w:eastAsia="仿宋_GB2312"/>
          <w:color w:val="000000"/>
          <w:sz w:val="32"/>
          <w:szCs w:val="32"/>
        </w:rPr>
      </w:pPr>
      <w:bookmarkStart w:id="69" w:name="_Toc26543"/>
      <w:bookmarkStart w:id="70" w:name="_Toc2691"/>
      <w:bookmarkStart w:id="71" w:name="_Toc22030"/>
      <w:r>
        <w:rPr>
          <w:rFonts w:hint="eastAsia" w:ascii="仿宋_GB2312" w:eastAsia="仿宋_GB2312"/>
          <w:color w:val="000000"/>
          <w:sz w:val="32"/>
          <w:szCs w:val="32"/>
        </w:rPr>
        <w:t>本项目支出绩效评价工作共分前期准备、评价实施、总结3个阶段，并于2021年8月中旬完成。各阶段具体工作安排如下：</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1.评价准备阶段（2021年7月11日-2021年7月27日）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首先，熟悉政策、法规和相关资料。在明确委托方要求的前提下，评价机构搜集并分析相关法律法规、政策文件以及初步的项目资料，明确评价目的、项目概况、项目背景以及项目实施的完成情况等。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其次，设计指标体系。与委托方、项目主管部门、项目单位等进行沟通、访谈，设计绩效评价指标，包括确定评价原则、评价方法、评价指标内容、确定指标权重及评价标准等。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再次，制订绩效评价工作方案。就评价背景、评价目的、评价对象和内容、评价方法、评价依据和进度安排等制定初步工作方案和绩效评价指标体系并报委托方审核，依据委托方提出的意见进一步完善工作方案和指标体系。</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最后，制定评价表格。评价机构根据工作需求进行资料清单、调查文本设计，包括需要由项目实施单位提供的评价资料明细、调查问卷等。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2.评价实施阶段（2021年8月1日-8月21日）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评价机构依据工作需要组建评价小组到项目单位进行现场评价。采取勘察、问询、座谈、复核等多种方式，结合主管部门、项目单位提供的项目资料，对项目的实施和完成情况进行核实，并对所掌握的有关信息进行分类、整理和初步分析，形成现场评价意见。</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3.评价总结阶段（2021年8月22日-8月25日）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评价机构根据收集的资料和现场勘查情况等，撰写</w:t>
      </w:r>
      <w:r>
        <w:rPr>
          <w:rFonts w:hint="eastAsia" w:ascii="仿宋_GB2312" w:eastAsia="仿宋_GB2312"/>
          <w:color w:val="000000"/>
          <w:sz w:val="32"/>
          <w:szCs w:val="32"/>
          <w:lang w:eastAsia="zh-CN"/>
        </w:rPr>
        <w:t>2020年环城绿道提升工程和北外环绿道建设工程项目绩效评价报告</w:t>
      </w:r>
      <w:r>
        <w:rPr>
          <w:rFonts w:hint="eastAsia" w:ascii="仿宋_GB2312" w:eastAsia="仿宋_GB2312"/>
          <w:color w:val="000000"/>
          <w:sz w:val="32"/>
          <w:szCs w:val="32"/>
        </w:rPr>
        <w:t>，经内部三级审核后，提交委托方，并征求委托方意见，提交正式报告。</w:t>
      </w:r>
    </w:p>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bidi="ar-SA"/>
        </w:rPr>
      </w:pPr>
      <w:bookmarkStart w:id="72" w:name="_Toc10810"/>
      <w:r>
        <w:rPr>
          <w:rFonts w:hint="eastAsia" w:ascii="仿宋_GB2312" w:hAnsi="仿宋_GB2312" w:eastAsia="黑体" w:cs="Times New Roman"/>
          <w:b w:val="0"/>
          <w:bCs w:val="0"/>
          <w:kern w:val="44"/>
          <w:szCs w:val="24"/>
          <w:lang w:val="en-US" w:bidi="ar-SA"/>
        </w:rPr>
        <w:t>三、评价结论和绩效分析</w:t>
      </w:r>
      <w:bookmarkEnd w:id="69"/>
      <w:bookmarkEnd w:id="70"/>
      <w:bookmarkEnd w:id="71"/>
      <w:bookmarkEnd w:id="72"/>
    </w:p>
    <w:p>
      <w:pPr>
        <w:pStyle w:val="4"/>
        <w:keepNext/>
        <w:keepLines/>
        <w:widowControl/>
        <w:overflowPunct w:val="0"/>
        <w:adjustRightInd w:val="0"/>
        <w:spacing w:line="580" w:lineRule="exact"/>
        <w:ind w:left="0" w:firstLine="640" w:firstLineChars="200"/>
        <w:jc w:val="both"/>
        <w:textAlignment w:val="baseline"/>
        <w:rPr>
          <w:rFonts w:hint="default" w:ascii="楷体_GB2312" w:hAnsi="楷体_GB2312" w:eastAsia="楷体_GB2312" w:cstheme="majorBidi"/>
          <w:bCs/>
          <w:sz w:val="32"/>
          <w:szCs w:val="32"/>
          <w:highlight w:val="none"/>
          <w:lang w:val="en-US" w:eastAsia="zh-CN" w:bidi="ar-SA"/>
        </w:rPr>
      </w:pPr>
      <w:bookmarkStart w:id="73" w:name="_Toc6562"/>
      <w:bookmarkStart w:id="74" w:name="_Toc19739"/>
      <w:bookmarkStart w:id="75" w:name="_Toc1415"/>
      <w:r>
        <w:rPr>
          <w:rFonts w:hint="eastAsia" w:ascii="楷体_GB2312" w:hAnsi="楷体_GB2312" w:eastAsia="楷体_GB2312" w:cstheme="majorBidi"/>
          <w:bCs/>
          <w:sz w:val="32"/>
          <w:szCs w:val="32"/>
          <w:highlight w:val="none"/>
          <w:lang w:val="en-US" w:eastAsia="zh-CN" w:bidi="ar-SA"/>
        </w:rPr>
        <w:t>（一）综合评价结论</w:t>
      </w:r>
      <w:bookmarkEnd w:id="73"/>
      <w:bookmarkEnd w:id="74"/>
      <w:bookmarkEnd w:id="75"/>
    </w:p>
    <w:p>
      <w:pPr>
        <w:ind w:firstLine="640" w:firstLineChars="200"/>
        <w:rPr>
          <w:rFonts w:hint="default" w:ascii="黑体" w:hAnsi="黑体" w:eastAsia="黑体" w:cs="黑体"/>
          <w:kern w:val="0"/>
          <w:sz w:val="28"/>
          <w:szCs w:val="28"/>
          <w:lang w:val="en-US" w:eastAsia="zh-CN" w:bidi="ar-SA"/>
        </w:rPr>
      </w:pPr>
      <w:r>
        <w:rPr>
          <w:rFonts w:hint="eastAsia" w:ascii="仿宋_GB2312" w:hAnsi="仿宋" w:eastAsia="仿宋_GB2312" w:cs="仿宋"/>
          <w:color w:val="auto"/>
          <w:sz w:val="32"/>
          <w:szCs w:val="32"/>
          <w:highlight w:val="none"/>
          <w:lang w:val="en-US" w:eastAsia="zh-CN"/>
        </w:rPr>
        <w:t>枣庄市山亭区2020年环城绿道提升工程和</w:t>
      </w:r>
      <w:r>
        <w:rPr>
          <w:rFonts w:hint="eastAsia" w:ascii="仿宋_GB2312" w:hAnsi="仿宋" w:eastAsia="仿宋_GB2312" w:cs="仿宋"/>
          <w:color w:val="auto"/>
          <w:sz w:val="32"/>
          <w:szCs w:val="32"/>
          <w:highlight w:val="none"/>
        </w:rPr>
        <w:t>北外环绿道建设工程项目</w:t>
      </w:r>
      <w:r>
        <w:rPr>
          <w:rFonts w:hint="eastAsia" w:ascii="仿宋_GB2312" w:eastAsia="仿宋_GB2312"/>
          <w:sz w:val="32"/>
          <w:szCs w:val="32"/>
          <w:highlight w:val="none"/>
          <w:lang w:val="en-US" w:eastAsia="zh-CN"/>
        </w:rPr>
        <w:t>绩效评价综合得分为85.3分，评价等级为“良”。综合评价认为，项目决策依据基本充分，管理机制健全完备，资金使用合规，项目整体运行情况良好，</w:t>
      </w:r>
      <w:r>
        <w:rPr>
          <w:rFonts w:hint="default" w:ascii="仿宋_GB2312" w:eastAsia="仿宋_GB2312"/>
          <w:sz w:val="32"/>
          <w:szCs w:val="32"/>
          <w:highlight w:val="none"/>
          <w:lang w:val="en-US" w:eastAsia="zh-CN"/>
        </w:rPr>
        <w:t>但</w:t>
      </w:r>
      <w:r>
        <w:rPr>
          <w:rFonts w:hint="eastAsia" w:ascii="仿宋_GB2312" w:eastAsia="仿宋_GB2312"/>
          <w:sz w:val="32"/>
          <w:szCs w:val="32"/>
          <w:highlight w:val="none"/>
          <w:lang w:val="en-US" w:eastAsia="zh-CN"/>
        </w:rPr>
        <w:t>同时</w:t>
      </w:r>
      <w:r>
        <w:rPr>
          <w:rFonts w:hint="default" w:ascii="仿宋_GB2312" w:eastAsia="仿宋_GB2312"/>
          <w:sz w:val="32"/>
          <w:szCs w:val="32"/>
          <w:highlight w:val="none"/>
          <w:lang w:val="en-US" w:eastAsia="zh-CN"/>
        </w:rPr>
        <w:t>存在</w:t>
      </w:r>
      <w:r>
        <w:rPr>
          <w:rFonts w:hint="eastAsia" w:ascii="仿宋_GB2312" w:eastAsia="仿宋_GB2312"/>
          <w:sz w:val="32"/>
          <w:szCs w:val="32"/>
          <w:highlight w:val="none"/>
          <w:lang w:val="en-US" w:eastAsia="zh-CN"/>
        </w:rPr>
        <w:t>管理</w:t>
      </w:r>
      <w:r>
        <w:rPr>
          <w:rFonts w:hint="default" w:ascii="仿宋_GB2312" w:eastAsia="仿宋_GB2312"/>
          <w:sz w:val="32"/>
          <w:szCs w:val="32"/>
          <w:highlight w:val="none"/>
          <w:lang w:val="en-US" w:eastAsia="zh-CN"/>
        </w:rPr>
        <w:t>制度落实不到位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项目</w:t>
      </w:r>
      <w:r>
        <w:rPr>
          <w:rFonts w:hint="eastAsia" w:ascii="仿宋_GB2312" w:eastAsia="仿宋_GB2312"/>
          <w:sz w:val="32"/>
          <w:szCs w:val="32"/>
          <w:highlight w:val="none"/>
          <w:lang w:val="en-US" w:eastAsia="zh-CN"/>
        </w:rPr>
        <w:t>完成及时率不高，部分</w:t>
      </w:r>
      <w:r>
        <w:rPr>
          <w:rFonts w:hint="default" w:ascii="仿宋_GB2312" w:eastAsia="仿宋_GB2312"/>
          <w:sz w:val="32"/>
          <w:szCs w:val="32"/>
          <w:highlight w:val="none"/>
          <w:lang w:val="en-US" w:eastAsia="zh-CN"/>
        </w:rPr>
        <w:t>项目效益未</w:t>
      </w:r>
      <w:r>
        <w:rPr>
          <w:rFonts w:hint="eastAsia" w:ascii="仿宋_GB2312" w:eastAsia="仿宋_GB2312"/>
          <w:sz w:val="32"/>
          <w:szCs w:val="32"/>
          <w:highlight w:val="none"/>
          <w:lang w:val="en-US" w:eastAsia="zh-CN"/>
        </w:rPr>
        <w:t>显现</w:t>
      </w:r>
      <w:r>
        <w:rPr>
          <w:rFonts w:hint="default" w:ascii="仿宋_GB2312" w:eastAsia="仿宋_GB2312"/>
          <w:sz w:val="32"/>
          <w:szCs w:val="32"/>
          <w:highlight w:val="none"/>
          <w:lang w:val="en-US" w:eastAsia="zh-CN"/>
        </w:rPr>
        <w:t>，后期维护管理机制不够健全等问题。</w:t>
      </w:r>
      <w:r>
        <w:rPr>
          <w:rFonts w:hint="eastAsia" w:ascii="仿宋_GB2312" w:eastAsia="仿宋_GB2312"/>
          <w:sz w:val="32"/>
          <w:szCs w:val="32"/>
          <w:highlight w:val="none"/>
          <w:lang w:val="en-US" w:eastAsia="zh-CN"/>
        </w:rPr>
        <w:t>项目指标</w:t>
      </w:r>
      <w:r>
        <w:rPr>
          <w:rFonts w:hint="default" w:ascii="仿宋_GB2312" w:eastAsia="仿宋_GB2312"/>
          <w:sz w:val="32"/>
          <w:szCs w:val="32"/>
          <w:highlight w:val="none"/>
          <w:lang w:val="en-US" w:eastAsia="zh-CN"/>
        </w:rPr>
        <w:t>得分情况详见表</w:t>
      </w:r>
      <w:r>
        <w:rPr>
          <w:rFonts w:hint="eastAsia" w:ascii="仿宋_GB2312" w:eastAsia="仿宋_GB2312"/>
          <w:sz w:val="32"/>
          <w:szCs w:val="32"/>
          <w:highlight w:val="none"/>
          <w:lang w:val="en-US" w:eastAsia="zh-CN"/>
        </w:rPr>
        <w:t>4</w:t>
      </w:r>
      <w:r>
        <w:rPr>
          <w:rFonts w:hint="default" w:ascii="仿宋_GB2312" w:eastAsia="仿宋_GB2312"/>
          <w:sz w:val="32"/>
          <w:szCs w:val="32"/>
          <w:highlight w:val="none"/>
          <w:lang w:val="en-US" w:eastAsia="zh-CN"/>
        </w:rPr>
        <w:t>。</w:t>
      </w:r>
    </w:p>
    <w:p>
      <w:pPr>
        <w:jc w:val="center"/>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表4：2020年度山亭区城市绿道建设项目评价得分情况表</w:t>
      </w:r>
    </w:p>
    <w:tbl>
      <w:tblPr>
        <w:tblStyle w:val="16"/>
        <w:tblW w:w="4998" w:type="pct"/>
        <w:tblInd w:w="0" w:type="dxa"/>
        <w:shd w:val="clear" w:color="auto" w:fill="auto"/>
        <w:tblLayout w:type="autofit"/>
        <w:tblCellMar>
          <w:top w:w="0" w:type="dxa"/>
          <w:left w:w="108" w:type="dxa"/>
          <w:bottom w:w="0" w:type="dxa"/>
          <w:right w:w="108" w:type="dxa"/>
        </w:tblCellMar>
      </w:tblPr>
      <w:tblGrid>
        <w:gridCol w:w="1270"/>
        <w:gridCol w:w="1266"/>
        <w:gridCol w:w="1234"/>
        <w:gridCol w:w="2002"/>
        <w:gridCol w:w="1273"/>
        <w:gridCol w:w="1474"/>
      </w:tblGrid>
      <w:tr>
        <w:tblPrEx>
          <w:shd w:val="clear" w:color="auto" w:fill="auto"/>
          <w:tblCellMar>
            <w:top w:w="0" w:type="dxa"/>
            <w:left w:w="108" w:type="dxa"/>
            <w:bottom w:w="0" w:type="dxa"/>
            <w:right w:w="108" w:type="dxa"/>
          </w:tblCellMar>
        </w:tblPrEx>
        <w:trPr>
          <w:trHeight w:val="90" w:hRule="atLeast"/>
        </w:trPr>
        <w:tc>
          <w:tcPr>
            <w:tcW w:w="745"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一级指标及分值</w:t>
            </w:r>
          </w:p>
        </w:tc>
        <w:tc>
          <w:tcPr>
            <w:tcW w:w="74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一级指标得分</w:t>
            </w:r>
          </w:p>
        </w:tc>
        <w:tc>
          <w:tcPr>
            <w:tcW w:w="72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一级指标得分率</w:t>
            </w:r>
          </w:p>
        </w:tc>
        <w:tc>
          <w:tcPr>
            <w:tcW w:w="1175"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二级指标及分值</w:t>
            </w:r>
          </w:p>
        </w:tc>
        <w:tc>
          <w:tcPr>
            <w:tcW w:w="747"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二级指标得分</w:t>
            </w:r>
          </w:p>
        </w:tc>
        <w:tc>
          <w:tcPr>
            <w:tcW w:w="865"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二级指标得分率</w:t>
            </w:r>
          </w:p>
        </w:tc>
      </w:tr>
      <w:tr>
        <w:tblPrEx>
          <w:shd w:val="clear" w:color="auto" w:fill="auto"/>
          <w:tblCellMar>
            <w:top w:w="0" w:type="dxa"/>
            <w:left w:w="108" w:type="dxa"/>
            <w:bottom w:w="0" w:type="dxa"/>
            <w:right w:w="108" w:type="dxa"/>
          </w:tblCellMar>
        </w:tblPrEx>
        <w:trPr>
          <w:trHeight w:val="308"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决策（15分）</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8.7</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项目立项（7分）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79%</w:t>
            </w:r>
          </w:p>
        </w:tc>
      </w:tr>
      <w:tr>
        <w:tblPrEx>
          <w:tblCellMar>
            <w:top w:w="0" w:type="dxa"/>
            <w:left w:w="108" w:type="dxa"/>
            <w:bottom w:w="0" w:type="dxa"/>
            <w:right w:w="108" w:type="dxa"/>
          </w:tblCellMar>
        </w:tblPrEx>
        <w:trPr>
          <w:trHeight w:val="9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绩效目标（5分）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r>
      <w:tr>
        <w:tblPrEx>
          <w:shd w:val="clear" w:color="auto" w:fill="auto"/>
          <w:tblCellMar>
            <w:top w:w="0" w:type="dxa"/>
            <w:left w:w="108" w:type="dxa"/>
            <w:bottom w:w="0" w:type="dxa"/>
            <w:right w:w="108" w:type="dxa"/>
          </w:tblCellMar>
        </w:tblPrEx>
        <w:trPr>
          <w:trHeight w:val="23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资金投入（3分）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w:t>
            </w:r>
          </w:p>
        </w:tc>
      </w:tr>
      <w:tr>
        <w:tblPrEx>
          <w:shd w:val="clear" w:color="auto" w:fill="auto"/>
          <w:tblCellMar>
            <w:top w:w="0" w:type="dxa"/>
            <w:left w:w="108" w:type="dxa"/>
            <w:bottom w:w="0" w:type="dxa"/>
            <w:right w:w="108" w:type="dxa"/>
          </w:tblCellMar>
        </w:tblPrEx>
        <w:trPr>
          <w:trHeight w:val="263"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过程（25分）</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22.1</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88.40%</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资金管理（15分）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97.33%</w:t>
            </w:r>
          </w:p>
        </w:tc>
      </w:tr>
      <w:tr>
        <w:tblPrEx>
          <w:shd w:val="clear" w:color="auto" w:fill="auto"/>
          <w:tblCellMar>
            <w:top w:w="0" w:type="dxa"/>
            <w:left w:w="108" w:type="dxa"/>
            <w:bottom w:w="0" w:type="dxa"/>
            <w:right w:w="108" w:type="dxa"/>
          </w:tblCellMar>
        </w:tblPrEx>
        <w:trPr>
          <w:trHeight w:val="297"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组织实施（10分）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75%</w:t>
            </w:r>
          </w:p>
        </w:tc>
      </w:tr>
      <w:tr>
        <w:tblPrEx>
          <w:shd w:val="clear" w:color="auto" w:fill="auto"/>
          <w:tblCellMar>
            <w:top w:w="0" w:type="dxa"/>
            <w:left w:w="108" w:type="dxa"/>
            <w:bottom w:w="0" w:type="dxa"/>
            <w:right w:w="108" w:type="dxa"/>
          </w:tblCellMar>
        </w:tblPrEx>
        <w:trPr>
          <w:trHeight w:val="90"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产出（25分）</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20.5</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82%</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产出数量（13分）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w:t>
            </w:r>
          </w:p>
        </w:tc>
      </w:tr>
      <w:tr>
        <w:tblPrEx>
          <w:shd w:val="clear" w:color="auto" w:fill="auto"/>
          <w:tblCellMar>
            <w:top w:w="0" w:type="dxa"/>
            <w:left w:w="108" w:type="dxa"/>
            <w:bottom w:w="0" w:type="dxa"/>
            <w:right w:w="108" w:type="dxa"/>
          </w:tblCellMar>
        </w:tblPrEx>
        <w:trPr>
          <w:trHeight w:val="9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产出质量（4分）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88%</w:t>
            </w:r>
          </w:p>
        </w:tc>
      </w:tr>
      <w:tr>
        <w:tblPrEx>
          <w:shd w:val="clear" w:color="auto" w:fill="auto"/>
          <w:tblCellMar>
            <w:top w:w="0" w:type="dxa"/>
            <w:left w:w="108" w:type="dxa"/>
            <w:bottom w:w="0" w:type="dxa"/>
            <w:right w:w="108" w:type="dxa"/>
          </w:tblCellMar>
        </w:tblPrEx>
        <w:trPr>
          <w:trHeight w:val="119"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产出时效（4分）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w:t>
            </w:r>
          </w:p>
        </w:tc>
      </w:tr>
      <w:tr>
        <w:tblPrEx>
          <w:shd w:val="clear" w:color="auto" w:fill="auto"/>
          <w:tblCellMar>
            <w:top w:w="0" w:type="dxa"/>
            <w:left w:w="108" w:type="dxa"/>
            <w:bottom w:w="0" w:type="dxa"/>
            <w:right w:w="108" w:type="dxa"/>
          </w:tblCellMar>
        </w:tblPrEx>
        <w:trPr>
          <w:trHeight w:val="257"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产出成本（4分）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w:t>
            </w:r>
          </w:p>
        </w:tc>
      </w:tr>
      <w:tr>
        <w:tblPrEx>
          <w:shd w:val="clear" w:color="auto" w:fill="auto"/>
          <w:tblCellMar>
            <w:top w:w="0" w:type="dxa"/>
            <w:left w:w="108" w:type="dxa"/>
            <w:bottom w:w="0" w:type="dxa"/>
            <w:right w:w="108" w:type="dxa"/>
          </w:tblCellMar>
        </w:tblPrEx>
        <w:trPr>
          <w:trHeight w:val="202"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效益（35分）</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97%</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项目效益（30分）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87%</w:t>
            </w:r>
          </w:p>
        </w:tc>
      </w:tr>
      <w:tr>
        <w:tblPrEx>
          <w:shd w:val="clear" w:color="auto" w:fill="auto"/>
          <w:tblCellMar>
            <w:top w:w="0" w:type="dxa"/>
            <w:left w:w="108" w:type="dxa"/>
            <w:bottom w:w="0" w:type="dxa"/>
            <w:right w:w="108" w:type="dxa"/>
          </w:tblCellMar>
        </w:tblPrEx>
        <w:trPr>
          <w:trHeight w:val="202"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bookmarkStart w:id="76" w:name="_Toc19539"/>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满意度（5分）</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w:t>
            </w:r>
          </w:p>
        </w:tc>
      </w:tr>
      <w:tr>
        <w:tblPrEx>
          <w:shd w:val="clear" w:color="auto" w:fill="auto"/>
          <w:tblCellMar>
            <w:top w:w="0" w:type="dxa"/>
            <w:left w:w="108" w:type="dxa"/>
            <w:bottom w:w="0" w:type="dxa"/>
            <w:right w:w="108" w:type="dxa"/>
          </w:tblCellMar>
        </w:tblPrEx>
        <w:trPr>
          <w:trHeight w:val="202"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加减分项</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 </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202" w:hRule="atLeast"/>
        </w:trPr>
        <w:tc>
          <w:tcPr>
            <w:tcW w:w="3387"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bookmarkStart w:id="77" w:name="_Toc1007"/>
            <w:r>
              <w:rPr>
                <w:rFonts w:hint="eastAsia" w:ascii="宋体" w:hAnsi="宋体" w:eastAsia="宋体" w:cs="宋体"/>
                <w:b/>
                <w:bCs/>
                <w:i w:val="0"/>
                <w:iCs w:val="0"/>
                <w:color w:val="000000"/>
                <w:kern w:val="0"/>
                <w:sz w:val="21"/>
                <w:szCs w:val="21"/>
                <w:highlight w:val="none"/>
                <w:u w:val="none"/>
                <w:lang w:val="en-US" w:eastAsia="zh-CN" w:bidi="ar"/>
              </w:rPr>
              <w:t>合计</w:t>
            </w:r>
          </w:p>
        </w:tc>
        <w:tc>
          <w:tcPr>
            <w:tcW w:w="747"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85.3</w:t>
            </w:r>
          </w:p>
        </w:tc>
        <w:tc>
          <w:tcPr>
            <w:tcW w:w="865"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85.3%</w:t>
            </w:r>
          </w:p>
        </w:tc>
      </w:tr>
      <w:bookmarkEnd w:id="76"/>
    </w:tbl>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cs="Times New Roman"/>
          <w:b w:val="0"/>
          <w:bCs w:val="0"/>
          <w:kern w:val="44"/>
          <w:szCs w:val="24"/>
          <w:lang w:val="en-US" w:eastAsia="zh-CN" w:bidi="ar-SA"/>
        </w:rPr>
      </w:pPr>
      <w:bookmarkStart w:id="78" w:name="_Toc5694"/>
      <w:bookmarkStart w:id="79" w:name="_Toc13323"/>
      <w:bookmarkStart w:id="80" w:name="_Toc434"/>
      <w:r>
        <w:rPr>
          <w:rFonts w:hint="eastAsia" w:ascii="仿宋_GB2312" w:hAnsi="仿宋_GB2312" w:cs="Times New Roman"/>
          <w:b w:val="0"/>
          <w:bCs w:val="0"/>
          <w:kern w:val="44"/>
          <w:szCs w:val="24"/>
          <w:lang w:val="en-US" w:eastAsia="zh-CN" w:bidi="ar-SA"/>
        </w:rPr>
        <w:t>四、绩效评价指标分析</w:t>
      </w:r>
      <w:bookmarkEnd w:id="77"/>
      <w:bookmarkEnd w:id="78"/>
      <w:bookmarkEnd w:id="79"/>
      <w:bookmarkEnd w:id="80"/>
    </w:p>
    <w:p>
      <w:pPr>
        <w:pStyle w:val="4"/>
        <w:keepLines/>
        <w:widowControl/>
        <w:overflowPunct w:val="0"/>
        <w:adjustRightInd w:val="0"/>
        <w:snapToGrid w:val="0"/>
        <w:spacing w:line="580" w:lineRule="exact"/>
        <w:ind w:left="0" w:firstLine="640" w:firstLineChars="200"/>
        <w:jc w:val="both"/>
        <w:textAlignment w:val="baseline"/>
        <w:rPr>
          <w:rFonts w:eastAsia="楷体" w:asciiTheme="majorHAnsi" w:hAnsiTheme="majorHAnsi" w:cstheme="majorBidi"/>
          <w:bCs/>
          <w:sz w:val="32"/>
          <w:szCs w:val="32"/>
          <w:highlight w:val="none"/>
          <w:lang w:val="en-US" w:bidi="ar-SA"/>
        </w:rPr>
      </w:pPr>
      <w:bookmarkStart w:id="81" w:name="_Toc26356"/>
      <w:bookmarkStart w:id="82" w:name="_Toc36"/>
      <w:bookmarkStart w:id="83" w:name="_Toc27042"/>
      <w:bookmarkStart w:id="84" w:name="_Toc22051"/>
      <w:r>
        <w:rPr>
          <w:rFonts w:hint="eastAsia" w:eastAsia="楷体" w:asciiTheme="majorHAnsi" w:hAnsiTheme="majorHAnsi" w:cstheme="majorBidi"/>
          <w:bCs/>
          <w:sz w:val="32"/>
          <w:szCs w:val="32"/>
          <w:highlight w:val="none"/>
          <w:lang w:val="en-US" w:bidi="ar-SA"/>
        </w:rPr>
        <w:t>（一）项目决策情况</w:t>
      </w:r>
      <w:bookmarkEnd w:id="81"/>
      <w:bookmarkEnd w:id="82"/>
      <w:bookmarkEnd w:id="83"/>
      <w:bookmarkEnd w:id="84"/>
    </w:p>
    <w:p>
      <w:pPr>
        <w:pStyle w:val="21"/>
        <w:adjustRightInd w:val="0"/>
        <w:snapToGrid w:val="0"/>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该项指标分值为</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分，</w:t>
      </w:r>
      <w:r>
        <w:rPr>
          <w:rFonts w:ascii="仿宋_GB2312" w:eastAsia="仿宋_GB2312"/>
          <w:sz w:val="32"/>
          <w:szCs w:val="32"/>
          <w:highlight w:val="none"/>
        </w:rPr>
        <w:t>评价得分</w:t>
      </w:r>
      <w:r>
        <w:rPr>
          <w:rFonts w:hint="eastAsia" w:ascii="仿宋_GB2312" w:eastAsia="仿宋_GB2312"/>
          <w:sz w:val="32"/>
          <w:szCs w:val="32"/>
          <w:highlight w:val="none"/>
          <w:lang w:val="en-US" w:eastAsia="zh-CN"/>
        </w:rPr>
        <w:t>8.7</w:t>
      </w:r>
      <w:r>
        <w:rPr>
          <w:rFonts w:ascii="仿宋_GB2312" w:eastAsia="仿宋_GB2312"/>
          <w:sz w:val="32"/>
          <w:szCs w:val="32"/>
          <w:highlight w:val="none"/>
        </w:rPr>
        <w:t>分，得分率</w:t>
      </w:r>
      <w:r>
        <w:rPr>
          <w:rFonts w:hint="eastAsia" w:ascii="仿宋_GB2312" w:eastAsia="仿宋_GB2312"/>
          <w:sz w:val="32"/>
          <w:szCs w:val="32"/>
          <w:highlight w:val="none"/>
          <w:lang w:val="en-US" w:eastAsia="zh-CN"/>
        </w:rPr>
        <w:t>58</w:t>
      </w:r>
      <w:r>
        <w:rPr>
          <w:rFonts w:ascii="仿宋_GB2312" w:eastAsia="仿宋_GB2312"/>
          <w:sz w:val="32"/>
          <w:szCs w:val="32"/>
          <w:highlight w:val="none"/>
        </w:rPr>
        <w:t>%</w:t>
      </w:r>
      <w:r>
        <w:rPr>
          <w:rFonts w:hint="eastAsia" w:ascii="仿宋_GB2312" w:eastAsia="仿宋_GB2312"/>
          <w:sz w:val="32"/>
          <w:szCs w:val="32"/>
          <w:highlight w:val="none"/>
        </w:rPr>
        <w:t>。具体包括</w:t>
      </w:r>
      <w:r>
        <w:rPr>
          <w:rFonts w:hint="eastAsia" w:ascii="仿宋_GB2312" w:eastAsia="仿宋_GB2312"/>
          <w:sz w:val="32"/>
          <w:szCs w:val="32"/>
          <w:highlight w:val="none"/>
          <w:lang w:val="en-US" w:eastAsia="zh-CN"/>
        </w:rPr>
        <w:t>项目立项、绩效目标、资金投入3</w:t>
      </w:r>
      <w:r>
        <w:rPr>
          <w:rFonts w:hint="eastAsia" w:ascii="仿宋_GB2312" w:eastAsia="仿宋_GB2312"/>
          <w:sz w:val="32"/>
          <w:szCs w:val="32"/>
          <w:highlight w:val="none"/>
        </w:rPr>
        <w:t>个二级指标。</w:t>
      </w:r>
    </w:p>
    <w:p>
      <w:pPr>
        <w:pStyle w:val="21"/>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1.项目立项指标分析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79.00</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lang w:val="en-US" w:eastAsia="zh-CN"/>
        </w:rPr>
        <w:t>立项依据充分性、立项程序规范性2</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3" w:firstLineChars="200"/>
        <w:rPr>
          <w:rFonts w:hint="eastAsia" w:ascii="仿宋_GB2312" w:eastAsia="仿宋_GB2312"/>
          <w:sz w:val="32"/>
          <w:szCs w:val="32"/>
          <w:highlight w:val="none"/>
          <w:lang w:val="en-US" w:eastAsia="zh-CN"/>
        </w:rPr>
      </w:pPr>
      <w:r>
        <w:rPr>
          <w:rFonts w:hint="eastAsia" w:ascii="仿宋_GB2312" w:hAnsi="仿宋_GB2312" w:eastAsia="仿宋_GB2312" w:cs="仿宋_GB2312"/>
          <w:b/>
          <w:bCs/>
          <w:color w:val="000000"/>
          <w:sz w:val="32"/>
          <w:szCs w:val="32"/>
          <w:highlight w:val="none"/>
        </w:rPr>
        <w:t>立项依据充分性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eastAsia="仿宋_GB2312"/>
          <w:sz w:val="32"/>
          <w:szCs w:val="32"/>
          <w:highlight w:val="none"/>
          <w:lang w:val="en-US" w:eastAsia="zh-CN"/>
        </w:rPr>
        <w:t>山亭区交通运输局项目立项与部门职责范围相符，且均属于公共财政支持范围，项目与部门其他项目不重复，山亭区环城绿道提升工程和北外环绿道建设工程项目的开展符合《关于进一步做好“四好农村路”工作的实施意见》（鲁政办发〔2018〕13号）、《关于推进“四好农村路”建设的意见》（交公路发〔2015〕73号）、《关于印发全市“四好农村路”三年集中攻坚专项行动2018年度工作任务的通知》（枣四好路字〔2018〕1号）、《枣庄市人民政府关于进一步做好“四好农村路”工作的实施意见》（枣政发〔2018〕10号）等政策要求。</w:t>
      </w:r>
    </w:p>
    <w:p>
      <w:pPr>
        <w:pStyle w:val="21"/>
        <w:spacing w:line="58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立项程序规范性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eastAsia="仿宋_GB2312"/>
          <w:sz w:val="32"/>
          <w:szCs w:val="32"/>
          <w:highlight w:val="none"/>
          <w:lang w:val="en-US" w:eastAsia="zh-CN"/>
        </w:rPr>
        <w:t>北外环绿道建设工程</w:t>
      </w:r>
      <w:r>
        <w:rPr>
          <w:rFonts w:hint="eastAsia" w:ascii="仿宋_GB2312" w:hAnsi="仿宋_GB2312" w:eastAsia="仿宋_GB2312" w:cs="仿宋_GB2312"/>
          <w:color w:val="000000"/>
          <w:sz w:val="32"/>
          <w:szCs w:val="32"/>
          <w:highlight w:val="none"/>
        </w:rPr>
        <w:t>项目申报、批复程序规范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项目审批文件、材料符合相关要求，项目经过必要的可行性研究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集体决策等，但</w:t>
      </w:r>
      <w:r>
        <w:rPr>
          <w:rFonts w:hint="eastAsia" w:ascii="仿宋_GB2312" w:eastAsia="仿宋_GB2312"/>
          <w:sz w:val="32"/>
          <w:szCs w:val="32"/>
          <w:highlight w:val="none"/>
          <w:lang w:val="en-US" w:eastAsia="zh-CN"/>
        </w:rPr>
        <w:t>环城绿道提升工程</w:t>
      </w:r>
      <w:r>
        <w:rPr>
          <w:rFonts w:hint="eastAsia" w:ascii="仿宋_GB2312" w:hAnsi="仿宋_GB2312" w:eastAsia="仿宋_GB2312" w:cs="仿宋_GB2312"/>
          <w:color w:val="000000"/>
          <w:sz w:val="32"/>
          <w:szCs w:val="32"/>
          <w:highlight w:val="none"/>
          <w:lang w:val="en-US" w:eastAsia="zh-CN"/>
        </w:rPr>
        <w:t>未见申报、批复、可行性研究报告等资料。</w:t>
      </w:r>
    </w:p>
    <w:p>
      <w:pPr>
        <w:pStyle w:val="21"/>
        <w:spacing w:line="58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2.绩效目标指标分析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lang w:val="en-US" w:eastAsia="zh-CN"/>
        </w:rPr>
        <w:t>绩效指标明确性、绩效目标合理性2</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3" w:firstLineChars="200"/>
        <w:rPr>
          <w:rFonts w:hint="default" w:ascii="仿宋_GB2312" w:hAnsi="仿宋_GB2312" w:eastAsia="仿宋_GB2312" w:cs="仿宋_GB2312"/>
          <w:color w:val="000000"/>
          <w:sz w:val="32"/>
          <w:szCs w:val="32"/>
          <w:highlight w:val="none"/>
          <w:lang w:val="en-US"/>
        </w:rPr>
      </w:pPr>
      <w:bookmarkStart w:id="85" w:name="_Toc26652"/>
      <w:r>
        <w:rPr>
          <w:rFonts w:hint="eastAsia" w:ascii="仿宋_GB2312" w:hAnsi="仿宋_GB2312" w:eastAsia="仿宋_GB2312" w:cs="仿宋_GB2312"/>
          <w:b/>
          <w:bCs/>
          <w:color w:val="000000"/>
          <w:sz w:val="32"/>
          <w:szCs w:val="32"/>
          <w:highlight w:val="none"/>
        </w:rPr>
        <w:t>绩效指标明确性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eastAsia="仿宋_GB2312"/>
          <w:sz w:val="32"/>
          <w:szCs w:val="32"/>
          <w:highlight w:val="none"/>
          <w:lang w:val="en-US" w:eastAsia="zh-CN"/>
        </w:rPr>
        <w:t>北外环绿道建设工程</w:t>
      </w:r>
      <w:r>
        <w:rPr>
          <w:rFonts w:hint="eastAsia" w:ascii="仿宋_GB2312" w:hAnsi="仿宋_GB2312" w:eastAsia="仿宋_GB2312" w:cs="仿宋_GB2312"/>
          <w:color w:val="000000"/>
          <w:sz w:val="32"/>
          <w:szCs w:val="32"/>
          <w:highlight w:val="none"/>
          <w:lang w:val="en-US" w:eastAsia="zh-CN"/>
        </w:rPr>
        <w:t>和</w:t>
      </w:r>
      <w:r>
        <w:rPr>
          <w:rFonts w:hint="eastAsia" w:ascii="仿宋_GB2312" w:eastAsia="仿宋_GB2312"/>
          <w:sz w:val="32"/>
          <w:szCs w:val="32"/>
          <w:highlight w:val="none"/>
          <w:lang w:val="en-US" w:eastAsia="zh-CN"/>
        </w:rPr>
        <w:t>环城绿道提升工程</w:t>
      </w:r>
      <w:r>
        <w:rPr>
          <w:rFonts w:hint="eastAsia" w:ascii="仿宋_GB2312" w:hAnsi="仿宋_GB2312" w:eastAsia="仿宋_GB2312" w:cs="仿宋_GB2312"/>
          <w:color w:val="000000"/>
          <w:sz w:val="32"/>
          <w:szCs w:val="32"/>
          <w:highlight w:val="none"/>
        </w:rPr>
        <w:t>项目</w:t>
      </w:r>
      <w:r>
        <w:rPr>
          <w:rFonts w:hint="eastAsia" w:ascii="仿宋_GB2312" w:hAnsi="仿宋_GB2312" w:eastAsia="仿宋_GB2312" w:cs="仿宋_GB2312"/>
          <w:color w:val="000000"/>
          <w:sz w:val="32"/>
          <w:szCs w:val="32"/>
          <w:highlight w:val="none"/>
          <w:lang w:val="en-US" w:eastAsia="zh-CN"/>
        </w:rPr>
        <w:t>绩效目标均未细化分解至具体的绩效指标，且不可以通过清晰、可衡量的指标值予以体现，例如两个项目绩效目标中的数量指标均使用“路缘石”长度作为指标，仅为实施项目中的其中一个小项，不能全面反映建设任务，建议采用与区政府发布的实施方案中建设任务的道路新建、改建和扩建公里数；两个项目绩效目标中成本指标中均采用个别子项的单位成本作为指标，不能与数量指标对应，也不能全面反映项目单位成本；满意度指标两个项目均选择“社会公众满意度”和“项目区群众满意度”两个存在重叠的人群来设置满意度指标值</w:t>
      </w:r>
      <w:r>
        <w:rPr>
          <w:rFonts w:hint="eastAsia" w:ascii="仿宋_GB2312" w:eastAsia="仿宋_GB2312"/>
          <w:sz w:val="32"/>
          <w:szCs w:val="32"/>
          <w:highlight w:val="none"/>
          <w:lang w:val="en-US" w:eastAsia="zh-CN"/>
        </w:rPr>
        <w:t>。</w:t>
      </w:r>
    </w:p>
    <w:p>
      <w:pPr>
        <w:pStyle w:val="21"/>
        <w:spacing w:line="580" w:lineRule="exact"/>
        <w:ind w:firstLine="643" w:firstLineChars="200"/>
        <w:rPr>
          <w:rFonts w:hint="default" w:ascii="仿宋_GB2312" w:eastAsia="仿宋_GB2312"/>
          <w:sz w:val="32"/>
          <w:szCs w:val="32"/>
          <w:highlight w:val="none"/>
          <w:lang w:val="en-US" w:eastAsia="zh-CN"/>
        </w:rPr>
      </w:pPr>
      <w:r>
        <w:rPr>
          <w:rFonts w:hint="eastAsia" w:ascii="仿宋_GB2312" w:hAnsi="仿宋_GB2312" w:eastAsia="仿宋_GB2312" w:cs="仿宋_GB2312"/>
          <w:b/>
          <w:bCs/>
          <w:color w:val="000000"/>
          <w:sz w:val="32"/>
          <w:szCs w:val="32"/>
          <w:highlight w:val="none"/>
        </w:rPr>
        <w:t>绩效目标合理性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hAnsi="仿宋" w:eastAsia="仿宋_GB2312" w:cs="仿宋"/>
          <w:color w:val="auto"/>
          <w:sz w:val="32"/>
          <w:szCs w:val="32"/>
          <w:highlight w:val="none"/>
          <w:lang w:val="en-US" w:eastAsia="zh-CN"/>
        </w:rPr>
        <w:t>山亭区环城绿道提升工程预算财政投资评审金额为1686.9万元，</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预算财政投资评审金额为1767.56万元，而山亭区环城绿道提升工程绩效目标申报金额为1180万元，</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绩效目标申报金额为1236万元。绩效目标与年度计划和预算不匹配。</w:t>
      </w:r>
    </w:p>
    <w:p>
      <w:pPr>
        <w:pStyle w:val="21"/>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3.资金投入指标分析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评价得分</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lang w:val="en-US" w:eastAsia="zh-CN"/>
        </w:rPr>
        <w:t>预算编制科学性、资金分配合理性2</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预算编制科学性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和环城绿道提升工程</w:t>
      </w:r>
      <w:r>
        <w:rPr>
          <w:rFonts w:hint="eastAsia" w:ascii="仿宋_GB2312" w:hAnsi="仿宋_GB2312" w:eastAsia="仿宋_GB2312" w:cs="仿宋_GB2312"/>
          <w:color w:val="000000"/>
          <w:sz w:val="32"/>
          <w:szCs w:val="32"/>
          <w:highlight w:val="none"/>
        </w:rPr>
        <w:t>预算编制经过</w:t>
      </w:r>
      <w:r>
        <w:rPr>
          <w:rFonts w:hint="eastAsia" w:ascii="仿宋_GB2312" w:hAnsi="仿宋_GB2312" w:eastAsia="仿宋_GB2312" w:cs="仿宋_GB2312"/>
          <w:color w:val="000000"/>
          <w:sz w:val="32"/>
          <w:szCs w:val="32"/>
          <w:highlight w:val="none"/>
          <w:lang w:val="en-US" w:eastAsia="zh-CN"/>
        </w:rPr>
        <w:t>财政聘请第三方评审、</w:t>
      </w:r>
      <w:r>
        <w:rPr>
          <w:rFonts w:hint="eastAsia" w:ascii="仿宋_GB2312" w:hAnsi="仿宋_GB2312" w:eastAsia="仿宋_GB2312" w:cs="仿宋_GB2312"/>
          <w:color w:val="000000"/>
          <w:sz w:val="32"/>
          <w:szCs w:val="32"/>
          <w:highlight w:val="none"/>
        </w:rPr>
        <w:t>科学论证、有明确标准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预算确定的项目投资额或资金量与工作任务相匹配，且预算内容与项目内容匹配。</w:t>
      </w:r>
    </w:p>
    <w:p>
      <w:pPr>
        <w:pStyle w:val="21"/>
        <w:spacing w:line="58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资金分配合理性</w:t>
      </w:r>
      <w:r>
        <w:rPr>
          <w:rFonts w:hint="eastAsia" w:ascii="仿宋_GB2312" w:hAnsi="仿宋_GB2312" w:eastAsia="仿宋_GB2312" w:cs="仿宋_GB2312"/>
          <w:b/>
          <w:bCs/>
          <w:color w:val="000000"/>
          <w:sz w:val="32"/>
          <w:szCs w:val="32"/>
          <w:highlight w:val="none"/>
          <w:lang w:val="en-US" w:eastAsia="zh-CN"/>
        </w:rPr>
        <w:t>方面，</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和环城绿道提升工程</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_GB2312" w:eastAsia="仿宋_GB2312" w:cs="仿宋_GB2312"/>
          <w:color w:val="000000"/>
          <w:sz w:val="32"/>
          <w:szCs w:val="32"/>
          <w:highlight w:val="none"/>
        </w:rPr>
        <w:t>预算资金分配依据充分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资金分配额度合理</w:t>
      </w:r>
      <w:r>
        <w:rPr>
          <w:rFonts w:hint="eastAsia" w:ascii="仿宋_GB2312" w:hAnsi="仿宋_GB2312" w:eastAsia="仿宋_GB2312" w:cs="仿宋_GB2312"/>
          <w:color w:val="000000"/>
          <w:sz w:val="32"/>
          <w:szCs w:val="32"/>
          <w:highlight w:val="none"/>
          <w:lang w:eastAsia="zh-CN"/>
        </w:rPr>
        <w:t>。</w:t>
      </w:r>
    </w:p>
    <w:p>
      <w:pPr>
        <w:pStyle w:val="4"/>
        <w:keepLines/>
        <w:widowControl/>
        <w:overflowPunct w:val="0"/>
        <w:adjustRightInd w:val="0"/>
        <w:snapToGrid w:val="0"/>
        <w:spacing w:line="580" w:lineRule="exact"/>
        <w:ind w:left="0" w:firstLine="640" w:firstLineChars="200"/>
        <w:jc w:val="both"/>
        <w:textAlignment w:val="baseline"/>
        <w:rPr>
          <w:rFonts w:eastAsia="楷体" w:asciiTheme="majorHAnsi" w:hAnsiTheme="majorHAnsi" w:cstheme="majorBidi"/>
          <w:bCs/>
          <w:sz w:val="32"/>
          <w:szCs w:val="32"/>
          <w:highlight w:val="none"/>
          <w:lang w:val="en-US" w:bidi="ar-SA"/>
        </w:rPr>
      </w:pPr>
      <w:bookmarkStart w:id="86" w:name="_Toc3393"/>
      <w:bookmarkStart w:id="87" w:name="_Toc16947"/>
      <w:bookmarkStart w:id="88" w:name="_Toc15962"/>
      <w:r>
        <w:rPr>
          <w:rFonts w:hint="eastAsia" w:eastAsia="楷体" w:asciiTheme="majorHAnsi" w:hAnsiTheme="majorHAnsi" w:cstheme="majorBidi"/>
          <w:bCs/>
          <w:sz w:val="32"/>
          <w:szCs w:val="32"/>
          <w:highlight w:val="none"/>
          <w:lang w:val="en-US" w:bidi="ar-SA"/>
        </w:rPr>
        <w:t>（二）项目过程情况</w:t>
      </w:r>
      <w:bookmarkEnd w:id="85"/>
      <w:bookmarkEnd w:id="86"/>
      <w:bookmarkEnd w:id="87"/>
      <w:bookmarkEnd w:id="88"/>
    </w:p>
    <w:p>
      <w:pPr>
        <w:pStyle w:val="21"/>
        <w:adjustRightInd w:val="0"/>
        <w:snapToGrid w:val="0"/>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该项指标分值为</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分，</w:t>
      </w:r>
      <w:r>
        <w:rPr>
          <w:rFonts w:ascii="仿宋_GB2312" w:eastAsia="仿宋_GB2312"/>
          <w:sz w:val="32"/>
          <w:szCs w:val="32"/>
          <w:highlight w:val="none"/>
        </w:rPr>
        <w:t>评价得分</w:t>
      </w:r>
      <w:r>
        <w:rPr>
          <w:rFonts w:hint="eastAsia" w:ascii="仿宋_GB2312" w:eastAsia="仿宋_GB2312"/>
          <w:sz w:val="32"/>
          <w:szCs w:val="32"/>
          <w:highlight w:val="none"/>
          <w:lang w:val="en-US" w:eastAsia="zh-CN"/>
        </w:rPr>
        <w:t>22.10</w:t>
      </w:r>
      <w:r>
        <w:rPr>
          <w:rFonts w:ascii="仿宋_GB2312" w:eastAsia="仿宋_GB2312"/>
          <w:sz w:val="32"/>
          <w:szCs w:val="32"/>
          <w:highlight w:val="none"/>
        </w:rPr>
        <w:t>分，得分率</w:t>
      </w:r>
      <w:r>
        <w:rPr>
          <w:rFonts w:hint="eastAsia" w:ascii="仿宋_GB2312" w:eastAsia="仿宋_GB2312"/>
          <w:sz w:val="32"/>
          <w:szCs w:val="32"/>
          <w:highlight w:val="none"/>
          <w:lang w:val="en-US" w:eastAsia="zh-CN"/>
        </w:rPr>
        <w:t>88.40%</w:t>
      </w:r>
      <w:r>
        <w:rPr>
          <w:rFonts w:hint="eastAsia" w:ascii="仿宋_GB2312" w:eastAsia="仿宋_GB2312"/>
          <w:sz w:val="32"/>
          <w:szCs w:val="32"/>
          <w:highlight w:val="none"/>
        </w:rPr>
        <w:t>。具体包括</w:t>
      </w:r>
      <w:r>
        <w:rPr>
          <w:rFonts w:hint="eastAsia" w:ascii="仿宋_GB2312" w:eastAsia="仿宋_GB2312"/>
          <w:sz w:val="32"/>
          <w:szCs w:val="32"/>
          <w:highlight w:val="none"/>
          <w:lang w:val="en-US" w:eastAsia="zh-CN"/>
        </w:rPr>
        <w:t>资金管理、组织实施2</w:t>
      </w:r>
      <w:r>
        <w:rPr>
          <w:rFonts w:hint="eastAsia" w:ascii="仿宋_GB2312" w:eastAsia="仿宋_GB2312"/>
          <w:sz w:val="32"/>
          <w:szCs w:val="32"/>
          <w:highlight w:val="none"/>
        </w:rPr>
        <w:t>个二级指标。</w:t>
      </w:r>
    </w:p>
    <w:p>
      <w:pPr>
        <w:pStyle w:val="21"/>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.资金管理指标分析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14.60</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97.33%</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lang w:val="en-US" w:eastAsia="zh-CN"/>
        </w:rPr>
        <w:t>资金到位率、预算执行率、资金使用合规性3</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3" w:firstLineChars="200"/>
        <w:rPr>
          <w:rFonts w:hint="default"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资金到位率方面，</w:t>
      </w:r>
      <w:r>
        <w:rPr>
          <w:rFonts w:hint="eastAsia" w:ascii="仿宋_GB2312" w:hAnsi="仿宋" w:eastAsia="仿宋_GB2312" w:cs="仿宋"/>
          <w:color w:val="auto"/>
          <w:sz w:val="32"/>
          <w:szCs w:val="32"/>
          <w:highlight w:val="none"/>
          <w:lang w:val="en-US" w:eastAsia="zh-CN"/>
        </w:rPr>
        <w:t>2020年度</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根据合同约定以及施工进度申请预算10486200元，资金实际到位10486200元；2020年度环城绿道提升工程</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 w:eastAsia="仿宋_GB2312" w:cs="仿宋"/>
          <w:color w:val="auto"/>
          <w:sz w:val="32"/>
          <w:szCs w:val="32"/>
          <w:highlight w:val="none"/>
          <w:lang w:val="en-US" w:eastAsia="zh-CN"/>
        </w:rPr>
        <w:t>根据合同约定以及施工进度申请预算10001818.96元，资金实际到位10001800元，综上两个项目资金到位率100%</w:t>
      </w:r>
      <w:r>
        <w:rPr>
          <w:rFonts w:hint="eastAsia" w:ascii="仿宋_GB2312" w:eastAsia="仿宋_GB2312"/>
          <w:sz w:val="32"/>
          <w:szCs w:val="32"/>
          <w:highlight w:val="none"/>
          <w:lang w:val="en-US" w:eastAsia="zh-CN"/>
        </w:rPr>
        <w:t>。</w:t>
      </w:r>
    </w:p>
    <w:p>
      <w:pPr>
        <w:pStyle w:val="21"/>
        <w:spacing w:line="580" w:lineRule="exact"/>
        <w:ind w:firstLine="643" w:firstLineChars="200"/>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预算执行率方面，</w:t>
      </w:r>
      <w:r>
        <w:rPr>
          <w:rFonts w:hint="eastAsia" w:ascii="仿宋_GB2312" w:hAnsi="仿宋" w:eastAsia="仿宋_GB2312" w:cs="仿宋"/>
          <w:color w:val="auto"/>
          <w:sz w:val="32"/>
          <w:szCs w:val="32"/>
          <w:highlight w:val="none"/>
          <w:lang w:val="en-US" w:eastAsia="zh-CN"/>
        </w:rPr>
        <w:t>2020年度</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资金实际到位10486200元，实际支出10486200元；2020年度环城绿道提升工程</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 w:eastAsia="仿宋_GB2312" w:cs="仿宋"/>
          <w:color w:val="auto"/>
          <w:sz w:val="32"/>
          <w:szCs w:val="32"/>
          <w:highlight w:val="none"/>
          <w:lang w:val="en-US" w:eastAsia="zh-CN"/>
        </w:rPr>
        <w:t>资金实际到位10001800元，实际支出10001800元，综上两个项目预算执行率100%</w:t>
      </w:r>
      <w:r>
        <w:rPr>
          <w:rFonts w:hint="eastAsia" w:ascii="仿宋_GB2312" w:eastAsia="仿宋_GB2312"/>
          <w:sz w:val="32"/>
          <w:szCs w:val="32"/>
          <w:highlight w:val="none"/>
          <w:lang w:val="en-US" w:eastAsia="zh-CN"/>
        </w:rPr>
        <w:t>。</w:t>
      </w:r>
    </w:p>
    <w:p>
      <w:pPr>
        <w:pStyle w:val="21"/>
        <w:spacing w:line="580" w:lineRule="exact"/>
        <w:ind w:firstLine="643" w:firstLineChars="200"/>
        <w:rPr>
          <w:rFonts w:hint="default"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资金使用合规性方面，</w:t>
      </w:r>
      <w:r>
        <w:rPr>
          <w:rFonts w:hint="eastAsia" w:ascii="仿宋_GB2312" w:hAnsi="仿宋" w:eastAsia="仿宋_GB2312" w:cs="仿宋"/>
          <w:color w:val="auto"/>
          <w:sz w:val="32"/>
          <w:szCs w:val="32"/>
          <w:highlight w:val="none"/>
        </w:rPr>
        <w:t>北外环绿道建设工程项目</w:t>
      </w:r>
      <w:r>
        <w:rPr>
          <w:rFonts w:hint="eastAsia" w:ascii="仿宋_GB2312" w:hAnsi="仿宋" w:eastAsia="仿宋_GB2312" w:cs="仿宋"/>
          <w:color w:val="auto"/>
          <w:sz w:val="32"/>
          <w:szCs w:val="32"/>
          <w:highlight w:val="none"/>
          <w:lang w:val="en-US" w:eastAsia="zh-CN"/>
        </w:rPr>
        <w:t>和环城绿道提升工程</w:t>
      </w:r>
      <w:r>
        <w:rPr>
          <w:rFonts w:hint="eastAsia" w:ascii="仿宋_GB2312" w:hAnsi="仿宋_GB2312" w:eastAsia="仿宋_GB2312" w:cs="仿宋_GB2312"/>
          <w:color w:val="000000"/>
          <w:sz w:val="32"/>
          <w:szCs w:val="32"/>
          <w:highlight w:val="none"/>
          <w:lang w:val="en-US" w:eastAsia="zh-CN"/>
        </w:rPr>
        <w:t>项目</w:t>
      </w:r>
      <w:r>
        <w:rPr>
          <w:rFonts w:hint="eastAsia" w:ascii="仿宋_GB2312" w:eastAsia="仿宋_GB2312"/>
          <w:sz w:val="32"/>
          <w:szCs w:val="32"/>
          <w:highlight w:val="none"/>
          <w:lang w:val="en-US" w:eastAsia="zh-CN"/>
        </w:rPr>
        <w:t>的资金使用符合国家财经法规和财务管理制度以及有关专项资金管理办法的规定，且符合项目预算批复或合同规定的用途，未存在截留、挤占、挪用、虚列支出、未单独核算和专款专用等情况。但两个项目按照合同约定支付项目进度款时，申请拨付手续中均缺少阶段性验收报告。</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组织实施</w:t>
      </w:r>
      <w:r>
        <w:rPr>
          <w:rFonts w:hint="eastAsia" w:ascii="仿宋_GB2312" w:eastAsia="仿宋_GB2312"/>
          <w:sz w:val="32"/>
          <w:szCs w:val="32"/>
          <w:highlight w:val="none"/>
        </w:rPr>
        <w:t>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7.5</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75%</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lang w:val="en-US" w:eastAsia="zh-CN"/>
        </w:rPr>
        <w:t>管理制度健全性、制度执行有效性2</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3" w:firstLineChars="200"/>
        <w:rPr>
          <w:rFonts w:hint="default"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管理制度健全性方面，</w:t>
      </w:r>
      <w:r>
        <w:rPr>
          <w:rFonts w:hint="eastAsia" w:ascii="仿宋_GB2312" w:eastAsia="仿宋_GB2312"/>
          <w:sz w:val="32"/>
          <w:szCs w:val="32"/>
          <w:highlight w:val="none"/>
          <w:lang w:val="en-US" w:eastAsia="zh-CN"/>
        </w:rPr>
        <w:t>山亭区交通运输局项目业务管理制度和财务管理制度基本健全，例如，出台了《山亭区交通运输局政府采购内部控制管理制度》《财务内部控制制度》《山亭区交通运输局财务管理制度》《山亭区环城绿道提升建设工程项目建设管理办法》等制度。但部分制度内容不够具体，例如档案管理缺少相关的专员管理职责、档案存放归类标准、不同类别档案保存时间、销毁程序和各类档案管理表格及填列指引等。此外缺少项目支出绩效管理办法、绩效目标填报管理办法等。</w:t>
      </w:r>
    </w:p>
    <w:p>
      <w:pPr>
        <w:pStyle w:val="21"/>
        <w:spacing w:line="580" w:lineRule="exact"/>
        <w:ind w:firstLine="643" w:firstLineChars="200"/>
        <w:rPr>
          <w:rFonts w:hint="default"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制度执行有效性方面，</w:t>
      </w:r>
      <w:r>
        <w:rPr>
          <w:rFonts w:hint="eastAsia" w:ascii="仿宋_GB2312" w:eastAsia="仿宋_GB2312"/>
          <w:sz w:val="32"/>
          <w:szCs w:val="32"/>
          <w:highlight w:val="none"/>
          <w:lang w:val="en-US" w:eastAsia="zh-CN"/>
        </w:rPr>
        <w:t>（1）制度执行不规范，根据《山亭区环城绿道提升建设工程项目建设管理办法》“第六条：设计、施工、监理单位、建设单位的各级工程技术质量管理人员，要树立‘百年大计、质量第一’的思想，强化全员工程质量意识，对工程质量管理要‘多管、多查、多看、严处理’”的规定，山亭区交通运输局作为项目建设单位没有过程监督检查资料，例如：施工期间停工无申请审批依据。（2）项目调整不规范，</w:t>
      </w:r>
      <w:r>
        <w:rPr>
          <w:rFonts w:hint="eastAsia" w:ascii="仿宋_GB2312" w:hAnsi="仿宋" w:eastAsia="仿宋_GB2312" w:cs="仿宋"/>
          <w:color w:val="auto"/>
          <w:sz w:val="32"/>
          <w:szCs w:val="32"/>
          <w:highlight w:val="none"/>
        </w:rPr>
        <w:t>北外环绿道建设工程项目</w:t>
      </w:r>
      <w:r>
        <w:rPr>
          <w:rFonts w:hint="eastAsia" w:ascii="仿宋_GB2312" w:eastAsia="仿宋_GB2312"/>
          <w:sz w:val="32"/>
          <w:szCs w:val="32"/>
          <w:highlight w:val="none"/>
          <w:lang w:val="en-US" w:eastAsia="zh-CN"/>
        </w:rPr>
        <w:t>StreetPrint模压彩绘路面14400㎡，单价145.32元/㎡，单项金额209.26万元，该项内容已取消，但未见项目调整手续、绩效目标调整手续和预算变更手续。（3）档案管理不规范，未进行分档分项存放。</w:t>
      </w:r>
    </w:p>
    <w:p>
      <w:pPr>
        <w:pStyle w:val="4"/>
        <w:keepLines/>
        <w:widowControl/>
        <w:overflowPunct w:val="0"/>
        <w:adjustRightInd w:val="0"/>
        <w:snapToGrid w:val="0"/>
        <w:spacing w:line="580" w:lineRule="exact"/>
        <w:ind w:left="0" w:firstLine="640" w:firstLineChars="200"/>
        <w:jc w:val="both"/>
        <w:textAlignment w:val="baseline"/>
        <w:rPr>
          <w:rFonts w:eastAsia="楷体" w:asciiTheme="majorHAnsi" w:hAnsiTheme="majorHAnsi" w:cstheme="majorBidi"/>
          <w:bCs/>
          <w:sz w:val="32"/>
          <w:szCs w:val="32"/>
          <w:highlight w:val="none"/>
          <w:lang w:val="en-US" w:bidi="ar-SA"/>
        </w:rPr>
      </w:pPr>
      <w:bookmarkStart w:id="89" w:name="_Toc24837"/>
      <w:bookmarkStart w:id="90" w:name="_Toc5093"/>
      <w:bookmarkStart w:id="91" w:name="_Toc32099"/>
      <w:bookmarkStart w:id="92" w:name="_Toc15039"/>
      <w:r>
        <w:rPr>
          <w:rFonts w:hint="eastAsia" w:eastAsia="楷体" w:asciiTheme="majorHAnsi" w:hAnsiTheme="majorHAnsi" w:cstheme="majorBidi"/>
          <w:bCs/>
          <w:sz w:val="32"/>
          <w:szCs w:val="32"/>
          <w:highlight w:val="none"/>
          <w:lang w:val="en-US" w:bidi="ar-SA"/>
        </w:rPr>
        <w:t>（三）项目产出情况</w:t>
      </w:r>
      <w:bookmarkEnd w:id="89"/>
      <w:bookmarkEnd w:id="90"/>
      <w:bookmarkEnd w:id="91"/>
      <w:bookmarkEnd w:id="92"/>
    </w:p>
    <w:p>
      <w:pPr>
        <w:pStyle w:val="21"/>
        <w:adjustRightInd w:val="0"/>
        <w:snapToGrid w:val="0"/>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该项指标分值为</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分，</w:t>
      </w:r>
      <w:r>
        <w:rPr>
          <w:rFonts w:ascii="仿宋_GB2312" w:eastAsia="仿宋_GB2312"/>
          <w:sz w:val="32"/>
          <w:szCs w:val="32"/>
          <w:highlight w:val="none"/>
        </w:rPr>
        <w:t>评价得分</w:t>
      </w:r>
      <w:r>
        <w:rPr>
          <w:rFonts w:hint="eastAsia" w:ascii="仿宋_GB2312" w:eastAsia="仿宋_GB2312"/>
          <w:sz w:val="32"/>
          <w:szCs w:val="32"/>
          <w:highlight w:val="none"/>
          <w:lang w:val="en-US" w:eastAsia="zh-CN"/>
        </w:rPr>
        <w:t>20.5</w:t>
      </w:r>
      <w:r>
        <w:rPr>
          <w:rFonts w:ascii="仿宋_GB2312" w:eastAsia="仿宋_GB2312"/>
          <w:sz w:val="32"/>
          <w:szCs w:val="32"/>
          <w:highlight w:val="none"/>
        </w:rPr>
        <w:t>分，得分率</w:t>
      </w:r>
      <w:r>
        <w:rPr>
          <w:rFonts w:hint="eastAsia" w:ascii="仿宋_GB2312" w:eastAsia="仿宋_GB2312"/>
          <w:sz w:val="32"/>
          <w:szCs w:val="32"/>
          <w:highlight w:val="none"/>
          <w:lang w:val="en-US" w:eastAsia="zh-CN"/>
        </w:rPr>
        <w:t>82%</w:t>
      </w:r>
      <w:r>
        <w:rPr>
          <w:rFonts w:hint="eastAsia" w:ascii="仿宋_GB2312" w:eastAsia="仿宋_GB2312"/>
          <w:sz w:val="32"/>
          <w:szCs w:val="32"/>
          <w:highlight w:val="none"/>
        </w:rPr>
        <w:t>。具体包括</w:t>
      </w:r>
      <w:r>
        <w:rPr>
          <w:rFonts w:hint="eastAsia" w:ascii="仿宋_GB2312" w:eastAsia="仿宋_GB2312"/>
          <w:sz w:val="32"/>
          <w:szCs w:val="32"/>
          <w:highlight w:val="none"/>
          <w:lang w:val="en-US" w:eastAsia="zh-CN"/>
        </w:rPr>
        <w:t>产出数量、产出时效、产出质量、产出成本4</w:t>
      </w:r>
      <w:r>
        <w:rPr>
          <w:rFonts w:hint="eastAsia" w:ascii="仿宋_GB2312" w:eastAsia="仿宋_GB2312"/>
          <w:sz w:val="32"/>
          <w:szCs w:val="32"/>
          <w:highlight w:val="none"/>
        </w:rPr>
        <w:t>个二级指标。</w:t>
      </w:r>
    </w:p>
    <w:p>
      <w:pPr>
        <w:pStyle w:val="21"/>
        <w:spacing w:line="580" w:lineRule="exact"/>
        <w:ind w:left="640"/>
        <w:rPr>
          <w:rFonts w:ascii="仿宋_GB2312" w:eastAsia="仿宋_GB2312"/>
          <w:sz w:val="32"/>
          <w:szCs w:val="32"/>
          <w:highlight w:val="none"/>
        </w:rPr>
      </w:pPr>
      <w:r>
        <w:rPr>
          <w:rFonts w:hint="eastAsia" w:ascii="仿宋_GB2312" w:eastAsia="仿宋_GB2312"/>
          <w:sz w:val="32"/>
          <w:szCs w:val="32"/>
          <w:highlight w:val="none"/>
        </w:rPr>
        <w:t>1.产出数量指标分析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rPr>
        <w:t>实际完成率</w:t>
      </w:r>
      <w:r>
        <w:rPr>
          <w:rFonts w:hint="eastAsia" w:ascii="仿宋_GB2312" w:eastAsia="仿宋_GB2312"/>
          <w:sz w:val="32"/>
          <w:szCs w:val="32"/>
          <w:highlight w:val="none"/>
          <w:lang w:val="en-US" w:eastAsia="zh-CN"/>
        </w:rPr>
        <w:t>1</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根据现场调研结果，北</w:t>
      </w:r>
      <w:r>
        <w:rPr>
          <w:rFonts w:hint="eastAsia" w:ascii="仿宋_GB2312" w:hAnsi="仿宋" w:eastAsia="仿宋_GB2312" w:cs="仿宋"/>
          <w:color w:val="auto"/>
          <w:sz w:val="32"/>
          <w:szCs w:val="32"/>
          <w:highlight w:val="none"/>
        </w:rPr>
        <w:t>外环绿道建设工程项目</w:t>
      </w:r>
      <w:r>
        <w:rPr>
          <w:rFonts w:hint="eastAsia" w:ascii="仿宋_GB2312" w:hAnsi="仿宋" w:eastAsia="仿宋_GB2312" w:cs="仿宋"/>
          <w:color w:val="auto"/>
          <w:sz w:val="32"/>
          <w:szCs w:val="32"/>
          <w:highlight w:val="none"/>
          <w:lang w:val="en-US" w:eastAsia="zh-CN"/>
        </w:rPr>
        <w:t>和环城绿道提升工程</w:t>
      </w:r>
      <w:r>
        <w:rPr>
          <w:rFonts w:hint="eastAsia" w:ascii="仿宋_GB2312" w:hAnsi="仿宋_GB2312" w:eastAsia="仿宋_GB2312" w:cs="仿宋_GB2312"/>
          <w:color w:val="000000"/>
          <w:sz w:val="32"/>
          <w:szCs w:val="32"/>
          <w:highlight w:val="none"/>
          <w:lang w:val="en-US" w:eastAsia="zh-CN"/>
        </w:rPr>
        <w:t>项目已完成</w:t>
      </w:r>
      <w:r>
        <w:rPr>
          <w:rFonts w:hint="eastAsia" w:ascii="仿宋_GB2312" w:eastAsia="仿宋_GB2312"/>
          <w:sz w:val="32"/>
          <w:szCs w:val="32"/>
          <w:highlight w:val="none"/>
          <w:lang w:val="en-US" w:eastAsia="zh-CN"/>
        </w:rPr>
        <w:t>。</w:t>
      </w:r>
    </w:p>
    <w:p>
      <w:pPr>
        <w:pStyle w:val="21"/>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2.产出</w:t>
      </w:r>
      <w:r>
        <w:rPr>
          <w:rFonts w:hint="eastAsia" w:ascii="仿宋_GB2312" w:eastAsia="仿宋_GB2312"/>
          <w:sz w:val="32"/>
          <w:szCs w:val="32"/>
          <w:highlight w:val="none"/>
          <w:lang w:val="en-US" w:eastAsia="zh-CN"/>
        </w:rPr>
        <w:t>质量</w:t>
      </w:r>
      <w:r>
        <w:rPr>
          <w:rFonts w:hint="eastAsia" w:ascii="仿宋_GB2312" w:eastAsia="仿宋_GB2312"/>
          <w:sz w:val="32"/>
          <w:szCs w:val="32"/>
          <w:highlight w:val="none"/>
        </w:rPr>
        <w:t>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3.50</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88%</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rPr>
        <w:t>质量达标率</w:t>
      </w:r>
      <w:r>
        <w:rPr>
          <w:rFonts w:hint="eastAsia" w:ascii="仿宋_GB2312" w:eastAsia="仿宋_GB2312"/>
          <w:sz w:val="32"/>
          <w:szCs w:val="32"/>
          <w:highlight w:val="none"/>
          <w:lang w:val="en-US" w:eastAsia="zh-CN"/>
        </w:rPr>
        <w:t>1</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北</w:t>
      </w:r>
      <w:r>
        <w:rPr>
          <w:rFonts w:hint="eastAsia" w:ascii="仿宋_GB2312" w:hAnsi="仿宋" w:eastAsia="仿宋_GB2312" w:cs="仿宋"/>
          <w:color w:val="auto"/>
          <w:sz w:val="32"/>
          <w:szCs w:val="32"/>
          <w:highlight w:val="none"/>
        </w:rPr>
        <w:t>外环绿道建设工程项目</w:t>
      </w:r>
      <w:r>
        <w:rPr>
          <w:rFonts w:hint="eastAsia" w:ascii="仿宋_GB2312" w:hAnsi="仿宋" w:eastAsia="仿宋_GB2312" w:cs="仿宋"/>
          <w:color w:val="auto"/>
          <w:sz w:val="32"/>
          <w:szCs w:val="32"/>
          <w:highlight w:val="none"/>
          <w:lang w:val="en-US" w:eastAsia="zh-CN"/>
        </w:rPr>
        <w:t>和环城绿道提升工程尚未全面竣工验收，就单项验收报告看质量达标，但部分路段存在质</w:t>
      </w:r>
      <w:r>
        <w:rPr>
          <w:rFonts w:hint="eastAsia" w:ascii="仿宋_GB2312" w:eastAsia="仿宋_GB2312"/>
          <w:b w:val="0"/>
          <w:bCs w:val="0"/>
          <w:color w:val="000000"/>
          <w:sz w:val="32"/>
          <w:szCs w:val="32"/>
          <w:highlight w:val="none"/>
          <w:lang w:val="en-US" w:eastAsia="zh-CN"/>
        </w:rPr>
        <w:t>路面裂痕、部分道路路口沉陷需要修复</w:t>
      </w:r>
      <w:r>
        <w:rPr>
          <w:rFonts w:hint="eastAsia" w:ascii="仿宋_GB2312" w:hAnsi="仿宋" w:eastAsia="仿宋_GB2312" w:cs="仿宋"/>
          <w:color w:val="auto"/>
          <w:sz w:val="32"/>
          <w:szCs w:val="32"/>
          <w:highlight w:val="none"/>
          <w:lang w:val="en-US" w:eastAsia="zh-CN"/>
        </w:rPr>
        <w:t>，例如：环城绿道提升工程新建路段部分存在裂痕，环城绿道提升工程部分道口碎裂塌陷</w:t>
      </w:r>
      <w:r>
        <w:rPr>
          <w:rFonts w:hint="eastAsia" w:ascii="仿宋_GB2312" w:eastAsia="仿宋_GB2312"/>
          <w:sz w:val="32"/>
          <w:szCs w:val="32"/>
          <w:highlight w:val="none"/>
          <w:lang w:val="en-US" w:eastAsia="zh-CN"/>
        </w:rPr>
        <w:t>。</w:t>
      </w:r>
    </w:p>
    <w:p>
      <w:pPr>
        <w:pStyle w:val="21"/>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3.产出</w:t>
      </w:r>
      <w:r>
        <w:rPr>
          <w:rFonts w:hint="eastAsia" w:ascii="仿宋_GB2312" w:eastAsia="仿宋_GB2312"/>
          <w:sz w:val="32"/>
          <w:szCs w:val="32"/>
          <w:highlight w:val="none"/>
          <w:lang w:val="en-US" w:eastAsia="zh-CN"/>
        </w:rPr>
        <w:t>时效</w:t>
      </w:r>
      <w:r>
        <w:rPr>
          <w:rFonts w:hint="eastAsia" w:ascii="仿宋_GB2312" w:eastAsia="仿宋_GB2312"/>
          <w:sz w:val="32"/>
          <w:szCs w:val="32"/>
          <w:highlight w:val="none"/>
        </w:rPr>
        <w:t>指标分析</w:t>
      </w:r>
    </w:p>
    <w:p>
      <w:pPr>
        <w:pStyle w:val="21"/>
        <w:spacing w:line="580" w:lineRule="exact"/>
        <w:ind w:firstLine="640" w:firstLineChars="200"/>
        <w:rPr>
          <w:rFonts w:hint="eastAsia"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该项分值4分，评价得分0分，得分率0%，具体包括完成及时性1个三级指标。</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hAnsi="仿宋" w:eastAsia="仿宋_GB2312" w:cs="仿宋"/>
          <w:color w:val="auto"/>
          <w:sz w:val="32"/>
          <w:szCs w:val="32"/>
          <w:highlight w:val="none"/>
          <w:lang w:val="en-US" w:eastAsia="zh-CN"/>
        </w:rPr>
        <w:t>因新冠疫情，北</w:t>
      </w:r>
      <w:r>
        <w:rPr>
          <w:rFonts w:hint="eastAsia" w:ascii="仿宋_GB2312" w:hAnsi="仿宋" w:eastAsia="仿宋_GB2312" w:cs="仿宋"/>
          <w:color w:val="auto"/>
          <w:sz w:val="32"/>
          <w:szCs w:val="32"/>
          <w:highlight w:val="none"/>
        </w:rPr>
        <w:t>外环绿道建设工程项目</w:t>
      </w:r>
      <w:r>
        <w:rPr>
          <w:rFonts w:hint="eastAsia" w:ascii="仿宋_GB2312" w:hAnsi="仿宋" w:eastAsia="仿宋_GB2312" w:cs="仿宋"/>
          <w:color w:val="auto"/>
          <w:sz w:val="32"/>
          <w:szCs w:val="32"/>
          <w:highlight w:val="none"/>
          <w:lang w:val="en-US" w:eastAsia="zh-CN"/>
        </w:rPr>
        <w:t>和环城绿道提升工程开工时间均为2020年3月，晚于绩效目标申报开工时间2020年1月</w:t>
      </w:r>
      <w:r>
        <w:rPr>
          <w:rFonts w:hint="eastAsia" w:ascii="仿宋_GB2312" w:eastAsia="仿宋_GB2312"/>
          <w:sz w:val="32"/>
          <w:szCs w:val="32"/>
          <w:highlight w:val="none"/>
          <w:lang w:val="en-US" w:eastAsia="zh-CN"/>
        </w:rPr>
        <w:t>。</w:t>
      </w:r>
      <w:r>
        <w:rPr>
          <w:rFonts w:hint="eastAsia" w:ascii="仿宋_GB2312" w:hAnsi="仿宋" w:eastAsia="仿宋_GB2312" w:cs="仿宋"/>
          <w:color w:val="auto"/>
          <w:sz w:val="32"/>
          <w:szCs w:val="32"/>
          <w:highlight w:val="none"/>
          <w:lang w:val="en-US" w:eastAsia="zh-CN"/>
        </w:rPr>
        <w:t>绩效目标申报完工时间为2020年6月，</w:t>
      </w:r>
      <w:r>
        <w:rPr>
          <w:rFonts w:hint="eastAsia" w:ascii="仿宋_GB2312" w:eastAsia="仿宋_GB2312"/>
          <w:sz w:val="32"/>
          <w:szCs w:val="32"/>
          <w:highlight w:val="none"/>
          <w:lang w:val="en-US" w:eastAsia="zh-CN"/>
        </w:rPr>
        <w:t>截至评价日项目未全面竣工验收。</w:t>
      </w:r>
    </w:p>
    <w:p>
      <w:pPr>
        <w:pStyle w:val="21"/>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4.产出成本指标分析</w:t>
      </w:r>
    </w:p>
    <w:p>
      <w:pPr>
        <w:pStyle w:val="21"/>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，具体</w:t>
      </w:r>
      <w:r>
        <w:rPr>
          <w:rFonts w:ascii="仿宋_GB2312" w:eastAsia="仿宋_GB2312"/>
          <w:sz w:val="32"/>
          <w:szCs w:val="32"/>
          <w:highlight w:val="none"/>
        </w:rPr>
        <w:t>包括</w:t>
      </w:r>
      <w:r>
        <w:rPr>
          <w:rFonts w:hint="eastAsia" w:ascii="仿宋_GB2312" w:eastAsia="仿宋_GB2312"/>
          <w:sz w:val="32"/>
          <w:szCs w:val="32"/>
          <w:highlight w:val="none"/>
        </w:rPr>
        <w:t>成本节约率</w:t>
      </w:r>
      <w:r>
        <w:rPr>
          <w:rFonts w:hint="eastAsia" w:ascii="仿宋_GB2312" w:eastAsia="仿宋_GB2312"/>
          <w:sz w:val="32"/>
          <w:szCs w:val="32"/>
          <w:highlight w:val="none"/>
          <w:lang w:val="en-US" w:eastAsia="zh-CN"/>
        </w:rPr>
        <w:t>1</w:t>
      </w:r>
      <w:r>
        <w:rPr>
          <w:rFonts w:ascii="仿宋_GB2312" w:eastAsia="仿宋_GB2312"/>
          <w:sz w:val="32"/>
          <w:szCs w:val="32"/>
          <w:highlight w:val="none"/>
        </w:rPr>
        <w:t>个三级指标</w:t>
      </w:r>
      <w:r>
        <w:rPr>
          <w:rFonts w:hint="eastAsia" w:ascii="仿宋_GB2312" w:eastAsia="仿宋_GB2312"/>
          <w:sz w:val="32"/>
          <w:szCs w:val="32"/>
          <w:highlight w:val="none"/>
        </w:rPr>
        <w:t>。</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因项目未竣工，未进行工程造价审计，该指标不能评价。</w:t>
      </w:r>
    </w:p>
    <w:p>
      <w:pPr>
        <w:pStyle w:val="4"/>
        <w:keepLines/>
        <w:widowControl/>
        <w:overflowPunct w:val="0"/>
        <w:adjustRightInd w:val="0"/>
        <w:snapToGrid w:val="0"/>
        <w:spacing w:line="580" w:lineRule="exact"/>
        <w:ind w:left="0" w:firstLine="640" w:firstLineChars="200"/>
        <w:jc w:val="both"/>
        <w:textAlignment w:val="baseline"/>
        <w:rPr>
          <w:rFonts w:eastAsia="楷体" w:asciiTheme="majorHAnsi" w:hAnsiTheme="majorHAnsi" w:cstheme="majorBidi"/>
          <w:bCs/>
          <w:sz w:val="32"/>
          <w:szCs w:val="32"/>
          <w:highlight w:val="none"/>
          <w:lang w:val="en-US" w:bidi="ar-SA"/>
        </w:rPr>
      </w:pPr>
      <w:bookmarkStart w:id="93" w:name="_Toc27943"/>
      <w:bookmarkStart w:id="94" w:name="_Toc15873"/>
      <w:bookmarkStart w:id="95" w:name="_Toc21511"/>
      <w:bookmarkStart w:id="96" w:name="_Toc15262"/>
      <w:r>
        <w:rPr>
          <w:rFonts w:hint="eastAsia" w:eastAsia="楷体" w:asciiTheme="majorHAnsi" w:hAnsiTheme="majorHAnsi" w:cstheme="majorBidi"/>
          <w:bCs/>
          <w:sz w:val="32"/>
          <w:szCs w:val="32"/>
          <w:highlight w:val="none"/>
          <w:lang w:val="en-US" w:bidi="ar-SA"/>
        </w:rPr>
        <w:t>（四）项目效益情况</w:t>
      </w:r>
      <w:bookmarkEnd w:id="93"/>
      <w:bookmarkEnd w:id="94"/>
      <w:bookmarkEnd w:id="95"/>
      <w:bookmarkEnd w:id="96"/>
    </w:p>
    <w:p>
      <w:pPr>
        <w:pStyle w:val="21"/>
        <w:adjustRightInd w:val="0"/>
        <w:snapToGrid w:val="0"/>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该项指标分值为</w:t>
      </w: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分，</w:t>
      </w:r>
      <w:r>
        <w:rPr>
          <w:rFonts w:ascii="仿宋_GB2312" w:eastAsia="仿宋_GB2312"/>
          <w:sz w:val="32"/>
          <w:szCs w:val="32"/>
          <w:highlight w:val="none"/>
        </w:rPr>
        <w:t>评价得分</w:t>
      </w:r>
      <w:r>
        <w:rPr>
          <w:rFonts w:hint="eastAsia" w:ascii="仿宋_GB2312" w:eastAsia="仿宋_GB2312"/>
          <w:sz w:val="32"/>
          <w:szCs w:val="32"/>
          <w:highlight w:val="none"/>
          <w:lang w:val="en-US" w:eastAsia="zh-CN"/>
        </w:rPr>
        <w:t>34</w:t>
      </w:r>
      <w:r>
        <w:rPr>
          <w:rFonts w:ascii="仿宋_GB2312" w:eastAsia="仿宋_GB2312"/>
          <w:sz w:val="32"/>
          <w:szCs w:val="32"/>
          <w:highlight w:val="none"/>
        </w:rPr>
        <w:t>分，得分率</w:t>
      </w:r>
      <w:r>
        <w:rPr>
          <w:rFonts w:hint="eastAsia" w:ascii="仿宋_GB2312" w:eastAsia="仿宋_GB2312"/>
          <w:sz w:val="32"/>
          <w:szCs w:val="32"/>
          <w:highlight w:val="none"/>
          <w:lang w:val="en-US" w:eastAsia="zh-CN"/>
        </w:rPr>
        <w:t>97%</w:t>
      </w:r>
      <w:r>
        <w:rPr>
          <w:rFonts w:hint="eastAsia" w:ascii="仿宋_GB2312" w:eastAsia="仿宋_GB2312"/>
          <w:sz w:val="32"/>
          <w:szCs w:val="32"/>
          <w:highlight w:val="none"/>
        </w:rPr>
        <w:t>。具体包括</w:t>
      </w:r>
      <w:r>
        <w:rPr>
          <w:rFonts w:hint="eastAsia" w:ascii="仿宋_GB2312" w:eastAsia="仿宋_GB2312"/>
          <w:sz w:val="32"/>
          <w:szCs w:val="32"/>
          <w:highlight w:val="none"/>
          <w:lang w:val="en-US" w:eastAsia="zh-CN"/>
        </w:rPr>
        <w:t>实施效益、满意度、加减分项3</w:t>
      </w:r>
      <w:r>
        <w:rPr>
          <w:rFonts w:hint="eastAsia" w:ascii="仿宋_GB2312" w:eastAsia="仿宋_GB2312"/>
          <w:sz w:val="32"/>
          <w:szCs w:val="32"/>
          <w:highlight w:val="none"/>
        </w:rPr>
        <w:t>个二级指标。</w:t>
      </w:r>
    </w:p>
    <w:p>
      <w:pPr>
        <w:pStyle w:val="21"/>
        <w:spacing w:line="580" w:lineRule="exact"/>
        <w:ind w:left="64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实施效益</w:t>
      </w:r>
      <w:r>
        <w:rPr>
          <w:rFonts w:hint="eastAsia" w:ascii="仿宋_GB2312" w:eastAsia="仿宋_GB2312"/>
          <w:sz w:val="32"/>
          <w:szCs w:val="32"/>
          <w:highlight w:val="none"/>
        </w:rPr>
        <w:t>指标分析</w:t>
      </w:r>
    </w:p>
    <w:p>
      <w:pPr>
        <w:pStyle w:val="21"/>
        <w:adjustRightInd w:val="0"/>
        <w:snapToGrid w:val="0"/>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该项分值</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分，评价得分</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分，得分率</w:t>
      </w:r>
      <w:r>
        <w:rPr>
          <w:rFonts w:hint="eastAsia" w:ascii="仿宋_GB2312" w:eastAsia="仿宋_GB2312"/>
          <w:sz w:val="32"/>
          <w:szCs w:val="32"/>
          <w:highlight w:val="none"/>
          <w:lang w:val="en-US" w:eastAsia="zh-CN"/>
        </w:rPr>
        <w:t>87%</w:t>
      </w:r>
      <w:r>
        <w:rPr>
          <w:rFonts w:hint="eastAsia" w:ascii="仿宋_GB2312" w:eastAsia="仿宋_GB2312"/>
          <w:sz w:val="32"/>
          <w:szCs w:val="32"/>
          <w:highlight w:val="none"/>
        </w:rPr>
        <w:t>，具体包括社会效益</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个三级指标。</w:t>
      </w:r>
      <w:r>
        <w:rPr>
          <w:rFonts w:hint="eastAsia" w:ascii="仿宋_GB2312" w:eastAsia="仿宋_GB2312"/>
          <w:sz w:val="32"/>
          <w:szCs w:val="32"/>
          <w:highlight w:val="none"/>
          <w:lang w:val="en-US" w:eastAsia="zh-CN"/>
        </w:rPr>
        <w:t>分析如下：</w:t>
      </w:r>
    </w:p>
    <w:p>
      <w:pPr>
        <w:keepNext w:val="0"/>
        <w:keepLines w:val="0"/>
        <w:widowControl/>
        <w:suppressLineNumbers w:val="0"/>
        <w:ind w:firstLine="640" w:firstLineChars="200"/>
        <w:jc w:val="left"/>
        <w:rPr>
          <w:rFonts w:hint="eastAsia" w:ascii="仿宋_GB2312" w:hAnsi="仿宋" w:eastAsia="仿宋_GB2312" w:cs="仿宋"/>
          <w:color w:val="auto"/>
          <w:sz w:val="32"/>
          <w:szCs w:val="32"/>
          <w:highlight w:val="none"/>
          <w:lang w:val="en-US" w:eastAsia="zh-CN"/>
        </w:rPr>
      </w:pPr>
      <w:r>
        <w:rPr>
          <w:rFonts w:hint="eastAsia" w:ascii="仿宋_GB2312" w:eastAsia="仿宋_GB2312"/>
          <w:b w:val="0"/>
          <w:bCs w:val="0"/>
          <w:sz w:val="32"/>
          <w:szCs w:val="32"/>
          <w:highlight w:val="none"/>
          <w:lang w:val="en-US" w:eastAsia="zh-CN"/>
        </w:rPr>
        <w:t>（1）道路安全隐患消除情况，据现场勘查，驾车行驶在</w:t>
      </w:r>
      <w:r>
        <w:rPr>
          <w:rFonts w:hint="eastAsia" w:ascii="仿宋_GB2312" w:hAnsi="仿宋" w:eastAsia="仿宋_GB2312" w:cs="仿宋"/>
          <w:color w:val="auto"/>
          <w:sz w:val="32"/>
          <w:szCs w:val="32"/>
          <w:highlight w:val="none"/>
          <w:lang w:val="en-US" w:eastAsia="zh-CN"/>
        </w:rPr>
        <w:t>环城绿道提升工程东河岔至洪门段，山路存在较多弯道和视线盲区，存在安全隐患，建议增设减速带、道路广角镜等交通安全措施。</w:t>
      </w:r>
    </w:p>
    <w:p>
      <w:pPr>
        <w:keepNext w:val="0"/>
        <w:keepLines w:val="0"/>
        <w:widowControl/>
        <w:suppressLineNumbers w:val="0"/>
        <w:ind w:firstLine="640" w:firstLineChars="200"/>
        <w:jc w:val="left"/>
        <w:rPr>
          <w:rFonts w:hint="eastAsia" w:ascii="仿宋_GB2312" w:hAnsi="仿宋" w:eastAsia="仿宋_GB2312" w:cs="仿宋"/>
          <w:color w:val="auto"/>
          <w:sz w:val="32"/>
          <w:szCs w:val="32"/>
          <w:highlight w:val="none"/>
          <w:lang w:val="en-US" w:eastAsia="zh-CN"/>
        </w:rPr>
      </w:pPr>
      <w:r>
        <w:rPr>
          <w:rFonts w:hint="eastAsia" w:ascii="仿宋_GB2312" w:eastAsia="仿宋_GB2312"/>
          <w:b w:val="0"/>
          <w:bCs w:val="0"/>
          <w:sz w:val="32"/>
          <w:szCs w:val="32"/>
          <w:highlight w:val="none"/>
          <w:lang w:val="en-US" w:eastAsia="zh-CN"/>
        </w:rPr>
        <w:t>（2）出行效率改善程度，据现场勘查，因</w:t>
      </w:r>
      <w:r>
        <w:rPr>
          <w:rFonts w:hint="eastAsia" w:ascii="仿宋_GB2312" w:hAnsi="仿宋" w:eastAsia="仿宋_GB2312" w:cs="仿宋"/>
          <w:color w:val="auto"/>
          <w:sz w:val="32"/>
          <w:szCs w:val="32"/>
          <w:highlight w:val="none"/>
          <w:lang w:val="en-US" w:eastAsia="zh-CN"/>
        </w:rPr>
        <w:t>北</w:t>
      </w:r>
      <w:r>
        <w:rPr>
          <w:rFonts w:hint="eastAsia" w:ascii="仿宋_GB2312" w:hAnsi="仿宋" w:eastAsia="仿宋_GB2312" w:cs="仿宋"/>
          <w:color w:val="auto"/>
          <w:sz w:val="32"/>
          <w:szCs w:val="32"/>
          <w:highlight w:val="none"/>
        </w:rPr>
        <w:t>外环绿道建设工程项目</w:t>
      </w:r>
      <w:r>
        <w:rPr>
          <w:rFonts w:hint="eastAsia" w:ascii="仿宋_GB2312" w:hAnsi="仿宋" w:eastAsia="仿宋_GB2312" w:cs="仿宋"/>
          <w:color w:val="auto"/>
          <w:sz w:val="32"/>
          <w:szCs w:val="32"/>
          <w:highlight w:val="none"/>
          <w:lang w:val="en-US" w:eastAsia="zh-CN"/>
        </w:rPr>
        <w:t>和环城绿道提升工程实施了道路修复、新建道路等项目，增加区域内通行选择路径，减少车辆减速绕行非安全道路，大大提高了通行效率。</w:t>
      </w:r>
    </w:p>
    <w:p>
      <w:pPr>
        <w:keepNext w:val="0"/>
        <w:keepLines w:val="0"/>
        <w:widowControl/>
        <w:suppressLineNumbers w:val="0"/>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（3）2020年实现乡镇和建制村通硬化路率，经查看山东公路基础数据管理系统，山亭区已于2020年实现乡镇和建制村通硬化路率100%。</w:t>
      </w:r>
    </w:p>
    <w:p>
      <w:pPr>
        <w:keepNext w:val="0"/>
        <w:keepLines w:val="0"/>
        <w:widowControl/>
        <w:suppressLineNumbers w:val="0"/>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（4）重大及以上安全责任事故得到是否有效遏制，较大和一般事故是否明显下降，经网络查询发现山亭区域内近两年无较大、一般事故、重大及以上安全责任事故。</w:t>
      </w:r>
    </w:p>
    <w:p>
      <w:pPr>
        <w:keepNext w:val="0"/>
        <w:keepLines w:val="0"/>
        <w:widowControl/>
        <w:suppressLineNumbers w:val="0"/>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（5）构建符合农村公路特点的管理体制与机制以及养护技术体系。山亭区建立了</w:t>
      </w:r>
      <w:r>
        <w:rPr>
          <w:rFonts w:ascii="仿宋" w:hAnsi="仿宋" w:eastAsia="仿宋" w:cs="仿宋"/>
          <w:color w:val="000000"/>
          <w:kern w:val="0"/>
          <w:sz w:val="31"/>
          <w:szCs w:val="31"/>
          <w:lang w:val="en-US" w:eastAsia="zh-CN" w:bidi="ar"/>
        </w:rPr>
        <w:t>深化农村公路管理养护体制改革和试点创</w:t>
      </w:r>
      <w:r>
        <w:rPr>
          <w:rFonts w:hint="eastAsia" w:ascii="仿宋" w:hAnsi="仿宋" w:eastAsia="仿宋" w:cs="仿宋"/>
          <w:color w:val="000000"/>
          <w:kern w:val="0"/>
          <w:sz w:val="31"/>
          <w:szCs w:val="31"/>
          <w:lang w:val="en-US" w:eastAsia="zh-CN" w:bidi="ar"/>
        </w:rPr>
        <w:t>建领导小组，形成了《</w:t>
      </w:r>
      <w:r>
        <w:rPr>
          <w:rFonts w:ascii="仿宋" w:hAnsi="仿宋" w:eastAsia="仿宋" w:cs="仿宋"/>
          <w:color w:val="000000"/>
          <w:kern w:val="0"/>
          <w:sz w:val="31"/>
          <w:szCs w:val="31"/>
          <w:lang w:val="en-US" w:eastAsia="zh-CN" w:bidi="ar"/>
        </w:rPr>
        <w:t>山亭区交通强国“四好农村路”建设和深化农村</w:t>
      </w:r>
      <w:r>
        <w:rPr>
          <w:rFonts w:hint="eastAsia" w:ascii="仿宋" w:hAnsi="仿宋" w:eastAsia="仿宋" w:cs="仿宋"/>
          <w:color w:val="000000"/>
          <w:kern w:val="0"/>
          <w:sz w:val="31"/>
          <w:szCs w:val="31"/>
          <w:lang w:val="en-US" w:eastAsia="zh-CN" w:bidi="ar"/>
        </w:rPr>
        <w:t>公路管理养护体制改革试点工作方案》《</w:t>
      </w:r>
      <w:r>
        <w:rPr>
          <w:rFonts w:ascii="仿宋" w:hAnsi="仿宋" w:eastAsia="仿宋" w:cs="仿宋"/>
          <w:color w:val="000000"/>
          <w:kern w:val="0"/>
          <w:sz w:val="31"/>
          <w:szCs w:val="31"/>
          <w:lang w:val="en-US" w:eastAsia="zh-CN" w:bidi="ar"/>
        </w:rPr>
        <w:t>山亭区农村公路“路长制”实施方案</w:t>
      </w:r>
      <w:r>
        <w:rPr>
          <w:rFonts w:hint="eastAsia" w:ascii="仿宋" w:hAnsi="仿宋" w:eastAsia="仿宋" w:cs="仿宋"/>
          <w:color w:val="000000"/>
          <w:kern w:val="0"/>
          <w:sz w:val="31"/>
          <w:szCs w:val="31"/>
          <w:lang w:val="en-US" w:eastAsia="zh-CN" w:bidi="ar"/>
        </w:rPr>
        <w:t>》。但</w:t>
      </w:r>
      <w:r>
        <w:rPr>
          <w:rFonts w:hint="eastAsia" w:ascii="仿宋_GB2312" w:eastAsia="仿宋_GB2312"/>
          <w:b w:val="0"/>
          <w:bCs w:val="0"/>
          <w:sz w:val="32"/>
          <w:szCs w:val="32"/>
          <w:highlight w:val="none"/>
          <w:lang w:val="en-US" w:eastAsia="zh-CN"/>
        </w:rPr>
        <w:t>缺少考核制度、运行管理、管护养护等方面的后期维护管理机制，未形成地方特色的农村公路养护技术规范体系和符合地区农村公路特点的管理体制与机制。</w:t>
      </w:r>
    </w:p>
    <w:p>
      <w:pPr>
        <w:keepNext w:val="0"/>
        <w:keepLines w:val="0"/>
        <w:widowControl/>
        <w:suppressLineNumbers w:val="0"/>
        <w:ind w:firstLine="640" w:firstLineChars="200"/>
        <w:jc w:val="left"/>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优、良、中等路的比例是否达标，根据山东公路技师学院公路检测中心2020年10月出具的《山亭区县乡道路工程检测报告》反映，“本次检测山亭区县乡道路共52条路线，检评长度总计406.020公里，其中评价中等以上的道路386.924公里。中等以上道路占总里程比例为95.3%”。山亭区优、良、中等路的比例达到</w:t>
      </w:r>
      <w:r>
        <w:rPr>
          <w:rFonts w:hint="eastAsia" w:ascii="仿宋_GB2312" w:eastAsia="仿宋_GB2312"/>
          <w:sz w:val="32"/>
          <w:szCs w:val="32"/>
          <w:highlight w:val="none"/>
          <w:lang w:val="en-US" w:eastAsia="zh-CN"/>
        </w:rPr>
        <w:t>《关于推进“四好农村路”建设的意见》（交公路发〔2015〕73号）“2020年，优、良、中等路的比例不低于75%”的要求。</w:t>
      </w:r>
    </w:p>
    <w:p>
      <w:pPr>
        <w:pStyle w:val="21"/>
        <w:spacing w:line="580" w:lineRule="exact"/>
        <w:ind w:left="64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满意度</w:t>
      </w:r>
      <w:r>
        <w:rPr>
          <w:rFonts w:hint="eastAsia" w:ascii="仿宋_GB2312" w:eastAsia="仿宋_GB2312"/>
          <w:sz w:val="32"/>
          <w:szCs w:val="32"/>
          <w:highlight w:val="none"/>
        </w:rPr>
        <w:t>指标分析</w:t>
      </w:r>
    </w:p>
    <w:p>
      <w:pPr>
        <w:pStyle w:val="21"/>
        <w:adjustRightInd w:val="0"/>
        <w:snapToGrid w:val="0"/>
        <w:spacing w:line="58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该项分值5分，评价得分5分，得分率100%，具体包括受益群体满意度1个三级指标。</w:t>
      </w:r>
    </w:p>
    <w:p>
      <w:pPr>
        <w:pStyle w:val="21"/>
        <w:adjustRightInd w:val="0"/>
        <w:snapToGrid w:val="0"/>
        <w:spacing w:line="58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此次满意度问卷主要采用人工发放的方式，共收回有效问卷31份。经统计，项目受益群体满意度为100%。</w:t>
      </w:r>
    </w:p>
    <w:p>
      <w:pPr>
        <w:pStyle w:val="21"/>
        <w:adjustRightInd w:val="0"/>
        <w:snapToGrid w:val="0"/>
        <w:spacing w:line="58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3、加减分项指标分析</w:t>
      </w:r>
    </w:p>
    <w:p>
      <w:pPr>
        <w:pStyle w:val="21"/>
        <w:adjustRightInd w:val="0"/>
        <w:snapToGrid w:val="0"/>
        <w:spacing w:line="58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该项分值由5分和-5分组成，评价得分3分，具体包括加分项和减分项2个三级指标。</w:t>
      </w:r>
    </w:p>
    <w:p>
      <w:pPr>
        <w:pStyle w:val="21"/>
        <w:adjustRightInd w:val="0"/>
        <w:snapToGrid w:val="0"/>
        <w:spacing w:line="580" w:lineRule="exact"/>
        <w:ind w:firstLine="640" w:firstLineChars="200"/>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根据枣庄市四好农村路建设工作领导小组办公室公布的第四批、第五批、第六批枣庄市“四好农村路”示范镇名单反映，山亭区有徐庄镇、桑村镇、西集镇、店子镇、冯卯镇和城头镇六个镇被评为“四好农村路”示范镇。此外，未收到关于山亭区“四好农村路”实施过程中被省市区有关部门处罚处分情况的依据。</w:t>
      </w:r>
    </w:p>
    <w:p>
      <w:pPr>
        <w:pStyle w:val="3"/>
        <w:keepNext/>
        <w:keepLines/>
        <w:widowControl w:val="0"/>
        <w:overflowPunct/>
        <w:autoSpaceDE/>
        <w:autoSpaceDN/>
        <w:adjustRightInd/>
        <w:spacing w:before="0" w:line="580" w:lineRule="exact"/>
        <w:ind w:left="0" w:firstLine="640" w:firstLineChars="200"/>
        <w:textAlignment w:val="auto"/>
        <w:rPr>
          <w:rFonts w:hint="default" w:ascii="仿宋_GB2312" w:hAnsi="仿宋_GB2312" w:eastAsia="黑体" w:cs="Times New Roman"/>
          <w:b w:val="0"/>
          <w:bCs w:val="0"/>
          <w:kern w:val="44"/>
          <w:szCs w:val="24"/>
          <w:lang w:val="en-US" w:eastAsia="zh-CN" w:bidi="ar-SA"/>
        </w:rPr>
      </w:pPr>
      <w:bookmarkStart w:id="97" w:name="_Toc23059"/>
      <w:bookmarkStart w:id="98" w:name="_Toc359"/>
      <w:bookmarkStart w:id="99" w:name="_Toc8471"/>
      <w:r>
        <w:rPr>
          <w:rFonts w:hint="eastAsia" w:ascii="仿宋_GB2312" w:hAnsi="仿宋_GB2312" w:cs="Times New Roman"/>
          <w:b w:val="0"/>
          <w:bCs w:val="0"/>
          <w:kern w:val="44"/>
          <w:szCs w:val="24"/>
          <w:lang w:val="en-US" w:eastAsia="zh-CN" w:bidi="ar-SA"/>
        </w:rPr>
        <w:t>五</w:t>
      </w:r>
      <w:r>
        <w:rPr>
          <w:rFonts w:hint="eastAsia" w:ascii="仿宋_GB2312" w:hAnsi="仿宋_GB2312" w:eastAsia="黑体" w:cs="Times New Roman"/>
          <w:b w:val="0"/>
          <w:bCs w:val="0"/>
          <w:kern w:val="44"/>
          <w:szCs w:val="24"/>
          <w:lang w:val="en-US" w:eastAsia="zh-CN" w:bidi="ar-SA"/>
        </w:rPr>
        <w:t>、</w:t>
      </w:r>
      <w:bookmarkEnd w:id="97"/>
      <w:bookmarkEnd w:id="98"/>
      <w:bookmarkStart w:id="100" w:name="_Toc27828"/>
      <w:bookmarkStart w:id="101" w:name="_Toc7043"/>
      <w:bookmarkStart w:id="102" w:name="_Toc21525"/>
      <w:r>
        <w:rPr>
          <w:rFonts w:hint="eastAsia" w:ascii="仿宋_GB2312" w:hAnsi="仿宋_GB2312" w:eastAsia="黑体" w:cs="Times New Roman"/>
          <w:b w:val="0"/>
          <w:bCs w:val="0"/>
          <w:kern w:val="44"/>
          <w:szCs w:val="24"/>
          <w:lang w:val="en-US" w:eastAsia="zh-CN" w:bidi="ar-SA"/>
        </w:rPr>
        <w:t>主要绩效</w:t>
      </w:r>
      <w:bookmarkEnd w:id="99"/>
      <w:bookmarkEnd w:id="100"/>
      <w:bookmarkEnd w:id="101"/>
      <w:bookmarkEnd w:id="102"/>
    </w:p>
    <w:p>
      <w:pPr>
        <w:pStyle w:val="21"/>
        <w:adjustRightInd w:val="0"/>
        <w:snapToGrid w:val="0"/>
        <w:spacing w:line="580" w:lineRule="exact"/>
        <w:ind w:firstLine="643" w:firstLineChars="200"/>
        <w:rPr>
          <w:rFonts w:hint="default" w:ascii="仿宋_GB2312" w:eastAsia="仿宋_GB2312"/>
          <w:b w:val="0"/>
          <w:bCs w:val="0"/>
          <w:sz w:val="32"/>
          <w:szCs w:val="32"/>
          <w:highlight w:val="none"/>
          <w:lang w:val="en-US" w:eastAsia="zh-CN"/>
        </w:rPr>
      </w:pPr>
      <w:r>
        <w:rPr>
          <w:rFonts w:hint="eastAsia" w:ascii="仿宋_GB2312" w:eastAsia="仿宋_GB2312"/>
          <w:b/>
          <w:bCs/>
          <w:sz w:val="32"/>
          <w:szCs w:val="32"/>
          <w:highlight w:val="none"/>
          <w:lang w:val="en-US" w:eastAsia="zh-CN"/>
        </w:rPr>
        <w:t>一是道路平整度效果提升显著。</w:t>
      </w:r>
      <w:r>
        <w:rPr>
          <w:rFonts w:hint="eastAsia" w:ascii="仿宋_GB2312" w:eastAsia="仿宋_GB2312"/>
          <w:b w:val="0"/>
          <w:bCs w:val="0"/>
          <w:sz w:val="32"/>
          <w:szCs w:val="32"/>
          <w:highlight w:val="none"/>
          <w:lang w:val="en-US" w:eastAsia="zh-CN"/>
        </w:rPr>
        <w:t>山亭区县乡道路路面损坏状况指数PCI由2019年度的80提升至2020年度的84。</w:t>
      </w:r>
      <w:r>
        <w:rPr>
          <w:rFonts w:hint="eastAsia" w:ascii="仿宋_GB2312" w:eastAsia="仿宋_GB2312"/>
          <w:b/>
          <w:bCs/>
          <w:sz w:val="32"/>
          <w:szCs w:val="32"/>
          <w:highlight w:val="none"/>
          <w:lang w:val="en-US" w:eastAsia="zh-CN"/>
        </w:rPr>
        <w:t>二是完成了道路维修及部分道路新建工作。</w:t>
      </w:r>
      <w:r>
        <w:rPr>
          <w:rFonts w:hint="eastAsia" w:ascii="仿宋_GB2312" w:eastAsia="仿宋_GB2312"/>
          <w:b w:val="0"/>
          <w:bCs w:val="0"/>
          <w:sz w:val="32"/>
          <w:szCs w:val="32"/>
          <w:highlight w:val="none"/>
          <w:lang w:val="en-US" w:eastAsia="zh-CN"/>
        </w:rPr>
        <w:t>山亭区环城绿道提升工程涉及青龙绿道(环城绿道的一部分）的新建、改建和扩建，已完成工作量总长度48.7公里，其中，绿道新建5.5公里，现有绿道扩宽后铺设7.7公里，现有绿道路面直接铺设19.06公里，现有绿道路面修缮后铺设5.14公里，现有绿道直接划线彩化11.3公里；</w:t>
      </w:r>
      <w:r>
        <w:rPr>
          <w:rFonts w:hint="eastAsia" w:ascii="仿宋_GB2312" w:hAnsi="仿宋" w:eastAsia="仿宋_GB2312" w:cs="仿宋"/>
          <w:color w:val="auto"/>
          <w:sz w:val="32"/>
          <w:szCs w:val="32"/>
          <w:highlight w:val="none"/>
          <w:lang w:val="en-US" w:eastAsia="zh-CN"/>
        </w:rPr>
        <w:t>北</w:t>
      </w:r>
      <w:r>
        <w:rPr>
          <w:rFonts w:hint="eastAsia" w:ascii="仿宋_GB2312" w:hAnsi="仿宋" w:eastAsia="仿宋_GB2312" w:cs="仿宋"/>
          <w:color w:val="auto"/>
          <w:sz w:val="32"/>
          <w:szCs w:val="32"/>
          <w:highlight w:val="none"/>
        </w:rPr>
        <w:t>外环绿道建设工程</w:t>
      </w:r>
      <w:r>
        <w:rPr>
          <w:rFonts w:hint="eastAsia" w:ascii="仿宋_GB2312" w:hAnsi="仿宋" w:eastAsia="仿宋_GB2312" w:cs="仿宋"/>
          <w:color w:val="auto"/>
          <w:sz w:val="32"/>
          <w:szCs w:val="32"/>
          <w:highlight w:val="none"/>
          <w:lang w:val="en-US" w:eastAsia="zh-CN"/>
        </w:rPr>
        <w:t>完成路面改建4.8公里。项目实施后为山亭区乡村振兴提供了交通基础</w:t>
      </w:r>
      <w:r>
        <w:rPr>
          <w:rFonts w:hint="eastAsia" w:ascii="仿宋_GB2312" w:eastAsia="仿宋_GB2312"/>
          <w:b w:val="0"/>
          <w:bCs w:val="0"/>
          <w:sz w:val="32"/>
          <w:szCs w:val="32"/>
          <w:highlight w:val="none"/>
          <w:lang w:val="en-US" w:eastAsia="zh-CN"/>
        </w:rPr>
        <w:t>。</w:t>
      </w:r>
    </w:p>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eastAsia="zh-CN" w:bidi="ar-SA"/>
        </w:rPr>
      </w:pPr>
      <w:bookmarkStart w:id="103" w:name="_Toc26114"/>
      <w:bookmarkStart w:id="104" w:name="_Toc6577"/>
      <w:bookmarkStart w:id="105" w:name="_Toc32380"/>
      <w:bookmarkStart w:id="106" w:name="_Toc355"/>
      <w:r>
        <w:rPr>
          <w:rFonts w:hint="eastAsia" w:ascii="仿宋_GB2312" w:hAnsi="仿宋_GB2312" w:cs="Times New Roman"/>
          <w:b w:val="0"/>
          <w:bCs w:val="0"/>
          <w:kern w:val="44"/>
          <w:szCs w:val="24"/>
          <w:lang w:val="en-US" w:eastAsia="zh-CN" w:bidi="ar-SA"/>
        </w:rPr>
        <w:t>六</w:t>
      </w:r>
      <w:r>
        <w:rPr>
          <w:rFonts w:hint="eastAsia" w:ascii="仿宋_GB2312" w:hAnsi="仿宋_GB2312" w:eastAsia="黑体" w:cs="Times New Roman"/>
          <w:b w:val="0"/>
          <w:bCs w:val="0"/>
          <w:kern w:val="44"/>
          <w:szCs w:val="24"/>
          <w:lang w:val="en-US" w:eastAsia="zh-CN" w:bidi="ar-SA"/>
        </w:rPr>
        <w:t>、存在问题及</w:t>
      </w:r>
      <w:r>
        <w:rPr>
          <w:rFonts w:hint="eastAsia" w:ascii="仿宋_GB2312" w:hAnsi="仿宋_GB2312" w:cs="Times New Roman"/>
          <w:b w:val="0"/>
          <w:bCs w:val="0"/>
          <w:kern w:val="44"/>
          <w:szCs w:val="24"/>
          <w:lang w:val="en-US" w:eastAsia="zh-CN" w:bidi="ar-SA"/>
        </w:rPr>
        <w:t>建议</w:t>
      </w:r>
      <w:bookmarkEnd w:id="103"/>
      <w:bookmarkEnd w:id="104"/>
      <w:bookmarkEnd w:id="105"/>
    </w:p>
    <w:p>
      <w:pPr>
        <w:pStyle w:val="4"/>
        <w:keepLines/>
        <w:widowControl/>
        <w:overflowPunct w:val="0"/>
        <w:adjustRightInd w:val="0"/>
        <w:snapToGrid w:val="0"/>
        <w:spacing w:line="580" w:lineRule="exact"/>
        <w:ind w:left="0" w:firstLine="640" w:firstLineChars="200"/>
        <w:jc w:val="both"/>
        <w:textAlignment w:val="baseline"/>
        <w:rPr>
          <w:rFonts w:hint="default" w:eastAsia="楷体" w:asciiTheme="majorHAnsi" w:hAnsiTheme="majorHAnsi" w:cstheme="majorBidi"/>
          <w:bCs/>
          <w:sz w:val="32"/>
          <w:szCs w:val="32"/>
          <w:highlight w:val="none"/>
          <w:lang w:val="en-US" w:eastAsia="zh-CN" w:bidi="ar-SA"/>
        </w:rPr>
      </w:pPr>
      <w:bookmarkStart w:id="107" w:name="_Toc264"/>
      <w:bookmarkStart w:id="108" w:name="_Toc8800"/>
      <w:bookmarkStart w:id="109" w:name="_Toc14334"/>
      <w:r>
        <w:rPr>
          <w:rFonts w:hint="eastAsia" w:eastAsia="楷体" w:asciiTheme="majorHAnsi" w:hAnsiTheme="majorHAnsi" w:cstheme="majorBidi"/>
          <w:bCs/>
          <w:sz w:val="32"/>
          <w:szCs w:val="32"/>
          <w:highlight w:val="none"/>
          <w:lang w:val="en-US" w:eastAsia="zh-CN" w:bidi="ar-SA"/>
        </w:rPr>
        <w:t>（一）项目决策方面</w:t>
      </w:r>
      <w:bookmarkEnd w:id="107"/>
      <w:bookmarkEnd w:id="108"/>
      <w:bookmarkEnd w:id="109"/>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1、环城绿道提升工程立项手续不完善。</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环城绿道提升工程未见申报、批复、可行性研究报告等资料。</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建议今后主管部门严格按照相关法律法规和政策规定执行项目立项程序，委托专业机构对项目的可行性进行科学合理的分析预测，并提交发改等相关部门研究批复。</w:t>
      </w:r>
    </w:p>
    <w:p>
      <w:pPr>
        <w:spacing w:line="580" w:lineRule="exact"/>
        <w:ind w:firstLine="643" w:firstLineChars="200"/>
        <w:rPr>
          <w:rFonts w:hint="default"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2.</w:t>
      </w:r>
      <w:r>
        <w:rPr>
          <w:rFonts w:hint="eastAsia" w:ascii="仿宋_GB2312" w:eastAsia="仿宋_GB2312"/>
          <w:b/>
          <w:bCs/>
          <w:sz w:val="32"/>
          <w:szCs w:val="32"/>
          <w:highlight w:val="none"/>
          <w:lang w:val="en-US" w:eastAsia="zh-CN"/>
        </w:rPr>
        <w:t>环城绿道提升工程和</w:t>
      </w:r>
      <w:r>
        <w:rPr>
          <w:rFonts w:hint="eastAsia" w:ascii="仿宋_GB2312" w:hAnsi="仿宋" w:eastAsia="仿宋_GB2312" w:cs="仿宋"/>
          <w:b/>
          <w:bCs/>
          <w:color w:val="auto"/>
          <w:sz w:val="32"/>
          <w:szCs w:val="32"/>
          <w:highlight w:val="none"/>
          <w:lang w:val="en-US" w:eastAsia="zh-CN"/>
        </w:rPr>
        <w:t>北</w:t>
      </w:r>
      <w:r>
        <w:rPr>
          <w:rFonts w:hint="eastAsia" w:ascii="仿宋_GB2312" w:hAnsi="仿宋" w:eastAsia="仿宋_GB2312" w:cs="仿宋"/>
          <w:b/>
          <w:bCs/>
          <w:color w:val="auto"/>
          <w:sz w:val="32"/>
          <w:szCs w:val="32"/>
          <w:highlight w:val="none"/>
        </w:rPr>
        <w:t>外环绿道建设工程</w:t>
      </w:r>
      <w:r>
        <w:rPr>
          <w:rFonts w:hint="eastAsia" w:ascii="仿宋_GB2312" w:eastAsia="仿宋_GB2312"/>
          <w:b/>
          <w:bCs/>
          <w:color w:val="000000"/>
          <w:sz w:val="32"/>
          <w:szCs w:val="32"/>
          <w:highlight w:val="none"/>
          <w:lang w:val="en-US" w:eastAsia="zh-CN"/>
        </w:rPr>
        <w:t>项目绩效目标设定未细化。</w:t>
      </w:r>
    </w:p>
    <w:p>
      <w:pPr>
        <w:spacing w:line="580" w:lineRule="exact"/>
        <w:ind w:firstLine="420" w:firstLineChars="200"/>
        <w:rPr>
          <w:rFonts w:hint="eastAsia" w:ascii="仿宋_GB2312" w:eastAsia="仿宋_GB2312"/>
          <w:color w:val="000000"/>
          <w:sz w:val="32"/>
          <w:szCs w:val="32"/>
          <w:highlight w:val="none"/>
          <w:lang w:val="en-US" w:eastAsia="zh-CN"/>
        </w:rPr>
      </w:pPr>
      <w:r>
        <w:rPr>
          <w:rFonts w:hint="eastAsia"/>
          <w:lang w:val="en-US" w:eastAsia="zh-CN"/>
        </w:rPr>
        <w:t xml:space="preserve">  </w:t>
      </w:r>
      <w:r>
        <w:rPr>
          <w:rFonts w:hint="eastAsia" w:ascii="仿宋_GB2312" w:eastAsia="仿宋_GB2312"/>
          <w:color w:val="000000"/>
          <w:sz w:val="32"/>
          <w:szCs w:val="32"/>
          <w:highlight w:val="none"/>
          <w:lang w:val="en-US" w:eastAsia="zh-CN"/>
        </w:rPr>
        <w:t>北外环绿道建设工程和环城绿道提升工程项目绩效目标均未细化分解至具体的绩效指标，且不可以通过清晰、可衡量的指标值予以体现，例如两个项目绩效目标中的数量指标均使用“路缘石”长度作为指标，仅为实施项目中的其中一个小项，不能全面反映建设任务。建议采用与区政府发布的实施方案中建设任务的道路新建、改建和扩建公里数；</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两个项目绩效目标中成本指标中均采用个别子项的单位成本作为指标，不能与数量指标对应，也不能全面反映项目单位成本；满意度指标两个项目均选择“社会公众满意度”和“项目区群众满意度”两个存在重叠的人群来设置满意度指标值。</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山亭区环城绿道提升工程预算财政投资评审金额为1686.9万元，北外环绿道建设工程项目预算财政投资评审金额为1767.56万元，而山亭区环城绿道提升工程绩效目标申报金额为1180万元，北外环绿道建设工程项目绩效目标申报金额为1236万元。绩效目标与年度计划和预算不匹配。</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建议加强学习相关绩效政策文件，提高绩效目标编制水平，科学设定项目的绩效指标，提高目标对于项目的引领作用。绩效目标的设置要明确，清晰，具有可考核性。</w:t>
      </w:r>
    </w:p>
    <w:p>
      <w:pPr>
        <w:pStyle w:val="4"/>
        <w:keepLines/>
        <w:widowControl/>
        <w:overflowPunct w:val="0"/>
        <w:adjustRightInd w:val="0"/>
        <w:snapToGrid w:val="0"/>
        <w:spacing w:line="580" w:lineRule="exact"/>
        <w:ind w:left="0" w:firstLine="640" w:firstLineChars="200"/>
        <w:jc w:val="both"/>
        <w:textAlignment w:val="baseline"/>
        <w:rPr>
          <w:rFonts w:hint="default" w:eastAsia="楷体" w:asciiTheme="majorHAnsi" w:hAnsiTheme="majorHAnsi" w:cstheme="majorBidi"/>
          <w:bCs/>
          <w:sz w:val="32"/>
          <w:szCs w:val="32"/>
          <w:highlight w:val="none"/>
          <w:lang w:val="en-US" w:eastAsia="zh-CN" w:bidi="ar-SA"/>
        </w:rPr>
      </w:pPr>
      <w:bookmarkStart w:id="110" w:name="_Toc25638"/>
      <w:bookmarkStart w:id="111" w:name="_Toc24492"/>
      <w:bookmarkStart w:id="112" w:name="_Toc31544"/>
      <w:r>
        <w:rPr>
          <w:rFonts w:hint="eastAsia" w:eastAsia="楷体" w:asciiTheme="majorHAnsi" w:hAnsiTheme="majorHAnsi" w:cstheme="majorBidi"/>
          <w:bCs/>
          <w:sz w:val="32"/>
          <w:szCs w:val="32"/>
          <w:highlight w:val="none"/>
          <w:lang w:val="en-US" w:eastAsia="zh-CN" w:bidi="ar-SA"/>
        </w:rPr>
        <w:t>（二）项目过程方面</w:t>
      </w:r>
      <w:bookmarkEnd w:id="110"/>
      <w:bookmarkEnd w:id="111"/>
      <w:bookmarkEnd w:id="112"/>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1.阶段性资金拨付均未进行阶段性验收。</w:t>
      </w:r>
    </w:p>
    <w:p>
      <w:pPr>
        <w:pStyle w:val="21"/>
        <w:spacing w:line="58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两个项目按照合同约定支付项目进度款时，申请拨付手续中均缺少阶段性验收报告。</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建议主管部门严格按照相关法律法规规范验收程序。</w:t>
      </w:r>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2.已建立的管理制度不够具体，存在漏洞；部分制度实际执行不规范。</w:t>
      </w:r>
    </w:p>
    <w:p>
      <w:pPr>
        <w:pStyle w:val="21"/>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制度执行不规范，根据《山亭区环城绿道提升建设工程项目建设管理办法》中“第六条：设计、施工、监理单位、建设单位的各级工程技术质量管理人员，要树立‘百年大计、质量第一’的思想，强化全员工程质量意识，对工程质量管理要‘多管、多查、多看、严处理’”的规定，山亭区交通运输局作为项目建设单位没有过程监督检查资料，例如：施工期间停工无申请审批依据。</w:t>
      </w:r>
    </w:p>
    <w:p>
      <w:pPr>
        <w:pStyle w:val="21"/>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（2）项目调整不规范，</w:t>
      </w:r>
      <w:r>
        <w:rPr>
          <w:rFonts w:hint="eastAsia" w:ascii="仿宋_GB2312" w:hAnsi="仿宋" w:eastAsia="仿宋_GB2312" w:cs="仿宋"/>
          <w:color w:val="auto"/>
          <w:sz w:val="32"/>
          <w:szCs w:val="32"/>
          <w:highlight w:val="none"/>
        </w:rPr>
        <w:t>北外环绿道建设工程项目</w:t>
      </w:r>
      <w:r>
        <w:rPr>
          <w:rFonts w:hint="eastAsia" w:ascii="仿宋_GB2312" w:eastAsia="仿宋_GB2312"/>
          <w:sz w:val="32"/>
          <w:szCs w:val="32"/>
          <w:highlight w:val="none"/>
          <w:lang w:val="en-US" w:eastAsia="zh-CN"/>
        </w:rPr>
        <w:t>StreetPrint模压彩绘路面14400㎡，单价145.32元/㎡，单项金额209.26万元，该项内容已取消，但未见项目调整手续、绩效目标调整手续和预算变更手续。</w:t>
      </w:r>
    </w:p>
    <w:p>
      <w:pPr>
        <w:pStyle w:val="21"/>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（3）档案管理不规范，未进行分档分项存放。</w:t>
      </w:r>
    </w:p>
    <w:p>
      <w:pPr>
        <w:pStyle w:val="21"/>
        <w:spacing w:line="58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部分制度内容不够具体，例如档案管理缺少相关的专员管理职责、档案存放归类标准、不同类别档案保存时间、销毁程序和各类档案管理表格及填列指引等。此外缺少项目支出绩效管理办法、绩效目标填报管理办法等。</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建立健全相关必要的管理制度，严格规范项目监管，主管部门需定期对项目开展督导检查工作，建立台账，将项目管理情况与奖惩和资源配置相结合，加强责任部门问责，从严审核把关、从严加强监督、从严追究责任。</w:t>
      </w:r>
    </w:p>
    <w:p>
      <w:pPr>
        <w:pStyle w:val="4"/>
        <w:keepLines/>
        <w:widowControl/>
        <w:overflowPunct w:val="0"/>
        <w:adjustRightInd w:val="0"/>
        <w:snapToGrid w:val="0"/>
        <w:spacing w:line="580" w:lineRule="exact"/>
        <w:ind w:left="0" w:firstLine="640" w:firstLineChars="200"/>
        <w:jc w:val="both"/>
        <w:textAlignment w:val="baseline"/>
        <w:rPr>
          <w:rFonts w:hint="default" w:eastAsia="楷体" w:asciiTheme="majorHAnsi" w:hAnsiTheme="majorHAnsi" w:cstheme="majorBidi"/>
          <w:bCs/>
          <w:sz w:val="32"/>
          <w:szCs w:val="32"/>
          <w:highlight w:val="none"/>
          <w:lang w:val="en-US" w:eastAsia="zh-CN" w:bidi="ar-SA"/>
        </w:rPr>
      </w:pPr>
      <w:bookmarkStart w:id="113" w:name="_Toc29658"/>
      <w:bookmarkStart w:id="114" w:name="_Toc745"/>
      <w:bookmarkStart w:id="115" w:name="_Toc4625"/>
      <w:r>
        <w:rPr>
          <w:rFonts w:hint="eastAsia" w:eastAsia="楷体" w:asciiTheme="majorHAnsi" w:hAnsiTheme="majorHAnsi" w:cstheme="majorBidi"/>
          <w:bCs/>
          <w:sz w:val="32"/>
          <w:szCs w:val="32"/>
          <w:highlight w:val="none"/>
          <w:lang w:val="en-US" w:eastAsia="zh-CN" w:bidi="ar-SA"/>
        </w:rPr>
        <w:t>（三）项目产出方面</w:t>
      </w:r>
      <w:bookmarkEnd w:id="113"/>
      <w:bookmarkEnd w:id="114"/>
      <w:bookmarkEnd w:id="115"/>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1.项目完成及时率差，项目实施进度待加快</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hAnsi="仿宋" w:eastAsia="仿宋_GB2312" w:cs="仿宋"/>
          <w:color w:val="auto"/>
          <w:sz w:val="32"/>
          <w:szCs w:val="32"/>
          <w:highlight w:val="none"/>
          <w:lang w:val="en-US" w:eastAsia="zh-CN"/>
        </w:rPr>
        <w:t>绩效目标申报完工时间为2020年6月，</w:t>
      </w:r>
      <w:r>
        <w:rPr>
          <w:rFonts w:hint="eastAsia" w:ascii="仿宋_GB2312" w:eastAsia="仿宋_GB2312"/>
          <w:sz w:val="32"/>
          <w:szCs w:val="32"/>
          <w:highlight w:val="none"/>
          <w:lang w:val="en-US" w:eastAsia="zh-CN"/>
        </w:rPr>
        <w:t>截至评价日项目未全面竣工验收</w:t>
      </w:r>
      <w:r>
        <w:rPr>
          <w:rFonts w:hint="eastAsia" w:ascii="仿宋_GB2312" w:eastAsia="仿宋_GB2312"/>
          <w:color w:val="000000"/>
          <w:sz w:val="32"/>
          <w:szCs w:val="32"/>
          <w:highlight w:val="none"/>
          <w:lang w:val="en-US" w:eastAsia="zh-CN"/>
        </w:rPr>
        <w:t>。</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w:t>
      </w:r>
      <w:r>
        <w:rPr>
          <w:rFonts w:hint="eastAsia" w:ascii="仿宋_GB2312" w:hAnsi="仿宋_GB2312" w:eastAsia="仿宋_GB2312" w:cs="Times New Roman"/>
          <w:b w:val="0"/>
          <w:bCs w:val="0"/>
          <w:sz w:val="32"/>
          <w:lang w:val="en-US" w:eastAsia="zh-CN"/>
        </w:rPr>
        <w:t>主管部门（单位）</w:t>
      </w:r>
      <w:r>
        <w:rPr>
          <w:rFonts w:hint="eastAsia" w:ascii="仿宋_GB2312" w:eastAsia="仿宋_GB2312"/>
          <w:color w:val="000000"/>
          <w:sz w:val="32"/>
          <w:szCs w:val="32"/>
          <w:highlight w:val="none"/>
          <w:lang w:val="en-US" w:eastAsia="zh-CN"/>
        </w:rPr>
        <w:t>提前谋划、安排部署来年任务，协调各方力量，加快落实工程前期各项工作。实施绩效运行监控制度，对绩效目标实现程度（工程进度）和资金支付进度实行“双监控”，及时发现偏差并及时纠偏，对存在施工进度滞后等问题的项目，及时督导项目进度情况，确保绩效目标如期保质保量实现。</w:t>
      </w:r>
    </w:p>
    <w:p>
      <w:pPr>
        <w:spacing w:line="580" w:lineRule="exact"/>
        <w:ind w:firstLine="643" w:firstLineChars="200"/>
        <w:rPr>
          <w:rFonts w:hint="eastAsia"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2.部分工程项目需要进行整修。</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b w:val="0"/>
          <w:bCs w:val="0"/>
          <w:color w:val="000000"/>
          <w:sz w:val="32"/>
          <w:szCs w:val="32"/>
          <w:highlight w:val="none"/>
          <w:lang w:val="en-US" w:eastAsia="zh-CN"/>
        </w:rPr>
        <w:t>由于两个工程尚未交工，应对存在的路面裂痕、部分道路路口沉陷进行及时修复。</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优选监理单位，推行责任追究制度，从源头上避免质量瑕疵事项的发生；加强对施工过程强制性审查和技术性审查，重视工程验收质量；进一步明确过失方，由于项目单位施工的过失引起质量瑕疵，施工单位应当承担相应的责任和费用。</w:t>
      </w:r>
    </w:p>
    <w:p>
      <w:pPr>
        <w:pStyle w:val="4"/>
        <w:keepLines/>
        <w:widowControl/>
        <w:overflowPunct w:val="0"/>
        <w:adjustRightInd w:val="0"/>
        <w:snapToGrid w:val="0"/>
        <w:spacing w:line="580" w:lineRule="exact"/>
        <w:ind w:left="0" w:firstLine="640" w:firstLineChars="200"/>
        <w:jc w:val="both"/>
        <w:textAlignment w:val="baseline"/>
        <w:rPr>
          <w:rFonts w:hint="default" w:eastAsia="楷体" w:asciiTheme="majorHAnsi" w:hAnsiTheme="majorHAnsi" w:cstheme="majorBidi"/>
          <w:bCs/>
          <w:sz w:val="32"/>
          <w:szCs w:val="32"/>
          <w:highlight w:val="none"/>
          <w:lang w:val="en-US" w:eastAsia="zh-CN" w:bidi="ar-SA"/>
        </w:rPr>
      </w:pPr>
      <w:bookmarkStart w:id="116" w:name="_Toc11503"/>
      <w:bookmarkStart w:id="117" w:name="_Toc24636"/>
      <w:bookmarkStart w:id="118" w:name="_Toc19573"/>
      <w:r>
        <w:rPr>
          <w:rFonts w:hint="eastAsia" w:eastAsia="楷体" w:asciiTheme="majorHAnsi" w:hAnsiTheme="majorHAnsi" w:cstheme="majorBidi"/>
          <w:bCs/>
          <w:sz w:val="32"/>
          <w:szCs w:val="32"/>
          <w:highlight w:val="none"/>
          <w:lang w:val="en-US" w:eastAsia="zh-CN" w:bidi="ar-SA"/>
        </w:rPr>
        <w:t>（四）项目效益方面</w:t>
      </w:r>
      <w:bookmarkEnd w:id="116"/>
      <w:bookmarkEnd w:id="117"/>
      <w:bookmarkEnd w:id="118"/>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1.部分项目效益未显现</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b w:val="0"/>
          <w:bCs w:val="0"/>
          <w:sz w:val="32"/>
          <w:szCs w:val="32"/>
          <w:highlight w:val="none"/>
          <w:lang w:val="en-US" w:eastAsia="zh-CN"/>
        </w:rPr>
        <w:t>道路安全隐患消除情况，据现场勘查，驾车行驶在</w:t>
      </w:r>
      <w:r>
        <w:rPr>
          <w:rFonts w:hint="eastAsia" w:ascii="仿宋_GB2312" w:hAnsi="仿宋" w:eastAsia="仿宋_GB2312" w:cs="仿宋"/>
          <w:color w:val="auto"/>
          <w:sz w:val="32"/>
          <w:szCs w:val="32"/>
          <w:highlight w:val="none"/>
          <w:lang w:val="en-US" w:eastAsia="zh-CN"/>
        </w:rPr>
        <w:t>环城绿道提升工程东河岔至洪门段，山路存在较多弯道和视线盲区，存在安全隐患，建议增设减速带、道路广角镜等交通安全措施。</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建议优选设计单位，对于安全隐患多采用实地调查方式，对道路的安全通过性各项细节进行推敲，因地制宜选择安装交通安全设施。</w:t>
      </w:r>
    </w:p>
    <w:p>
      <w:pPr>
        <w:spacing w:line="580" w:lineRule="exact"/>
        <w:ind w:firstLine="643" w:firstLineChars="200"/>
        <w:rPr>
          <w:rFonts w:hint="default"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2.项目后期维护管理机制不够健全，项目可持续性待提升</w:t>
      </w:r>
    </w:p>
    <w:p>
      <w:pPr>
        <w:spacing w:line="580"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山亭区建立了</w:t>
      </w:r>
      <w:r>
        <w:rPr>
          <w:rFonts w:ascii="仿宋" w:hAnsi="仿宋" w:eastAsia="仿宋" w:cs="仿宋"/>
          <w:color w:val="000000"/>
          <w:kern w:val="0"/>
          <w:sz w:val="31"/>
          <w:szCs w:val="31"/>
          <w:lang w:val="en-US" w:eastAsia="zh-CN" w:bidi="ar"/>
        </w:rPr>
        <w:t>深化农村公路管理养护体制改革和试点创</w:t>
      </w:r>
      <w:r>
        <w:rPr>
          <w:rFonts w:hint="eastAsia" w:ascii="仿宋" w:hAnsi="仿宋" w:eastAsia="仿宋" w:cs="仿宋"/>
          <w:color w:val="000000"/>
          <w:kern w:val="0"/>
          <w:sz w:val="31"/>
          <w:szCs w:val="31"/>
          <w:lang w:val="en-US" w:eastAsia="zh-CN" w:bidi="ar"/>
        </w:rPr>
        <w:t>建领导小组，形成了《</w:t>
      </w:r>
      <w:r>
        <w:rPr>
          <w:rFonts w:ascii="仿宋" w:hAnsi="仿宋" w:eastAsia="仿宋" w:cs="仿宋"/>
          <w:color w:val="000000"/>
          <w:kern w:val="0"/>
          <w:sz w:val="31"/>
          <w:szCs w:val="31"/>
          <w:lang w:val="en-US" w:eastAsia="zh-CN" w:bidi="ar"/>
        </w:rPr>
        <w:t>山亭区交通强国“四好农村路”建设和深化农村</w:t>
      </w:r>
      <w:r>
        <w:rPr>
          <w:rFonts w:hint="eastAsia" w:ascii="仿宋" w:hAnsi="仿宋" w:eastAsia="仿宋" w:cs="仿宋"/>
          <w:color w:val="000000"/>
          <w:kern w:val="0"/>
          <w:sz w:val="31"/>
          <w:szCs w:val="31"/>
          <w:lang w:val="en-US" w:eastAsia="zh-CN" w:bidi="ar"/>
        </w:rPr>
        <w:t>公路管理养护体制改革试点工作方案》《</w:t>
      </w:r>
      <w:r>
        <w:rPr>
          <w:rFonts w:ascii="仿宋" w:hAnsi="仿宋" w:eastAsia="仿宋" w:cs="仿宋"/>
          <w:color w:val="000000"/>
          <w:kern w:val="0"/>
          <w:sz w:val="31"/>
          <w:szCs w:val="31"/>
          <w:lang w:val="en-US" w:eastAsia="zh-CN" w:bidi="ar"/>
        </w:rPr>
        <w:t>山亭区农村公路“路长制”实施方案</w:t>
      </w:r>
      <w:r>
        <w:rPr>
          <w:rFonts w:hint="eastAsia" w:ascii="仿宋" w:hAnsi="仿宋" w:eastAsia="仿宋" w:cs="仿宋"/>
          <w:color w:val="000000"/>
          <w:kern w:val="0"/>
          <w:sz w:val="31"/>
          <w:szCs w:val="31"/>
          <w:lang w:val="en-US" w:eastAsia="zh-CN" w:bidi="ar"/>
        </w:rPr>
        <w:t>》。但</w:t>
      </w:r>
      <w:r>
        <w:rPr>
          <w:rFonts w:hint="eastAsia" w:ascii="仿宋_GB2312" w:eastAsia="仿宋_GB2312"/>
          <w:b w:val="0"/>
          <w:bCs w:val="0"/>
          <w:sz w:val="32"/>
          <w:szCs w:val="32"/>
          <w:highlight w:val="none"/>
          <w:lang w:val="en-US" w:eastAsia="zh-CN"/>
        </w:rPr>
        <w:t>缺少考核制度、运行管理、管护养护等方面的后期维护管理机制，未形成地方特色的农村公路养护技术规范体系和符合地区农村公路特点的管理体制与机制。</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建议进一步健全农村公路养护管理机制和考核机制，提高道路责任单位的管养意识，严格落实安全生产责任制，重视后续管理、维护、保养等工作，积极开展日常维护管理工作，</w:t>
      </w:r>
      <w:r>
        <w:rPr>
          <w:rFonts w:hint="eastAsia" w:ascii="仿宋" w:hAnsi="仿宋" w:eastAsia="仿宋" w:cs="仿宋"/>
          <w:color w:val="000000"/>
          <w:kern w:val="0"/>
          <w:sz w:val="31"/>
          <w:szCs w:val="31"/>
          <w:lang w:val="en-US" w:eastAsia="zh-CN" w:bidi="ar"/>
        </w:rPr>
        <w:t>持续发挥</w:t>
      </w:r>
      <w:r>
        <w:rPr>
          <w:rFonts w:ascii="仿宋" w:hAnsi="仿宋" w:eastAsia="仿宋" w:cs="仿宋"/>
          <w:color w:val="000000"/>
          <w:kern w:val="0"/>
          <w:sz w:val="31"/>
          <w:szCs w:val="31"/>
          <w:lang w:val="en-US" w:eastAsia="zh-CN" w:bidi="ar"/>
        </w:rPr>
        <w:t>“四好农村路”</w:t>
      </w:r>
      <w:r>
        <w:rPr>
          <w:rFonts w:hint="eastAsia" w:ascii="仿宋" w:hAnsi="仿宋" w:eastAsia="仿宋" w:cs="仿宋"/>
          <w:color w:val="000000"/>
          <w:kern w:val="0"/>
          <w:sz w:val="31"/>
          <w:szCs w:val="31"/>
          <w:lang w:val="en-US" w:eastAsia="zh-CN" w:bidi="ar"/>
        </w:rPr>
        <w:t>社会效益，助力乡村振兴</w:t>
      </w:r>
      <w:r>
        <w:rPr>
          <w:rFonts w:hint="eastAsia" w:ascii="仿宋_GB2312" w:eastAsia="仿宋_GB2312"/>
          <w:color w:val="000000"/>
          <w:sz w:val="32"/>
          <w:szCs w:val="32"/>
          <w:highlight w:val="none"/>
          <w:lang w:val="en-US" w:eastAsia="zh-CN"/>
        </w:rPr>
        <w:t>。</w:t>
      </w:r>
    </w:p>
    <w:bookmarkEnd w:id="106"/>
    <w:p>
      <w:pPr>
        <w:pStyle w:val="3"/>
        <w:keepNext/>
        <w:keepLines/>
        <w:widowControl w:val="0"/>
        <w:overflowPunct/>
        <w:autoSpaceDE/>
        <w:autoSpaceDN/>
        <w:adjustRightInd/>
        <w:spacing w:before="0" w:line="580" w:lineRule="exact"/>
        <w:ind w:left="0" w:firstLine="640" w:firstLineChars="200"/>
        <w:textAlignment w:val="auto"/>
        <w:rPr>
          <w:rFonts w:hint="eastAsia" w:ascii="仿宋_GB2312" w:hAnsi="仿宋_GB2312" w:eastAsia="黑体" w:cs="Times New Roman"/>
          <w:b w:val="0"/>
          <w:bCs w:val="0"/>
          <w:kern w:val="44"/>
          <w:szCs w:val="24"/>
          <w:lang w:val="en-US" w:bidi="ar-SA"/>
        </w:rPr>
      </w:pPr>
      <w:bookmarkStart w:id="119" w:name="_Toc15780"/>
      <w:bookmarkStart w:id="120" w:name="_Toc9629"/>
      <w:bookmarkStart w:id="121" w:name="_Toc6897"/>
      <w:bookmarkStart w:id="122" w:name="_Toc14143"/>
      <w:r>
        <w:rPr>
          <w:rFonts w:hint="eastAsia" w:ascii="仿宋_GB2312" w:hAnsi="仿宋_GB2312" w:cs="Times New Roman"/>
          <w:b w:val="0"/>
          <w:bCs w:val="0"/>
          <w:kern w:val="44"/>
          <w:szCs w:val="24"/>
          <w:lang w:val="en-US" w:eastAsia="zh-CN" w:bidi="ar-SA"/>
        </w:rPr>
        <w:t>七</w:t>
      </w:r>
      <w:r>
        <w:rPr>
          <w:rFonts w:hint="eastAsia" w:ascii="仿宋_GB2312" w:hAnsi="仿宋_GB2312" w:eastAsia="黑体" w:cs="Times New Roman"/>
          <w:b w:val="0"/>
          <w:bCs w:val="0"/>
          <w:kern w:val="44"/>
          <w:szCs w:val="24"/>
          <w:lang w:val="en-US" w:bidi="ar-SA"/>
        </w:rPr>
        <w:t>、附件</w:t>
      </w:r>
      <w:bookmarkEnd w:id="119"/>
      <w:bookmarkEnd w:id="120"/>
      <w:bookmarkEnd w:id="121"/>
      <w:bookmarkEnd w:id="122"/>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1.枣庄市山亭区2020年环城绿道提升工程和北外环绿道建设工程项目绩效评价打分表</w:t>
      </w:r>
    </w:p>
    <w:p>
      <w:pPr>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2.枣庄市山亭区2020年环城绿道提升工程和北外环绿道建设工程项目问题清单</w:t>
      </w:r>
    </w:p>
    <w:p>
      <w:pPr>
        <w:spacing w:line="58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3.枣庄市山亭区2020年环城绿道提升工程和北外环绿道建设工程项目</w:t>
      </w:r>
      <w:bookmarkStart w:id="123" w:name="_GoBack"/>
      <w:bookmarkEnd w:id="123"/>
      <w:r>
        <w:rPr>
          <w:rFonts w:hint="eastAsia" w:ascii="仿宋_GB2312" w:eastAsia="仿宋_GB2312"/>
          <w:color w:val="000000"/>
          <w:sz w:val="32"/>
          <w:szCs w:val="32"/>
          <w:highlight w:val="none"/>
          <w:lang w:val="en-US" w:eastAsia="zh-CN"/>
        </w:rPr>
        <w:t>调查问卷</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文星简黑体">
    <w:altName w:val="黑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F1AAD"/>
    <w:rsid w:val="00107F05"/>
    <w:rsid w:val="00210264"/>
    <w:rsid w:val="002567FA"/>
    <w:rsid w:val="00297A22"/>
    <w:rsid w:val="00303F6B"/>
    <w:rsid w:val="00382089"/>
    <w:rsid w:val="00497D52"/>
    <w:rsid w:val="006332DD"/>
    <w:rsid w:val="00832932"/>
    <w:rsid w:val="00966A2B"/>
    <w:rsid w:val="009B15C7"/>
    <w:rsid w:val="00B959EB"/>
    <w:rsid w:val="00BB6440"/>
    <w:rsid w:val="00D93655"/>
    <w:rsid w:val="00E80282"/>
    <w:rsid w:val="00FF45FF"/>
    <w:rsid w:val="01017986"/>
    <w:rsid w:val="0118373E"/>
    <w:rsid w:val="01705590"/>
    <w:rsid w:val="019E0515"/>
    <w:rsid w:val="01C56CD3"/>
    <w:rsid w:val="01CE2F19"/>
    <w:rsid w:val="01F1765F"/>
    <w:rsid w:val="01F36E67"/>
    <w:rsid w:val="01F92D6F"/>
    <w:rsid w:val="020C5A05"/>
    <w:rsid w:val="02C22268"/>
    <w:rsid w:val="03682ED7"/>
    <w:rsid w:val="03942264"/>
    <w:rsid w:val="03E76EBB"/>
    <w:rsid w:val="03EA5AD2"/>
    <w:rsid w:val="03F8463D"/>
    <w:rsid w:val="042A6352"/>
    <w:rsid w:val="043E58CC"/>
    <w:rsid w:val="04403E82"/>
    <w:rsid w:val="04544B35"/>
    <w:rsid w:val="04AE7B78"/>
    <w:rsid w:val="056B66B5"/>
    <w:rsid w:val="056D5E31"/>
    <w:rsid w:val="05B04B6C"/>
    <w:rsid w:val="06351849"/>
    <w:rsid w:val="06396A71"/>
    <w:rsid w:val="063C3975"/>
    <w:rsid w:val="06713906"/>
    <w:rsid w:val="068E38B3"/>
    <w:rsid w:val="06BF1DD5"/>
    <w:rsid w:val="06D62E28"/>
    <w:rsid w:val="07160484"/>
    <w:rsid w:val="07190BBF"/>
    <w:rsid w:val="072255FC"/>
    <w:rsid w:val="074D0EE0"/>
    <w:rsid w:val="078F71EE"/>
    <w:rsid w:val="07966EE6"/>
    <w:rsid w:val="07E11922"/>
    <w:rsid w:val="08053D34"/>
    <w:rsid w:val="08066ACE"/>
    <w:rsid w:val="080F3123"/>
    <w:rsid w:val="08565076"/>
    <w:rsid w:val="089B3435"/>
    <w:rsid w:val="08A773C3"/>
    <w:rsid w:val="08AC5FE8"/>
    <w:rsid w:val="08BE2600"/>
    <w:rsid w:val="09445B2C"/>
    <w:rsid w:val="099E2711"/>
    <w:rsid w:val="09B7210E"/>
    <w:rsid w:val="09C724A9"/>
    <w:rsid w:val="09F623CA"/>
    <w:rsid w:val="09FB239B"/>
    <w:rsid w:val="0A063D51"/>
    <w:rsid w:val="0A3966B1"/>
    <w:rsid w:val="0A834A85"/>
    <w:rsid w:val="0AA919A2"/>
    <w:rsid w:val="0ADB6DCF"/>
    <w:rsid w:val="0AF85E0E"/>
    <w:rsid w:val="0B035DF1"/>
    <w:rsid w:val="0B272B65"/>
    <w:rsid w:val="0B2904CB"/>
    <w:rsid w:val="0B412E87"/>
    <w:rsid w:val="0B8B29FC"/>
    <w:rsid w:val="0C3637CA"/>
    <w:rsid w:val="0C503B56"/>
    <w:rsid w:val="0C957C81"/>
    <w:rsid w:val="0C9D453B"/>
    <w:rsid w:val="0CC347D8"/>
    <w:rsid w:val="0D0F6468"/>
    <w:rsid w:val="0D414689"/>
    <w:rsid w:val="0D8B126E"/>
    <w:rsid w:val="0DCA467A"/>
    <w:rsid w:val="0DD04A4B"/>
    <w:rsid w:val="0DE45284"/>
    <w:rsid w:val="0DFD1C7F"/>
    <w:rsid w:val="0E427D7B"/>
    <w:rsid w:val="0EE53236"/>
    <w:rsid w:val="0EF9189D"/>
    <w:rsid w:val="0F1B352B"/>
    <w:rsid w:val="0F1F2AEE"/>
    <w:rsid w:val="0F2C1934"/>
    <w:rsid w:val="0F40682F"/>
    <w:rsid w:val="0FAC0940"/>
    <w:rsid w:val="104E4D8D"/>
    <w:rsid w:val="10883115"/>
    <w:rsid w:val="10F127BC"/>
    <w:rsid w:val="113317AE"/>
    <w:rsid w:val="11595BEB"/>
    <w:rsid w:val="115A0A78"/>
    <w:rsid w:val="11B0472B"/>
    <w:rsid w:val="11C77029"/>
    <w:rsid w:val="11FB09BF"/>
    <w:rsid w:val="126C2573"/>
    <w:rsid w:val="127C77E7"/>
    <w:rsid w:val="127F75E9"/>
    <w:rsid w:val="132D1384"/>
    <w:rsid w:val="13D73CDC"/>
    <w:rsid w:val="14D43E61"/>
    <w:rsid w:val="15690DF7"/>
    <w:rsid w:val="157E5F52"/>
    <w:rsid w:val="15AB1268"/>
    <w:rsid w:val="15B468F4"/>
    <w:rsid w:val="15C012CB"/>
    <w:rsid w:val="15C368DD"/>
    <w:rsid w:val="15C56C73"/>
    <w:rsid w:val="15D4359A"/>
    <w:rsid w:val="15E2783F"/>
    <w:rsid w:val="15E7429C"/>
    <w:rsid w:val="161275BE"/>
    <w:rsid w:val="164540B1"/>
    <w:rsid w:val="164B5C10"/>
    <w:rsid w:val="1699258A"/>
    <w:rsid w:val="169C4150"/>
    <w:rsid w:val="16CA2ECC"/>
    <w:rsid w:val="172300BE"/>
    <w:rsid w:val="176C23A1"/>
    <w:rsid w:val="176D4743"/>
    <w:rsid w:val="17805001"/>
    <w:rsid w:val="17824971"/>
    <w:rsid w:val="17BF6D3F"/>
    <w:rsid w:val="17DB6B8C"/>
    <w:rsid w:val="18254462"/>
    <w:rsid w:val="183B6670"/>
    <w:rsid w:val="18855E3B"/>
    <w:rsid w:val="18882EB6"/>
    <w:rsid w:val="19103096"/>
    <w:rsid w:val="19903D65"/>
    <w:rsid w:val="19B407DC"/>
    <w:rsid w:val="19C50E17"/>
    <w:rsid w:val="19CB393F"/>
    <w:rsid w:val="1A0119B8"/>
    <w:rsid w:val="1A193C3D"/>
    <w:rsid w:val="1A74592B"/>
    <w:rsid w:val="1ABF13F7"/>
    <w:rsid w:val="1ADA49DE"/>
    <w:rsid w:val="1AED736B"/>
    <w:rsid w:val="1B445BD7"/>
    <w:rsid w:val="1B5529C7"/>
    <w:rsid w:val="1B7574EE"/>
    <w:rsid w:val="1BB023F5"/>
    <w:rsid w:val="1C0F46BD"/>
    <w:rsid w:val="1C351E67"/>
    <w:rsid w:val="1C5E3BB4"/>
    <w:rsid w:val="1CC84F68"/>
    <w:rsid w:val="1CDE2584"/>
    <w:rsid w:val="1CED6222"/>
    <w:rsid w:val="1D024C7A"/>
    <w:rsid w:val="1D0F30AC"/>
    <w:rsid w:val="1D5471C9"/>
    <w:rsid w:val="1D643275"/>
    <w:rsid w:val="1D9C7A6A"/>
    <w:rsid w:val="1DDD4404"/>
    <w:rsid w:val="1E0532CF"/>
    <w:rsid w:val="1E3F7114"/>
    <w:rsid w:val="1E9539B8"/>
    <w:rsid w:val="1EA43902"/>
    <w:rsid w:val="1F082FAA"/>
    <w:rsid w:val="1F2D3208"/>
    <w:rsid w:val="1FAA37EF"/>
    <w:rsid w:val="1FBA5957"/>
    <w:rsid w:val="2012159D"/>
    <w:rsid w:val="203F1015"/>
    <w:rsid w:val="205A43DC"/>
    <w:rsid w:val="208823D4"/>
    <w:rsid w:val="20EA4417"/>
    <w:rsid w:val="210A348A"/>
    <w:rsid w:val="210D543F"/>
    <w:rsid w:val="21160E7C"/>
    <w:rsid w:val="21253F23"/>
    <w:rsid w:val="214E7623"/>
    <w:rsid w:val="21A05D20"/>
    <w:rsid w:val="21D01A4F"/>
    <w:rsid w:val="21D1189B"/>
    <w:rsid w:val="21D21EC8"/>
    <w:rsid w:val="21E67AB1"/>
    <w:rsid w:val="225175EA"/>
    <w:rsid w:val="22554B99"/>
    <w:rsid w:val="226D42BA"/>
    <w:rsid w:val="22BA66DA"/>
    <w:rsid w:val="233E3E07"/>
    <w:rsid w:val="234E1961"/>
    <w:rsid w:val="23635CB5"/>
    <w:rsid w:val="238E2487"/>
    <w:rsid w:val="23922494"/>
    <w:rsid w:val="239B0694"/>
    <w:rsid w:val="23A0015D"/>
    <w:rsid w:val="23A27E26"/>
    <w:rsid w:val="23A3344E"/>
    <w:rsid w:val="23E072D7"/>
    <w:rsid w:val="249D1CDD"/>
    <w:rsid w:val="24D610B4"/>
    <w:rsid w:val="24FF1435"/>
    <w:rsid w:val="250853EE"/>
    <w:rsid w:val="25560229"/>
    <w:rsid w:val="257C1BFE"/>
    <w:rsid w:val="258E5F33"/>
    <w:rsid w:val="25CA79EB"/>
    <w:rsid w:val="25E6523C"/>
    <w:rsid w:val="261B44F0"/>
    <w:rsid w:val="267E194A"/>
    <w:rsid w:val="26CA2329"/>
    <w:rsid w:val="26F134F4"/>
    <w:rsid w:val="270C0E90"/>
    <w:rsid w:val="27A2059C"/>
    <w:rsid w:val="27A50879"/>
    <w:rsid w:val="27C03621"/>
    <w:rsid w:val="282C1694"/>
    <w:rsid w:val="28542268"/>
    <w:rsid w:val="28616C06"/>
    <w:rsid w:val="289F3E72"/>
    <w:rsid w:val="28F17E8F"/>
    <w:rsid w:val="290B2245"/>
    <w:rsid w:val="291C7257"/>
    <w:rsid w:val="29751B59"/>
    <w:rsid w:val="29BD7C75"/>
    <w:rsid w:val="29F402F0"/>
    <w:rsid w:val="2A5E16D9"/>
    <w:rsid w:val="2A8E5C53"/>
    <w:rsid w:val="2ACA6F42"/>
    <w:rsid w:val="2AFC2669"/>
    <w:rsid w:val="2B061450"/>
    <w:rsid w:val="2B0E1720"/>
    <w:rsid w:val="2B2B6D98"/>
    <w:rsid w:val="2B9A299C"/>
    <w:rsid w:val="2BA944EC"/>
    <w:rsid w:val="2BCE17B2"/>
    <w:rsid w:val="2BE365A3"/>
    <w:rsid w:val="2C10246E"/>
    <w:rsid w:val="2C176DCE"/>
    <w:rsid w:val="2C3E5E57"/>
    <w:rsid w:val="2C465780"/>
    <w:rsid w:val="2C6E19C7"/>
    <w:rsid w:val="2C753AFB"/>
    <w:rsid w:val="2CB36EA7"/>
    <w:rsid w:val="2CD44D98"/>
    <w:rsid w:val="2D234368"/>
    <w:rsid w:val="2D3B3C82"/>
    <w:rsid w:val="2D580A9B"/>
    <w:rsid w:val="2DD97960"/>
    <w:rsid w:val="2E542DEE"/>
    <w:rsid w:val="2E9B2DDF"/>
    <w:rsid w:val="2ED2070E"/>
    <w:rsid w:val="2EE627EB"/>
    <w:rsid w:val="2EF81908"/>
    <w:rsid w:val="2F286290"/>
    <w:rsid w:val="2F2E10DD"/>
    <w:rsid w:val="2F3B588F"/>
    <w:rsid w:val="2F684705"/>
    <w:rsid w:val="2FE91709"/>
    <w:rsid w:val="300E0747"/>
    <w:rsid w:val="302B5718"/>
    <w:rsid w:val="303E7FA2"/>
    <w:rsid w:val="30A22CCC"/>
    <w:rsid w:val="30BB6192"/>
    <w:rsid w:val="30D85ED4"/>
    <w:rsid w:val="30D87BC0"/>
    <w:rsid w:val="30FB05FE"/>
    <w:rsid w:val="31962D3D"/>
    <w:rsid w:val="319972AD"/>
    <w:rsid w:val="31DB4549"/>
    <w:rsid w:val="31E1262D"/>
    <w:rsid w:val="31F91415"/>
    <w:rsid w:val="324430AF"/>
    <w:rsid w:val="325D573D"/>
    <w:rsid w:val="329226DD"/>
    <w:rsid w:val="330956BD"/>
    <w:rsid w:val="3328730F"/>
    <w:rsid w:val="33C9606A"/>
    <w:rsid w:val="3423498F"/>
    <w:rsid w:val="342E7F3E"/>
    <w:rsid w:val="344300F4"/>
    <w:rsid w:val="34490847"/>
    <w:rsid w:val="34704891"/>
    <w:rsid w:val="349B5F6A"/>
    <w:rsid w:val="34AA3CD3"/>
    <w:rsid w:val="34D952EF"/>
    <w:rsid w:val="356A1EB2"/>
    <w:rsid w:val="35791E1A"/>
    <w:rsid w:val="35871306"/>
    <w:rsid w:val="35C96AB9"/>
    <w:rsid w:val="35EE32F3"/>
    <w:rsid w:val="36A54680"/>
    <w:rsid w:val="36BF1CBC"/>
    <w:rsid w:val="37DA1A61"/>
    <w:rsid w:val="37F32E4E"/>
    <w:rsid w:val="3844341C"/>
    <w:rsid w:val="388B1C23"/>
    <w:rsid w:val="38902DBA"/>
    <w:rsid w:val="38970CB0"/>
    <w:rsid w:val="397568C0"/>
    <w:rsid w:val="398777F1"/>
    <w:rsid w:val="398E64F8"/>
    <w:rsid w:val="39A45CAF"/>
    <w:rsid w:val="3A2A3725"/>
    <w:rsid w:val="3A4E273B"/>
    <w:rsid w:val="3A71673C"/>
    <w:rsid w:val="3A9A21FD"/>
    <w:rsid w:val="3B0715DA"/>
    <w:rsid w:val="3B0D54CA"/>
    <w:rsid w:val="3B187D36"/>
    <w:rsid w:val="3B8A4052"/>
    <w:rsid w:val="3BEB1CF8"/>
    <w:rsid w:val="3C031C2F"/>
    <w:rsid w:val="3C507F3F"/>
    <w:rsid w:val="3C695A7B"/>
    <w:rsid w:val="3C70747C"/>
    <w:rsid w:val="3C751684"/>
    <w:rsid w:val="3C75620E"/>
    <w:rsid w:val="3C9F796B"/>
    <w:rsid w:val="3CBF1F1C"/>
    <w:rsid w:val="3D0607EF"/>
    <w:rsid w:val="3D15235C"/>
    <w:rsid w:val="3D5815E6"/>
    <w:rsid w:val="3D913FF0"/>
    <w:rsid w:val="3D92036E"/>
    <w:rsid w:val="3DCB24E8"/>
    <w:rsid w:val="3DD103B0"/>
    <w:rsid w:val="3E225F41"/>
    <w:rsid w:val="3E395333"/>
    <w:rsid w:val="3E4A3F8F"/>
    <w:rsid w:val="3E735D7C"/>
    <w:rsid w:val="3E91226A"/>
    <w:rsid w:val="3EC60488"/>
    <w:rsid w:val="3EE22EEA"/>
    <w:rsid w:val="3EE733AA"/>
    <w:rsid w:val="3F4D7C92"/>
    <w:rsid w:val="3F65241C"/>
    <w:rsid w:val="3FC063F9"/>
    <w:rsid w:val="3FCD0C43"/>
    <w:rsid w:val="407C7A8B"/>
    <w:rsid w:val="40BC729E"/>
    <w:rsid w:val="40CC7C4F"/>
    <w:rsid w:val="410044EA"/>
    <w:rsid w:val="4101673A"/>
    <w:rsid w:val="41A306C3"/>
    <w:rsid w:val="41CC1682"/>
    <w:rsid w:val="41ED24D2"/>
    <w:rsid w:val="42357C70"/>
    <w:rsid w:val="42610EF7"/>
    <w:rsid w:val="42C161F3"/>
    <w:rsid w:val="42D234D6"/>
    <w:rsid w:val="437F59DD"/>
    <w:rsid w:val="43AD4F4A"/>
    <w:rsid w:val="43F27EFC"/>
    <w:rsid w:val="44105C0A"/>
    <w:rsid w:val="442840C9"/>
    <w:rsid w:val="44294887"/>
    <w:rsid w:val="442A759B"/>
    <w:rsid w:val="44445843"/>
    <w:rsid w:val="4461653F"/>
    <w:rsid w:val="44A54B88"/>
    <w:rsid w:val="45154EF5"/>
    <w:rsid w:val="45471CF5"/>
    <w:rsid w:val="45523329"/>
    <w:rsid w:val="45D721B1"/>
    <w:rsid w:val="45FB3F27"/>
    <w:rsid w:val="4637250C"/>
    <w:rsid w:val="464E67F8"/>
    <w:rsid w:val="46A87749"/>
    <w:rsid w:val="46A92685"/>
    <w:rsid w:val="46C612F1"/>
    <w:rsid w:val="46C62B50"/>
    <w:rsid w:val="46E95465"/>
    <w:rsid w:val="46F121F7"/>
    <w:rsid w:val="470C3068"/>
    <w:rsid w:val="47556832"/>
    <w:rsid w:val="479F33AF"/>
    <w:rsid w:val="47D76EBC"/>
    <w:rsid w:val="47FB3264"/>
    <w:rsid w:val="48720A42"/>
    <w:rsid w:val="48735181"/>
    <w:rsid w:val="48D121B8"/>
    <w:rsid w:val="490A6129"/>
    <w:rsid w:val="499912D0"/>
    <w:rsid w:val="49C906FB"/>
    <w:rsid w:val="49D020D5"/>
    <w:rsid w:val="4A1B0EF7"/>
    <w:rsid w:val="4A482D6A"/>
    <w:rsid w:val="4A8A7CD0"/>
    <w:rsid w:val="4B2C7EFA"/>
    <w:rsid w:val="4B4A1ED4"/>
    <w:rsid w:val="4B7D6E41"/>
    <w:rsid w:val="4B7F2003"/>
    <w:rsid w:val="4BE20752"/>
    <w:rsid w:val="4C18193B"/>
    <w:rsid w:val="4C2049A3"/>
    <w:rsid w:val="4C3E0F54"/>
    <w:rsid w:val="4C616535"/>
    <w:rsid w:val="4C8910AA"/>
    <w:rsid w:val="4CAD4139"/>
    <w:rsid w:val="4CDB76E8"/>
    <w:rsid w:val="4CE5637C"/>
    <w:rsid w:val="4CEF1D7B"/>
    <w:rsid w:val="4D31545C"/>
    <w:rsid w:val="4D3F340C"/>
    <w:rsid w:val="4D4C254B"/>
    <w:rsid w:val="4D7B55DE"/>
    <w:rsid w:val="4D7F24B9"/>
    <w:rsid w:val="4DBC37D8"/>
    <w:rsid w:val="4DCD4821"/>
    <w:rsid w:val="4DD32762"/>
    <w:rsid w:val="4DED0AB0"/>
    <w:rsid w:val="4E1902A7"/>
    <w:rsid w:val="4E4C576E"/>
    <w:rsid w:val="4E503A10"/>
    <w:rsid w:val="4E6A4415"/>
    <w:rsid w:val="4EFB2E5D"/>
    <w:rsid w:val="4F064364"/>
    <w:rsid w:val="4F235A3D"/>
    <w:rsid w:val="4F5D1EC6"/>
    <w:rsid w:val="4F5F0456"/>
    <w:rsid w:val="4F9C47D5"/>
    <w:rsid w:val="4FB14B12"/>
    <w:rsid w:val="5011541E"/>
    <w:rsid w:val="50134198"/>
    <w:rsid w:val="5071704A"/>
    <w:rsid w:val="50833DEF"/>
    <w:rsid w:val="5088277A"/>
    <w:rsid w:val="50B55357"/>
    <w:rsid w:val="50D75FB8"/>
    <w:rsid w:val="51362132"/>
    <w:rsid w:val="514F3CB5"/>
    <w:rsid w:val="516263FF"/>
    <w:rsid w:val="51C76222"/>
    <w:rsid w:val="51DE5CCB"/>
    <w:rsid w:val="51E171D2"/>
    <w:rsid w:val="520A5CE6"/>
    <w:rsid w:val="521C1255"/>
    <w:rsid w:val="521F30AB"/>
    <w:rsid w:val="52564C27"/>
    <w:rsid w:val="52E121DC"/>
    <w:rsid w:val="52E23C2F"/>
    <w:rsid w:val="52F31C8C"/>
    <w:rsid w:val="52FE2FF9"/>
    <w:rsid w:val="532866ED"/>
    <w:rsid w:val="534708FE"/>
    <w:rsid w:val="53817FE1"/>
    <w:rsid w:val="53975855"/>
    <w:rsid w:val="53A328CB"/>
    <w:rsid w:val="54023822"/>
    <w:rsid w:val="54262457"/>
    <w:rsid w:val="547E79F1"/>
    <w:rsid w:val="549C03D4"/>
    <w:rsid w:val="54AB025E"/>
    <w:rsid w:val="54C05851"/>
    <w:rsid w:val="54DC26A6"/>
    <w:rsid w:val="55556580"/>
    <w:rsid w:val="555D35BE"/>
    <w:rsid w:val="557E0266"/>
    <w:rsid w:val="55BF5C2A"/>
    <w:rsid w:val="55C25582"/>
    <w:rsid w:val="55E2525A"/>
    <w:rsid w:val="56033B04"/>
    <w:rsid w:val="567D2E2C"/>
    <w:rsid w:val="56B01DAB"/>
    <w:rsid w:val="56FA0062"/>
    <w:rsid w:val="5741670F"/>
    <w:rsid w:val="57420A7D"/>
    <w:rsid w:val="57544A7C"/>
    <w:rsid w:val="57606146"/>
    <w:rsid w:val="57741807"/>
    <w:rsid w:val="577B60A1"/>
    <w:rsid w:val="57876928"/>
    <w:rsid w:val="5792610A"/>
    <w:rsid w:val="57C706A9"/>
    <w:rsid w:val="57DA25A6"/>
    <w:rsid w:val="57F67281"/>
    <w:rsid w:val="5811405A"/>
    <w:rsid w:val="58524C5E"/>
    <w:rsid w:val="58F404A2"/>
    <w:rsid w:val="59386328"/>
    <w:rsid w:val="5967335E"/>
    <w:rsid w:val="59954C5C"/>
    <w:rsid w:val="5A5C4640"/>
    <w:rsid w:val="5AB80593"/>
    <w:rsid w:val="5AD10B99"/>
    <w:rsid w:val="5AD90EE1"/>
    <w:rsid w:val="5AF53820"/>
    <w:rsid w:val="5B071C20"/>
    <w:rsid w:val="5B1E4A08"/>
    <w:rsid w:val="5B1E7971"/>
    <w:rsid w:val="5B8C5A48"/>
    <w:rsid w:val="5BA07AE4"/>
    <w:rsid w:val="5BDE4723"/>
    <w:rsid w:val="5C40193B"/>
    <w:rsid w:val="5C60148C"/>
    <w:rsid w:val="5C6C023E"/>
    <w:rsid w:val="5D325442"/>
    <w:rsid w:val="5D6A5D32"/>
    <w:rsid w:val="5DBD4E59"/>
    <w:rsid w:val="5DC56DB2"/>
    <w:rsid w:val="5DDE6D7D"/>
    <w:rsid w:val="5DF46B5D"/>
    <w:rsid w:val="5E063998"/>
    <w:rsid w:val="5E57555D"/>
    <w:rsid w:val="5EC744BD"/>
    <w:rsid w:val="5ECE2626"/>
    <w:rsid w:val="5F0337B2"/>
    <w:rsid w:val="5F3E6784"/>
    <w:rsid w:val="5F5565A3"/>
    <w:rsid w:val="5F8D1376"/>
    <w:rsid w:val="5FA57220"/>
    <w:rsid w:val="60011F56"/>
    <w:rsid w:val="60040265"/>
    <w:rsid w:val="601202C3"/>
    <w:rsid w:val="604F692B"/>
    <w:rsid w:val="60717E02"/>
    <w:rsid w:val="60772023"/>
    <w:rsid w:val="608F14DE"/>
    <w:rsid w:val="60A452C6"/>
    <w:rsid w:val="60AE700A"/>
    <w:rsid w:val="612F30B3"/>
    <w:rsid w:val="616D60A3"/>
    <w:rsid w:val="61A778C2"/>
    <w:rsid w:val="61DD077D"/>
    <w:rsid w:val="62194F86"/>
    <w:rsid w:val="62791ED0"/>
    <w:rsid w:val="629C18CE"/>
    <w:rsid w:val="62C621D2"/>
    <w:rsid w:val="62CA78FD"/>
    <w:rsid w:val="62F74B13"/>
    <w:rsid w:val="630D5306"/>
    <w:rsid w:val="632769D6"/>
    <w:rsid w:val="63287983"/>
    <w:rsid w:val="636C4ECC"/>
    <w:rsid w:val="63B94669"/>
    <w:rsid w:val="642F3958"/>
    <w:rsid w:val="64473D95"/>
    <w:rsid w:val="64536155"/>
    <w:rsid w:val="645873BE"/>
    <w:rsid w:val="64B461BE"/>
    <w:rsid w:val="65F93EF6"/>
    <w:rsid w:val="664F1AAD"/>
    <w:rsid w:val="66A92A23"/>
    <w:rsid w:val="66C051E0"/>
    <w:rsid w:val="66FD47AD"/>
    <w:rsid w:val="67593DCA"/>
    <w:rsid w:val="67A74087"/>
    <w:rsid w:val="67DC36D1"/>
    <w:rsid w:val="67ED48BD"/>
    <w:rsid w:val="67EE57BA"/>
    <w:rsid w:val="67F86635"/>
    <w:rsid w:val="68765350"/>
    <w:rsid w:val="688B56C3"/>
    <w:rsid w:val="689150D4"/>
    <w:rsid w:val="68B639CE"/>
    <w:rsid w:val="68CB33F8"/>
    <w:rsid w:val="68D679CE"/>
    <w:rsid w:val="691C61AE"/>
    <w:rsid w:val="69562BFE"/>
    <w:rsid w:val="69A31F53"/>
    <w:rsid w:val="69D11FF6"/>
    <w:rsid w:val="6A5B74BF"/>
    <w:rsid w:val="6A6E231A"/>
    <w:rsid w:val="6A9F1DD8"/>
    <w:rsid w:val="6ABF559A"/>
    <w:rsid w:val="6AD5732F"/>
    <w:rsid w:val="6AE916DE"/>
    <w:rsid w:val="6AF573F2"/>
    <w:rsid w:val="6C633B10"/>
    <w:rsid w:val="6C6B0198"/>
    <w:rsid w:val="6C7E4216"/>
    <w:rsid w:val="6C806405"/>
    <w:rsid w:val="6C872B40"/>
    <w:rsid w:val="6C8B796A"/>
    <w:rsid w:val="6C966D29"/>
    <w:rsid w:val="6C9A13C3"/>
    <w:rsid w:val="6CC717A4"/>
    <w:rsid w:val="6CF46034"/>
    <w:rsid w:val="6DC60B71"/>
    <w:rsid w:val="6DD8650E"/>
    <w:rsid w:val="6E196763"/>
    <w:rsid w:val="6E5F3444"/>
    <w:rsid w:val="6E6F7DBD"/>
    <w:rsid w:val="6E7940B6"/>
    <w:rsid w:val="6F2868B8"/>
    <w:rsid w:val="6FFF798D"/>
    <w:rsid w:val="702F7F29"/>
    <w:rsid w:val="70C46B36"/>
    <w:rsid w:val="716A64BF"/>
    <w:rsid w:val="71910F73"/>
    <w:rsid w:val="719C0B8C"/>
    <w:rsid w:val="71B7670B"/>
    <w:rsid w:val="71CD2CA6"/>
    <w:rsid w:val="7249291B"/>
    <w:rsid w:val="727431C3"/>
    <w:rsid w:val="728D7EE8"/>
    <w:rsid w:val="72B90C64"/>
    <w:rsid w:val="72F5210F"/>
    <w:rsid w:val="73033613"/>
    <w:rsid w:val="73131DC0"/>
    <w:rsid w:val="731B359D"/>
    <w:rsid w:val="736A5243"/>
    <w:rsid w:val="7370463F"/>
    <w:rsid w:val="73A94D12"/>
    <w:rsid w:val="745912D2"/>
    <w:rsid w:val="74802E7A"/>
    <w:rsid w:val="74B41DEC"/>
    <w:rsid w:val="753D6864"/>
    <w:rsid w:val="755C6198"/>
    <w:rsid w:val="757B7587"/>
    <w:rsid w:val="75AF5A0D"/>
    <w:rsid w:val="75B21575"/>
    <w:rsid w:val="75B71949"/>
    <w:rsid w:val="75CD29B4"/>
    <w:rsid w:val="75CF1832"/>
    <w:rsid w:val="763444C2"/>
    <w:rsid w:val="763A08A9"/>
    <w:rsid w:val="764338E9"/>
    <w:rsid w:val="76ED22B6"/>
    <w:rsid w:val="773303D8"/>
    <w:rsid w:val="77344FA1"/>
    <w:rsid w:val="776479B4"/>
    <w:rsid w:val="77AB4550"/>
    <w:rsid w:val="77AC5F4E"/>
    <w:rsid w:val="77E5722F"/>
    <w:rsid w:val="78204680"/>
    <w:rsid w:val="783955C0"/>
    <w:rsid w:val="78587065"/>
    <w:rsid w:val="78714B6E"/>
    <w:rsid w:val="78C10561"/>
    <w:rsid w:val="78D04522"/>
    <w:rsid w:val="78D30C9E"/>
    <w:rsid w:val="78E52CED"/>
    <w:rsid w:val="795C1D4C"/>
    <w:rsid w:val="796C7390"/>
    <w:rsid w:val="79890618"/>
    <w:rsid w:val="799E2499"/>
    <w:rsid w:val="79A27227"/>
    <w:rsid w:val="7A081D34"/>
    <w:rsid w:val="7A4D2772"/>
    <w:rsid w:val="7A5C36B3"/>
    <w:rsid w:val="7A5C3820"/>
    <w:rsid w:val="7A6C2AA6"/>
    <w:rsid w:val="7A940BD0"/>
    <w:rsid w:val="7A99073E"/>
    <w:rsid w:val="7A9E2122"/>
    <w:rsid w:val="7AA059E2"/>
    <w:rsid w:val="7B5A6C2E"/>
    <w:rsid w:val="7B62405B"/>
    <w:rsid w:val="7B766B30"/>
    <w:rsid w:val="7B832B23"/>
    <w:rsid w:val="7BA31148"/>
    <w:rsid w:val="7BD51AF9"/>
    <w:rsid w:val="7BE64BA9"/>
    <w:rsid w:val="7C53277B"/>
    <w:rsid w:val="7C8712FD"/>
    <w:rsid w:val="7CB32396"/>
    <w:rsid w:val="7CBA3689"/>
    <w:rsid w:val="7CD13E30"/>
    <w:rsid w:val="7CDA7A9C"/>
    <w:rsid w:val="7D164444"/>
    <w:rsid w:val="7D4F5C1A"/>
    <w:rsid w:val="7D502ACA"/>
    <w:rsid w:val="7D8C7002"/>
    <w:rsid w:val="7E2C5C7E"/>
    <w:rsid w:val="7E7853A1"/>
    <w:rsid w:val="7F6B5162"/>
    <w:rsid w:val="7FB3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overflowPunct w:val="0"/>
      <w:autoSpaceDE w:val="0"/>
      <w:autoSpaceDN w:val="0"/>
      <w:adjustRightInd w:val="0"/>
      <w:spacing w:line="580" w:lineRule="exact"/>
      <w:ind w:firstLine="200" w:firstLineChars="200"/>
      <w:textAlignment w:val="baseline"/>
      <w:outlineLvl w:val="0"/>
    </w:pPr>
    <w:rPr>
      <w:rFonts w:ascii="Times New Roman" w:hAnsi="Times New Roman" w:eastAsia="黑体" w:cs="Times New Roman"/>
      <w:b/>
      <w:bCs/>
      <w:kern w:val="44"/>
      <w:sz w:val="32"/>
      <w:szCs w:val="44"/>
    </w:rPr>
  </w:style>
  <w:style w:type="paragraph" w:styleId="4">
    <w:name w:val="heading 2"/>
    <w:basedOn w:val="1"/>
    <w:next w:val="1"/>
    <w:qFormat/>
    <w:uiPriority w:val="9"/>
    <w:pPr>
      <w:autoSpaceDE w:val="0"/>
      <w:autoSpaceDN w:val="0"/>
      <w:ind w:left="2"/>
      <w:jc w:val="center"/>
      <w:outlineLvl w:val="1"/>
    </w:pPr>
    <w:rPr>
      <w:rFonts w:ascii="Microsoft YaHei UI" w:hAnsi="Microsoft YaHei UI" w:eastAsia="Microsoft YaHei UI" w:cs="Microsoft YaHei UI"/>
      <w:kern w:val="0"/>
      <w:sz w:val="44"/>
      <w:szCs w:val="44"/>
      <w:lang w:val="zh-CN" w:bidi="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eastAsia="Times New Roman" w:cs="宋体"/>
    </w:rPr>
  </w:style>
  <w:style w:type="paragraph" w:styleId="5">
    <w:name w:val="Normal Indent"/>
    <w:qFormat/>
    <w:uiPriority w:val="0"/>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footnote reference"/>
    <w:basedOn w:val="17"/>
    <w:qFormat/>
    <w:uiPriority w:val="0"/>
    <w:rPr>
      <w:vertAlign w:val="superscript"/>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1"/>
    <w:pPr>
      <w:autoSpaceDE w:val="0"/>
      <w:autoSpaceDN w:val="0"/>
      <w:spacing w:before="170"/>
      <w:ind w:left="1149" w:hanging="319"/>
      <w:jc w:val="left"/>
    </w:pPr>
    <w:rPr>
      <w:rFonts w:ascii="宋体" w:hAnsi="宋体" w:eastAsia="宋体" w:cs="宋体"/>
      <w:kern w:val="0"/>
      <w:sz w:val="22"/>
      <w:lang w:val="zh-CN" w:bidi="zh-CN"/>
    </w:rPr>
  </w:style>
  <w:style w:type="paragraph" w:customStyle="1" w:styleId="21">
    <w:name w:val="p0"/>
    <w:basedOn w:val="1"/>
    <w:qFormat/>
    <w:uiPriority w:val="0"/>
    <w:pPr>
      <w:widowControl/>
    </w:pPr>
    <w:rPr>
      <w:rFonts w:ascii="Calibri" w:hAnsi="Calibri" w:eastAsia="宋体" w:cs="Times New Roman"/>
      <w:kern w:val="0"/>
      <w:szCs w:val="21"/>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TOC 标题1"/>
    <w:basedOn w:val="3"/>
    <w:next w:val="1"/>
    <w:unhideWhenUsed/>
    <w:qFormat/>
    <w:uiPriority w:val="39"/>
    <w:pPr>
      <w:overflowPunct/>
      <w:autoSpaceDE/>
      <w:autoSpaceDN/>
      <w:adjustRightInd/>
      <w:spacing w:before="240" w:line="259" w:lineRule="auto"/>
      <w:ind w:firstLine="0" w:firstLineChars="0"/>
      <w:jc w:val="left"/>
      <w:textAlignment w:val="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25">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6">
    <w:name w:val="font01"/>
    <w:basedOn w:val="17"/>
    <w:qFormat/>
    <w:uiPriority w:val="0"/>
    <w:rPr>
      <w:rFonts w:ascii="Calibri" w:hAnsi="Calibri" w:cs="Calibri"/>
      <w:color w:val="000000"/>
      <w:sz w:val="21"/>
      <w:szCs w:val="21"/>
      <w:u w:val="none"/>
    </w:rPr>
  </w:style>
  <w:style w:type="character" w:customStyle="1" w:styleId="27">
    <w:name w:val="font11"/>
    <w:basedOn w:val="17"/>
    <w:qFormat/>
    <w:uiPriority w:val="0"/>
    <w:rPr>
      <w:rFonts w:hint="eastAsia" w:ascii="宋体" w:hAnsi="宋体" w:eastAsia="宋体" w:cs="宋体"/>
      <w:color w:val="000000"/>
      <w:sz w:val="22"/>
      <w:szCs w:val="22"/>
      <w:u w:val="none"/>
    </w:rPr>
  </w:style>
  <w:style w:type="character" w:customStyle="1" w:styleId="28">
    <w:name w:val="font51"/>
    <w:basedOn w:val="1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4777</Words>
  <Characters>27232</Characters>
  <Lines>226</Lines>
  <Paragraphs>63</Paragraphs>
  <TotalTime>1</TotalTime>
  <ScaleCrop>false</ScaleCrop>
  <LinksUpToDate>false</LinksUpToDate>
  <CharactersWithSpaces>31946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2020-07-10T07:10:00Z</dcterms:created>
  <dc:creator>吕朵</dc:creator>
  <cp:lastModifiedBy>ALFRED</cp:lastModifiedBy>
  <dcterms:modified xsi:type="dcterms:W3CDTF">2021-10-15T06:56:44Z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76C8D443FC304D2C8DCE240B2D0C86D6</vt:lpwstr>
  </property>
</Properties>
</file>