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-2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-2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-2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-2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-20"/>
          <w:sz w:val="32"/>
          <w:szCs w:val="32"/>
          <w:shd w:val="clear" w:fill="FFFFFF"/>
        </w:rPr>
        <w:t>山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-20"/>
          <w:sz w:val="32"/>
          <w:szCs w:val="32"/>
          <w:shd w:val="clear" w:fill="FFFFFF"/>
          <w:lang w:eastAsia="zh-CN"/>
        </w:rPr>
        <w:t>财字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-20"/>
          <w:sz w:val="32"/>
          <w:szCs w:val="32"/>
          <w:shd w:val="clear" w:fill="FFFFFF"/>
        </w:rPr>
        <w:t>〔2021〕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-20"/>
          <w:sz w:val="32"/>
          <w:szCs w:val="32"/>
          <w:shd w:val="clear" w:fill="FFFFFF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-2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eastAsia" w:ascii="å¾®è½¯é›…é»‘" w:hAnsi="å¾®è½¯é›…é»‘" w:eastAsia="å¾®è½¯é›…é»‘" w:cs="å¾®è½¯é›…é»‘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å¾®è½¯é›…é»‘" w:hAnsi="å¾®è½¯é›…é»‘" w:eastAsia="å¾®è½¯é›…é»‘" w:cs="å¾®è½¯é›…é»‘"/>
          <w:i w:val="0"/>
          <w:caps w:val="0"/>
          <w:color w:val="333333"/>
          <w:spacing w:val="0"/>
          <w:sz w:val="44"/>
          <w:szCs w:val="44"/>
          <w:shd w:val="clear" w:fill="FFFFFF"/>
        </w:rPr>
        <w:t>山亭区财政局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å¾®è½¯é›…é»‘" w:hAnsi="å¾®è½¯é›…é»‘" w:eastAsia="å¾®è½¯é›…é»‘" w:cs="å¾®è½¯é›…é»‘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å¾®è½¯é›…é»‘" w:hAnsi="å¾®è½¯é›…é»‘" w:eastAsia="å¾®è½¯é›…é»‘" w:cs="å¾®è½¯é›…é»‘"/>
          <w:i w:val="0"/>
          <w:caps w:val="0"/>
          <w:color w:val="333333"/>
          <w:spacing w:val="0"/>
          <w:sz w:val="44"/>
          <w:szCs w:val="44"/>
          <w:shd w:val="clear" w:fill="FFFFFF"/>
        </w:rPr>
        <w:t>关于印发山亭区</w:t>
      </w:r>
      <w:r>
        <w:rPr>
          <w:rFonts w:hint="eastAsia" w:ascii="å¾®è½¯é›…é»‘" w:hAnsi="å¾®è½¯é›…é»‘" w:eastAsia="å¾®è½¯é›…é»‘" w:cs="å¾®è½¯é›…é»‘"/>
          <w:i w:val="0"/>
          <w:caps w:val="0"/>
          <w:color w:val="333333"/>
          <w:spacing w:val="0"/>
          <w:sz w:val="44"/>
          <w:szCs w:val="44"/>
          <w:shd w:val="clear" w:fill="FFFFFF"/>
        </w:rPr>
        <w:t>直达资金监督管理暂行办法</w:t>
      </w:r>
      <w:r>
        <w:rPr>
          <w:rFonts w:hint="default" w:ascii="å¾®è½¯é›…é»‘" w:hAnsi="å¾®è½¯é›…é»‘" w:eastAsia="å¾®è½¯é›…é»‘" w:cs="å¾®è½¯é›…é»‘"/>
          <w:i w:val="0"/>
          <w:caps w:val="0"/>
          <w:color w:val="333333"/>
          <w:spacing w:val="0"/>
          <w:sz w:val="44"/>
          <w:szCs w:val="44"/>
          <w:shd w:val="clear" w:fill="FFFFFF"/>
        </w:rPr>
        <w:t>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both"/>
        <w:rPr>
          <w:rFonts w:hint="default" w:ascii="å¾®è½¯é›…é»‘" w:hAnsi="å¾®è½¯é›…é»‘" w:eastAsia="å¾®è½¯é›…é»‘" w:cs="å¾®è½¯é›…é»‘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各镇人民政府、山城街道办事处，区政府各部门单位：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现将《山亭区直达资金监督管理暂行办法》予以印发，请遵照执行。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山亭区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　　              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山亭区直达资金监督管理暂行办法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第一章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直达资金分配、下达和使用管理，提高资金使用效益，确保资金直达基层、直接惠企利民，根据《中华人民共和国预算法》《关于提前部署做好2021年财政资金直达机制有关工作的通知》（财预便〔2020〕276号）以及《财政部关于做好2021年财政资金直达机制有关工作的通知》（财办〔2021〕9号）等有关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 直达资金以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上级财政部门分配下达资金数额</w:t>
      </w:r>
      <w:r>
        <w:rPr>
          <w:rFonts w:hint="eastAsia" w:ascii="仿宋_GB2312" w:hAnsi="仿宋_GB2312" w:eastAsia="仿宋_GB2312" w:cs="仿宋_GB2312"/>
          <w:sz w:val="32"/>
          <w:szCs w:val="32"/>
        </w:rPr>
        <w:t>为准。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主要范围包括：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县级基本财力保障机制奖补资金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城乡义务教育补助经费、学生资助补助经费、基本公共卫生服务补助资金、就业补助资金、医疗救助补助资金、城乡居民基本养老保险补助经费、基本药物制度补助资金、优抚对象医疗保险经费、农村危房改造补助资金、中央保障性安居工程专项资金、农田建设补助资金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第二章 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资金分配和下达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直达资金指标文件后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原则上应在30日内正式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分配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按照预算管理要求，及时细化到具体单位、项目或受益对象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确保直达资金下达后尽快安排使用。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default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务股室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在下达直达资金和参照直达资金预算指标时，项目信息中应有上级财政部门预算指标的有关项目名称、项目编码信息（上级项目编码必须一致，据此作为全过程监控的媒介），并准确标注直达资金标识。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黑体" w:cs="微软雅黑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第三章 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资金调拨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和使用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第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五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财政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国库股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收到上级调拨的资金后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及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时做好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对账工作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根据支出轻重缓急和项目实际进度统筹安排使用。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第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六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区财政局各业务股室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要要根据有关规定，会同有关部门切实保障社保、困难群众补助资金发放和工作人员工资补贴、补助类等支付。做好民生工程项目建设资金保障，按照合同约定、工程进度、经费需求等拨付资金。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第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七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财政资金直达机制不改变现有拨付流程，要严格按照国库集中支付制度和直达资金使用要求，点对点将资金支付到最终收款人，不得采取现金方式支付，不得违规将资金转至预算单位实有资金账户。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对于需支付到商品或劳务供应商的资金，由预算单位根据合同或协议、进度等，按程序支付到商品或劳务供应商；涉及专户管理的直达资金，以及需要支付到救助对象的困难群众救助补助资金等，由人社、民政等部门按规定将资金支付到受益人账户。在此基础上，及时将相关资金支付、惠企利民补助补贴发放数据导入到直达资金监控系统，并对数据准确性、完整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第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八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区财政局各业务股室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要落实好财政内部以及与相关部门之间的定期对账机制，做到账目清晰、账实相符。通过国库集中支付系统直接拨付的资金，应当同步将资金拨付情况导入直达资金监控系统；其他资金应与相关部门加强沟通，及时将拨付情况导入直达资金监控系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第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区财政局各业务股室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要充分发挥财政职能作用，督促各主管部门落实在各自领域资金使用的主体责任，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加快项目实施进度，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避免资金沉淀。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第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四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章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ab/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内部职责分工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各股室依托资金监控系统加强直达资金监管。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（一）预算股。负责牵头细化本地区直达资金预算管理要求，督促协调各业务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室及时分配并下达资金，依托监控系统实时掌握直达资金分配下达情况。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（二）国库股。负责牵头建立直达资金台账，做好直达资金拨付工作，收集汇总监控意见建议并及时向上级财政部门反馈。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（三）各业务股室。负责对口直达资金日常监管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挂接支付数据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及时核实处理监控系统预警信息，报告监控情况。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第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五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章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监督机制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区财政局各业务股室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要以直达资金台账为基础，以直达资金监控系统为支撑，通过系统预警规则及时发现问题，促进资金落实到位、规范使用。在收到直达资金监控系统预警提示信息后，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按要求及时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处理完毕。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推动直达资金信息公开。及时向区人大或其常委会报告直达资金分配、拨付、使用等情况，并按照政府信息公开和预算公开要求，及时将有关分配情况向社会公开，主动接受社会监督。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对监督检查中发现的问题要认真核查，及时纠错纠偏，视情况采取调整账目、退回资金、调减预算等措施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进行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直达资金监督管理，实行事前、事中、事后全过程监督，严肃财经纪律，对直达资金分配、拨付、使用中存在弄虚作假、截留挪用、虚报冒领等行为的，以及其他滥用职权、玩忽职守、徇私舞弊等违法违纪行为的，依 照《中华人民共和国预算法》《中华人民共和国公务员法》《中华人民共和国监察法》《财政违法行为处罚处分条例》等国家有关规定严肃追究相应贵任；涉嫌犯罪的，依法移送司法机关处理。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第六章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附</w:t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ab/>
      </w:r>
      <w:r>
        <w:rPr>
          <w:rFonts w:hint="eastAsia" w:ascii="黑体" w:hAnsi="微软雅黑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本办法由山亭区财政局负责解释。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本办法自印发之日起施行。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å¾®è½¯é›…é»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3EAA"/>
    <w:rsid w:val="06B52CB3"/>
    <w:rsid w:val="3C37014E"/>
    <w:rsid w:val="4F4F129E"/>
    <w:rsid w:val="53686A23"/>
    <w:rsid w:val="5986282A"/>
    <w:rsid w:val="5E6B0D40"/>
    <w:rsid w:val="60BB4297"/>
    <w:rsid w:val="65892F2F"/>
    <w:rsid w:val="66897BF9"/>
    <w:rsid w:val="6812122C"/>
    <w:rsid w:val="72FB1426"/>
    <w:rsid w:val="7AA0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2021-09-07T07:01:00Z</dcterms:created>
  <dc:creator>Administrator</dc:creator>
  <cp:lastModifiedBy>KXJ</cp:lastModifiedBy>
  <cp:lastPrinted>2021-09-30T03:03:00Z</cp:lastPrinted>
  <dcterms:modified xsi:type="dcterms:W3CDTF">2021-12-08T07:18:09Z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8C2C32296E414433B1CD639258111DEB</vt:lpwstr>
  </property>
</Properties>
</file>