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72" w:lineRule="atLeast"/>
        <w:ind w:left="0" w:firstLine="576"/>
        <w:jc w:val="center"/>
        <w:rPr>
          <w:rFonts w:hint="eastAsia" w:ascii="方正小标宋简体" w:hAnsi="方正小标宋简体" w:eastAsia="方正小标宋简体" w:cs="方正小标宋简体"/>
          <w:i w:val="0"/>
          <w:caps w:val="0"/>
          <w:color w:val="000000"/>
          <w:spacing w:val="0"/>
          <w:sz w:val="27"/>
          <w:szCs w:val="27"/>
        </w:rPr>
      </w:pPr>
      <w:bookmarkStart w:id="0" w:name="_GoBack"/>
      <w:r>
        <w:rPr>
          <w:rStyle w:val="4"/>
          <w:rFonts w:hint="eastAsia" w:ascii="方正小标宋简体" w:hAnsi="方正小标宋简体" w:eastAsia="方正小标宋简体" w:cs="方正小标宋简体"/>
          <w:i w:val="0"/>
          <w:caps w:val="0"/>
          <w:color w:val="000000"/>
          <w:spacing w:val="0"/>
          <w:sz w:val="28"/>
          <w:szCs w:val="28"/>
        </w:rPr>
        <w:t>2020年山东省枣庄市山亭区中小学体育工作年度报告</w:t>
      </w:r>
    </w:p>
    <w:bookmarkEnd w:id="0"/>
    <w:p>
      <w:pPr>
        <w:pStyle w:val="2"/>
        <w:keepNext w:val="0"/>
        <w:keepLines w:val="0"/>
        <w:widowControl/>
        <w:suppressLineNumbers w:val="0"/>
        <w:spacing w:line="372" w:lineRule="atLeast"/>
        <w:ind w:left="0" w:firstLine="576"/>
        <w:jc w:val="center"/>
        <w:rPr>
          <w:rFonts w:hint="default" w:ascii="sans-serif" w:hAnsi="sans-serif" w:eastAsia="sans-serif" w:cs="sans-serif"/>
          <w:i w:val="0"/>
          <w:caps w:val="0"/>
          <w:color w:val="000000"/>
          <w:spacing w:val="0"/>
          <w:sz w:val="27"/>
          <w:szCs w:val="27"/>
        </w:rPr>
      </w:pPr>
      <w:r>
        <w:rPr>
          <w:rStyle w:val="4"/>
          <w:rFonts w:hint="eastAsia" w:ascii="仿宋" w:hAnsi="仿宋" w:eastAsia="仿宋" w:cs="仿宋"/>
          <w:i w:val="0"/>
          <w:caps w:val="0"/>
          <w:color w:val="000000"/>
          <w:spacing w:val="0"/>
          <w:sz w:val="28"/>
          <w:szCs w:val="28"/>
        </w:rPr>
        <w:t> </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5"/>
          <w:szCs w:val="25"/>
        </w:rPr>
        <w:t>根据国家《关于开展中小学体育工作督导检查的通知》精神，结合我区实际情况，坚持软件从严，硬件从实的原则，对照《关于开展学生体质健康标准测试和落实学校体育三个办法有关工作的通知》。本着“一切为了学生，为了学生的一切，为学生的终身发展负责” “我运动、我健康、我快乐”等办学理念，以生为本，立足实际，面向全体学生，按照“健康第一”的指导思想和素质教育的要求，切实加强和改进全区学校体育卫生工作，</w:t>
      </w:r>
      <w:r>
        <w:rPr>
          <w:rFonts w:ascii="仿宋_GB2312" w:hAnsi="sans-serif" w:eastAsia="仿宋_GB2312" w:cs="仿宋_GB2312"/>
          <w:i w:val="0"/>
          <w:caps w:val="0"/>
          <w:color w:val="000000"/>
          <w:spacing w:val="0"/>
          <w:sz w:val="25"/>
          <w:szCs w:val="25"/>
        </w:rPr>
        <w:t>现将我区体育工作开展情况报告如下</w:t>
      </w:r>
      <w:r>
        <w:rPr>
          <w:rFonts w:hint="eastAsia" w:ascii="仿宋_GB2312" w:hAnsi="sans-serif" w:eastAsia="仿宋_GB2312" w:cs="仿宋_GB2312"/>
          <w:i w:val="0"/>
          <w:caps w:val="0"/>
          <w:color w:val="000000"/>
          <w:spacing w:val="0"/>
          <w:sz w:val="25"/>
          <w:szCs w:val="25"/>
        </w:rPr>
        <w:t>: </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Style w:val="4"/>
          <w:rFonts w:hint="eastAsia" w:ascii="仿宋" w:hAnsi="仿宋" w:eastAsia="仿宋" w:cs="仿宋"/>
          <w:i w:val="0"/>
          <w:caps w:val="0"/>
          <w:color w:val="000000"/>
          <w:spacing w:val="0"/>
          <w:sz w:val="25"/>
          <w:szCs w:val="25"/>
        </w:rPr>
        <w:t>（一）全区学校整体情况</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Style w:val="4"/>
          <w:rFonts w:hint="eastAsia" w:ascii="仿宋_GB2312" w:hAnsi="sans-serif" w:eastAsia="仿宋_GB2312" w:cs="仿宋_GB2312"/>
          <w:i w:val="0"/>
          <w:caps w:val="0"/>
          <w:color w:val="000000"/>
          <w:spacing w:val="0"/>
          <w:sz w:val="25"/>
          <w:szCs w:val="25"/>
        </w:rPr>
        <w:t>1.</w:t>
      </w:r>
      <w:r>
        <w:rPr>
          <w:rStyle w:val="4"/>
          <w:rFonts w:hint="eastAsia" w:ascii="仿宋" w:hAnsi="仿宋" w:eastAsia="仿宋" w:cs="仿宋"/>
          <w:i w:val="0"/>
          <w:caps w:val="0"/>
          <w:color w:val="000000"/>
          <w:spacing w:val="0"/>
          <w:sz w:val="25"/>
          <w:szCs w:val="25"/>
        </w:rPr>
        <w:t>体育课开课率</w:t>
      </w:r>
      <w:r>
        <w:rPr>
          <w:rStyle w:val="4"/>
          <w:rFonts w:hint="default" w:ascii="sans-serif" w:hAnsi="sans-serif" w:eastAsia="sans-serif" w:cs="sans-serif"/>
          <w:i w:val="0"/>
          <w:caps w:val="0"/>
          <w:color w:val="000000"/>
          <w:spacing w:val="0"/>
          <w:sz w:val="27"/>
          <w:szCs w:val="27"/>
        </w:rPr>
        <w:t> </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 全区现有小学98所、中学9所、高中1所、九年一贯制学校8所、中职1所，共计117所，均开齐、开足体育课。</w:t>
      </w:r>
    </w:p>
    <w:tbl>
      <w:tblPr>
        <w:tblW w:w="67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60" w:type="dxa"/>
          <w:left w:w="120" w:type="dxa"/>
          <w:bottom w:w="60" w:type="dxa"/>
          <w:right w:w="120" w:type="dxa"/>
        </w:tblCellMar>
      </w:tblPr>
      <w:tblGrid>
        <w:gridCol w:w="1042"/>
        <w:gridCol w:w="972"/>
        <w:gridCol w:w="972"/>
        <w:gridCol w:w="972"/>
        <w:gridCol w:w="972"/>
        <w:gridCol w:w="896"/>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60" w:type="dxa"/>
            <w:left w:w="120" w:type="dxa"/>
            <w:bottom w:w="60" w:type="dxa"/>
            <w:right w:w="120" w:type="dxa"/>
          </w:tblCellMar>
        </w:tblPrEx>
        <w:trPr>
          <w:trHeight w:val="840" w:hRule="atLeast"/>
        </w:trPr>
        <w:tc>
          <w:tcPr>
            <w:tcW w:w="1042" w:type="dxa"/>
            <w:vMerge w:val="restart"/>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Style w:val="4"/>
                <w:rFonts w:ascii="微软雅黑" w:hAnsi="微软雅黑" w:eastAsia="微软雅黑" w:cs="微软雅黑"/>
                <w:i w:val="0"/>
                <w:caps w:val="0"/>
                <w:color w:val="000000"/>
                <w:spacing w:val="0"/>
                <w:sz w:val="14"/>
                <w:szCs w:val="14"/>
                <w:bdr w:val="none" w:color="auto" w:sz="0" w:space="0"/>
              </w:rPr>
              <w:t>学校类别</w:t>
            </w:r>
          </w:p>
        </w:tc>
        <w:tc>
          <w:tcPr>
            <w:tcW w:w="2916" w:type="dxa"/>
            <w:gridSpan w:val="3"/>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Style w:val="4"/>
                <w:rFonts w:hint="eastAsia" w:ascii="微软雅黑" w:hAnsi="微软雅黑" w:eastAsia="微软雅黑" w:cs="微软雅黑"/>
                <w:i w:val="0"/>
                <w:caps w:val="0"/>
                <w:color w:val="000000"/>
                <w:spacing w:val="0"/>
                <w:sz w:val="14"/>
                <w:szCs w:val="14"/>
                <w:bdr w:val="none" w:color="auto" w:sz="0" w:space="0"/>
              </w:rPr>
              <w:t>基础数据</w:t>
            </w:r>
          </w:p>
        </w:tc>
        <w:tc>
          <w:tcPr>
            <w:tcW w:w="2840" w:type="dxa"/>
            <w:gridSpan w:val="3"/>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Style w:val="4"/>
                <w:rFonts w:hint="eastAsia" w:ascii="微软雅黑" w:hAnsi="微软雅黑" w:eastAsia="微软雅黑" w:cs="微软雅黑"/>
                <w:i w:val="0"/>
                <w:caps w:val="0"/>
                <w:color w:val="000000"/>
                <w:spacing w:val="0"/>
                <w:sz w:val="14"/>
                <w:szCs w:val="14"/>
                <w:bdr w:val="none" w:color="auto" w:sz="0" w:space="0"/>
              </w:rPr>
              <w:t>开课及课外活动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60" w:type="dxa"/>
            <w:left w:w="120" w:type="dxa"/>
            <w:bottom w:w="60" w:type="dxa"/>
            <w:right w:w="120" w:type="dxa"/>
          </w:tblCellMar>
        </w:tblPrEx>
        <w:trPr>
          <w:trHeight w:val="948" w:hRule="atLeast"/>
        </w:trPr>
        <w:tc>
          <w:tcPr>
            <w:tcW w:w="1042" w:type="dxa"/>
            <w:vMerge w:val="continue"/>
            <w:tcBorders>
              <w:top w:val="nil"/>
              <w:left w:val="nil"/>
              <w:bottom w:val="nil"/>
              <w:right w:val="nil"/>
            </w:tcBorders>
            <w:shd w:val="clear"/>
            <w:tcMar>
              <w:top w:w="12" w:type="dxa"/>
              <w:left w:w="12" w:type="dxa"/>
              <w:bottom w:w="0" w:type="dxa"/>
              <w:right w:w="12" w:type="dxa"/>
            </w:tcMar>
            <w:vAlign w:val="center"/>
          </w:tcPr>
          <w:p>
            <w:pPr>
              <w:rPr>
                <w:rFonts w:hint="default" w:ascii="sans-serif" w:hAnsi="sans-serif" w:eastAsia="sans-serif" w:cs="sans-serif"/>
                <w:i w:val="0"/>
                <w:caps w:val="0"/>
                <w:color w:val="000000"/>
                <w:spacing w:val="0"/>
                <w:sz w:val="27"/>
                <w:szCs w:val="27"/>
              </w:rPr>
            </w:pP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学校数量</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在校生人数</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实际班级数量</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体育课开足学校数</w:t>
            </w:r>
          </w:p>
        </w:tc>
        <w:tc>
          <w:tcPr>
            <w:tcW w:w="89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落实每天一小时体育锻炼学校数</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组织大课间体育活动学校数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60" w:type="dxa"/>
            <w:left w:w="120" w:type="dxa"/>
            <w:bottom w:w="60" w:type="dxa"/>
            <w:right w:w="120" w:type="dxa"/>
          </w:tblCellMar>
        </w:tblPrEx>
        <w:trPr>
          <w:trHeight w:val="552" w:hRule="atLeast"/>
        </w:trPr>
        <w:tc>
          <w:tcPr>
            <w:tcW w:w="104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小学</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98</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30829</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1052</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98</w:t>
            </w:r>
          </w:p>
        </w:tc>
        <w:tc>
          <w:tcPr>
            <w:tcW w:w="89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98</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60" w:type="dxa"/>
            <w:left w:w="120" w:type="dxa"/>
            <w:bottom w:w="60" w:type="dxa"/>
            <w:right w:w="120" w:type="dxa"/>
          </w:tblCellMar>
        </w:tblPrEx>
        <w:trPr>
          <w:trHeight w:val="552" w:hRule="atLeast"/>
        </w:trPr>
        <w:tc>
          <w:tcPr>
            <w:tcW w:w="104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中学</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9</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11074</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221</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9</w:t>
            </w:r>
          </w:p>
        </w:tc>
        <w:tc>
          <w:tcPr>
            <w:tcW w:w="89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9</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60" w:type="dxa"/>
            <w:left w:w="120" w:type="dxa"/>
            <w:bottom w:w="60" w:type="dxa"/>
            <w:right w:w="120" w:type="dxa"/>
          </w:tblCellMar>
        </w:tblPrEx>
        <w:trPr>
          <w:trHeight w:val="552" w:hRule="atLeast"/>
        </w:trPr>
        <w:tc>
          <w:tcPr>
            <w:tcW w:w="104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高中</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3388</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80</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w:t>
            </w:r>
          </w:p>
        </w:tc>
        <w:tc>
          <w:tcPr>
            <w:tcW w:w="89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60" w:type="dxa"/>
            <w:left w:w="120" w:type="dxa"/>
            <w:bottom w:w="60" w:type="dxa"/>
            <w:right w:w="120" w:type="dxa"/>
          </w:tblCellMar>
        </w:tblPrEx>
        <w:trPr>
          <w:trHeight w:val="552" w:hRule="atLeast"/>
        </w:trPr>
        <w:tc>
          <w:tcPr>
            <w:tcW w:w="104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九年一贯制</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8</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9207</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218</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8</w:t>
            </w:r>
          </w:p>
        </w:tc>
        <w:tc>
          <w:tcPr>
            <w:tcW w:w="89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8</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60" w:type="dxa"/>
            <w:left w:w="120" w:type="dxa"/>
            <w:bottom w:w="60" w:type="dxa"/>
            <w:right w:w="120" w:type="dxa"/>
          </w:tblCellMar>
        </w:tblPrEx>
        <w:trPr>
          <w:trHeight w:val="552" w:hRule="atLeast"/>
        </w:trPr>
        <w:tc>
          <w:tcPr>
            <w:tcW w:w="104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十二年一贯制</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89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60" w:type="dxa"/>
            <w:left w:w="120" w:type="dxa"/>
            <w:bottom w:w="60" w:type="dxa"/>
            <w:right w:w="120" w:type="dxa"/>
          </w:tblCellMar>
        </w:tblPrEx>
        <w:trPr>
          <w:trHeight w:val="552" w:hRule="atLeast"/>
        </w:trPr>
        <w:tc>
          <w:tcPr>
            <w:tcW w:w="104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完全中学</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89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60" w:type="dxa"/>
            <w:left w:w="120" w:type="dxa"/>
            <w:bottom w:w="60" w:type="dxa"/>
            <w:right w:w="120" w:type="dxa"/>
          </w:tblCellMar>
        </w:tblPrEx>
        <w:trPr>
          <w:trHeight w:val="552" w:hRule="atLeast"/>
        </w:trPr>
        <w:tc>
          <w:tcPr>
            <w:tcW w:w="104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中职</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959</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30</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w:t>
            </w:r>
          </w:p>
        </w:tc>
        <w:tc>
          <w:tcPr>
            <w:tcW w:w="89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60" w:type="dxa"/>
            <w:left w:w="120" w:type="dxa"/>
            <w:bottom w:w="60" w:type="dxa"/>
            <w:right w:w="120" w:type="dxa"/>
          </w:tblCellMar>
        </w:tblPrEx>
        <w:trPr>
          <w:trHeight w:val="552" w:hRule="atLeast"/>
        </w:trPr>
        <w:tc>
          <w:tcPr>
            <w:tcW w:w="104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总计</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117</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55457</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1601</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117</w:t>
            </w:r>
          </w:p>
        </w:tc>
        <w:tc>
          <w:tcPr>
            <w:tcW w:w="89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117</w:t>
            </w:r>
          </w:p>
        </w:tc>
        <w:tc>
          <w:tcPr>
            <w:tcW w:w="972"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117</w:t>
            </w:r>
          </w:p>
        </w:tc>
      </w:tr>
    </w:tbl>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 </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b/>
          <w:i w:val="0"/>
          <w:caps w:val="0"/>
          <w:color w:val="000000"/>
          <w:spacing w:val="0"/>
          <w:sz w:val="25"/>
          <w:szCs w:val="25"/>
        </w:rPr>
        <w:t>2. </w:t>
      </w:r>
      <w:r>
        <w:rPr>
          <w:rStyle w:val="4"/>
          <w:rFonts w:hint="eastAsia" w:ascii="仿宋_GB2312" w:hAnsi="sans-serif" w:eastAsia="仿宋_GB2312" w:cs="仿宋_GB2312"/>
          <w:i w:val="0"/>
          <w:caps w:val="0"/>
          <w:color w:val="000000"/>
          <w:spacing w:val="0"/>
          <w:sz w:val="25"/>
          <w:szCs w:val="25"/>
        </w:rPr>
        <w:t>阳光体育运动开展情况</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（1）区教体局</w:t>
      </w:r>
      <w:r>
        <w:rPr>
          <w:rFonts w:hint="eastAsia" w:ascii="仿宋" w:hAnsi="仿宋" w:eastAsia="仿宋" w:cs="仿宋"/>
          <w:i w:val="0"/>
          <w:caps w:val="0"/>
          <w:color w:val="000000"/>
          <w:spacing w:val="0"/>
          <w:sz w:val="25"/>
          <w:szCs w:val="25"/>
        </w:rPr>
        <w:t>领导一直以来都十分重视学校体育活动建设的开展，以“达标争优、强健体魄”为目标，积极贯彻“健康第一”、“每天锻炼一小时，健康工作五十年，幸福生活一辈子”的现代健康理念，以全面实施《学生体质健康标准》、大力推进体育大课间活动为重点，蓬勃开展“阳光体育活动”。同时把体育活动与促进和谐校园等紧密结合，培养成学生积极主动的体育锻炼习惯，提高学生的身体健康素质和体育文化素养，推进校园体育文化建设，由此，教体局组建阳光体育运动领导小组，健全领导网络，明确分工责任到人。</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5"/>
          <w:szCs w:val="25"/>
        </w:rPr>
        <w:t>（2）开展阳光体育运动，与体育课教学相结合。坚持依法治教，规范办学行为，严格执行国家有关体育课时的规定，开足上好体育课，全区各校均按有关规定开齐开足体育教育课程，由学校统一安排，每周定时定点上课，教师不得以任何理由挤占体育课时。100％学生参加体育艺术活动，精选专职教师有计划地进行精心指导。通过体育教学，深化教学改革，不断提高教学质量，引导学生积极参加阳光体育运动。为了确保学生每天在校的一小时体育锻炼时间,规定要在每天的上下午各安排一个不少于25分钟的大课间活动,并列进课表纳入到课程管理，确保学生每天在校锻炼一小时。</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b/>
          <w:i w:val="0"/>
          <w:caps w:val="0"/>
          <w:color w:val="000000"/>
          <w:spacing w:val="0"/>
          <w:sz w:val="25"/>
          <w:szCs w:val="25"/>
        </w:rPr>
        <w:t>（2）</w:t>
      </w:r>
      <w:r>
        <w:rPr>
          <w:rStyle w:val="4"/>
          <w:rFonts w:hint="eastAsia" w:ascii="仿宋_GB2312" w:hAnsi="sans-serif" w:eastAsia="仿宋_GB2312" w:cs="仿宋_GB2312"/>
          <w:i w:val="0"/>
          <w:caps w:val="0"/>
          <w:color w:val="000000"/>
          <w:spacing w:val="0"/>
          <w:sz w:val="25"/>
          <w:szCs w:val="25"/>
        </w:rPr>
        <w:t>参加国家、市级阳光体育活动、竞赛情况</w:t>
      </w:r>
    </w:p>
    <w:p>
      <w:pPr>
        <w:pStyle w:val="2"/>
        <w:keepNext w:val="0"/>
        <w:keepLines w:val="0"/>
        <w:widowControl/>
        <w:suppressLineNumbers w:val="0"/>
        <w:spacing w:line="372" w:lineRule="atLeast"/>
        <w:ind w:left="516" w:firstLine="0"/>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5"/>
          <w:szCs w:val="25"/>
          <w:shd w:val="clear" w:fill="FFFFFF"/>
        </w:rPr>
        <w:t>枣庄十八中、枣庄二十四中、枣庄翔宇中学参加了市中学生田径运动会，枣庄四十中参加了市中学生篮球赛，山亭区第二实验小学、枣庄三十六中参加了市学校足球联赛。</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Style w:val="4"/>
          <w:rFonts w:hint="eastAsia" w:ascii="仿宋_GB2312" w:hAnsi="sans-serif" w:eastAsia="仿宋_GB2312" w:cs="仿宋_GB2312"/>
          <w:i w:val="0"/>
          <w:caps w:val="0"/>
          <w:color w:val="000000"/>
          <w:spacing w:val="0"/>
          <w:sz w:val="25"/>
          <w:szCs w:val="25"/>
        </w:rPr>
        <w:t>（3）每年组织区级阳光体育活动、竞赛及学校“一校一品”及区级特色活动情况。</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一校一品”和“一校多品”体育与健康课程建设是国家教育部大力提倡的课程教学改革方向。自开始“一校一品”体育特色项目学校建设以来，我区结合阳光体育运动、体艺“2+1”等活动，因地制宜，依托本校教学资源，突出各专项体育教学，让每个学生在学习期间至少学会两项体育技能，努力促进本校体育教学形成特色，有效提高了体育课教学质量和效果。</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一直以来，坚持“规范特色”是我区体育教学的总体思路，学校要精心安排，确定体现本校特色的2到3个项目，努力形成学校的体育特色。学校各专业各年级开展各式各样的体育项目“百花齐放”。体现全区性特色的体育项目有足球、篮球、田径等项目，并定期开展训练和比赛。每年五月份，全区举办篮球赛，十月底，要举办大型秋季运动会，项目多样，全员参与，极大地提升了广大师生参与体育活动的兴趣和热情，也促进了学生运动水平的提高。</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Style w:val="4"/>
          <w:rFonts w:hint="eastAsia" w:ascii="仿宋_GB2312" w:hAnsi="sans-serif" w:eastAsia="仿宋_GB2312" w:cs="仿宋_GB2312"/>
          <w:i w:val="0"/>
          <w:caps w:val="0"/>
          <w:color w:val="000000"/>
          <w:spacing w:val="0"/>
          <w:sz w:val="25"/>
          <w:szCs w:val="25"/>
        </w:rPr>
        <w:t>3.《国家学生体质健康标准》测试及学生体质健康状况。</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国家学生体质健康标准》的发布与实施是教育部、国家体育总局为积极贯彻落实《中共中央关于深化教育改革全面进行素质教育的决定》和国务院《关于基础教育改革与发展的决定》的一项重要举措，是学校树立“健康了第一”</w:t>
      </w:r>
    </w:p>
    <w:p>
      <w:pPr>
        <w:pStyle w:val="2"/>
        <w:keepNext w:val="0"/>
        <w:keepLines w:val="0"/>
        <w:widowControl/>
        <w:suppressLineNumbers w:val="0"/>
        <w:spacing w:line="372" w:lineRule="atLeast"/>
        <w:ind w:left="0" w:firstLine="0"/>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的指导思想，切实加强学校体育工作的具体体现，是促进学生体质健康发展，激励学生积极进行身体锻炼的教育手段，也是学生毕业的基本条件。为此，我区十分重视《标准》的</w:t>
      </w:r>
    </w:p>
    <w:p>
      <w:pPr>
        <w:pStyle w:val="2"/>
        <w:keepNext w:val="0"/>
        <w:keepLines w:val="0"/>
        <w:widowControl/>
        <w:suppressLineNumbers w:val="0"/>
        <w:spacing w:line="372" w:lineRule="atLeast"/>
        <w:ind w:left="0" w:firstLine="0"/>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实施工作。现将区校贯彻落实《国家学生体质健康标准》的实施情况总结如下：</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1）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2）培训一支业务过硬的测试人员队伍是提高实施《标准》工作质量的关键。根据区教育局的要求，各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pStyle w:val="2"/>
        <w:keepNext w:val="0"/>
        <w:keepLines w:val="0"/>
        <w:widowControl/>
        <w:suppressLineNumbers w:val="0"/>
        <w:spacing w:line="372" w:lineRule="atLeast"/>
        <w:ind w:left="0" w:firstLine="0"/>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（3）具体分析数据如下：全区共有学校117所，实际参加测试学校117所。</w:t>
      </w:r>
    </w:p>
    <w:tbl>
      <w:tblPr>
        <w:tblW w:w="67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60" w:type="dxa"/>
          <w:left w:w="120" w:type="dxa"/>
          <w:bottom w:w="60" w:type="dxa"/>
          <w:right w:w="120" w:type="dxa"/>
        </w:tblCellMar>
      </w:tblPr>
      <w:tblGrid>
        <w:gridCol w:w="927"/>
        <w:gridCol w:w="507"/>
        <w:gridCol w:w="526"/>
        <w:gridCol w:w="507"/>
        <w:gridCol w:w="526"/>
        <w:gridCol w:w="507"/>
        <w:gridCol w:w="526"/>
        <w:gridCol w:w="507"/>
        <w:gridCol w:w="526"/>
        <w:gridCol w:w="827"/>
        <w:gridCol w:w="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60" w:type="dxa"/>
            <w:left w:w="120" w:type="dxa"/>
            <w:bottom w:w="60" w:type="dxa"/>
            <w:right w:w="120" w:type="dxa"/>
          </w:tblCellMar>
        </w:tblPrEx>
        <w:trPr>
          <w:trHeight w:val="840" w:hRule="atLeast"/>
        </w:trPr>
        <w:tc>
          <w:tcPr>
            <w:tcW w:w="927" w:type="dxa"/>
            <w:vMerge w:val="restart"/>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Style w:val="4"/>
                <w:rFonts w:hint="eastAsia" w:ascii="微软雅黑" w:hAnsi="微软雅黑" w:eastAsia="微软雅黑" w:cs="微软雅黑"/>
                <w:i w:val="0"/>
                <w:caps w:val="0"/>
                <w:color w:val="000000"/>
                <w:spacing w:val="0"/>
                <w:sz w:val="14"/>
                <w:szCs w:val="14"/>
                <w:bdr w:val="none" w:color="auto" w:sz="0" w:space="0"/>
              </w:rPr>
              <w:t>学校类别</w:t>
            </w:r>
          </w:p>
        </w:tc>
        <w:tc>
          <w:tcPr>
            <w:tcW w:w="5870" w:type="dxa"/>
            <w:gridSpan w:val="10"/>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Style w:val="4"/>
                <w:rFonts w:hint="eastAsia" w:ascii="微软雅黑" w:hAnsi="微软雅黑" w:eastAsia="微软雅黑" w:cs="微软雅黑"/>
                <w:i w:val="0"/>
                <w:caps w:val="0"/>
                <w:color w:val="000000"/>
                <w:spacing w:val="0"/>
                <w:sz w:val="14"/>
                <w:szCs w:val="14"/>
                <w:bdr w:val="none" w:color="auto" w:sz="0" w:space="0"/>
              </w:rPr>
              <w:t>学校体育工作等级评估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0" w:type="dxa"/>
            <w:left w:w="120" w:type="dxa"/>
            <w:bottom w:w="60" w:type="dxa"/>
            <w:right w:w="120" w:type="dxa"/>
          </w:tblCellMar>
        </w:tblPrEx>
        <w:trPr>
          <w:trHeight w:val="504" w:hRule="atLeast"/>
        </w:trPr>
        <w:tc>
          <w:tcPr>
            <w:tcW w:w="927" w:type="dxa"/>
            <w:vMerge w:val="continue"/>
            <w:tcBorders>
              <w:top w:val="nil"/>
              <w:left w:val="nil"/>
              <w:bottom w:val="nil"/>
              <w:right w:val="nil"/>
            </w:tcBorders>
            <w:shd w:val="clear"/>
            <w:tcMar>
              <w:top w:w="12" w:type="dxa"/>
              <w:left w:w="12" w:type="dxa"/>
              <w:bottom w:w="0" w:type="dxa"/>
              <w:right w:w="12" w:type="dxa"/>
            </w:tcMar>
            <w:vAlign w:val="center"/>
          </w:tcPr>
          <w:p>
            <w:pPr>
              <w:rPr>
                <w:rFonts w:hint="default" w:ascii="sans-serif" w:hAnsi="sans-serif" w:eastAsia="sans-serif" w:cs="sans-serif"/>
                <w:i w:val="0"/>
                <w:caps w:val="0"/>
                <w:color w:val="000000"/>
                <w:spacing w:val="0"/>
                <w:sz w:val="27"/>
                <w:szCs w:val="27"/>
              </w:rPr>
            </w:pPr>
          </w:p>
        </w:tc>
        <w:tc>
          <w:tcPr>
            <w:tcW w:w="1033" w:type="dxa"/>
            <w:gridSpan w:val="2"/>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优秀</w:t>
            </w:r>
          </w:p>
        </w:tc>
        <w:tc>
          <w:tcPr>
            <w:tcW w:w="1033" w:type="dxa"/>
            <w:gridSpan w:val="2"/>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良好</w:t>
            </w:r>
          </w:p>
        </w:tc>
        <w:tc>
          <w:tcPr>
            <w:tcW w:w="1033" w:type="dxa"/>
            <w:gridSpan w:val="2"/>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及格数</w:t>
            </w:r>
          </w:p>
        </w:tc>
        <w:tc>
          <w:tcPr>
            <w:tcW w:w="1033" w:type="dxa"/>
            <w:gridSpan w:val="2"/>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不及格</w:t>
            </w:r>
          </w:p>
        </w:tc>
        <w:tc>
          <w:tcPr>
            <w:tcW w:w="1738" w:type="dxa"/>
            <w:gridSpan w:val="2"/>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加分学校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0" w:type="dxa"/>
            <w:left w:w="120" w:type="dxa"/>
            <w:bottom w:w="60" w:type="dxa"/>
            <w:right w:w="120" w:type="dxa"/>
          </w:tblCellMar>
        </w:tblPrEx>
        <w:trPr>
          <w:trHeight w:val="552" w:hRule="atLeast"/>
        </w:trPr>
        <w:tc>
          <w:tcPr>
            <w:tcW w:w="927" w:type="dxa"/>
            <w:vMerge w:val="continue"/>
            <w:tcBorders>
              <w:top w:val="nil"/>
              <w:left w:val="nil"/>
              <w:bottom w:val="nil"/>
              <w:right w:val="nil"/>
            </w:tcBorders>
            <w:shd w:val="clear"/>
            <w:tcMar>
              <w:top w:w="12" w:type="dxa"/>
              <w:left w:w="12" w:type="dxa"/>
              <w:bottom w:w="0" w:type="dxa"/>
              <w:right w:w="12" w:type="dxa"/>
            </w:tcMar>
            <w:vAlign w:val="center"/>
          </w:tcPr>
          <w:p>
            <w:pPr>
              <w:rPr>
                <w:rFonts w:hint="default" w:ascii="sans-serif" w:hAnsi="sans-serif" w:eastAsia="sans-serif" w:cs="sans-serif"/>
                <w:i w:val="0"/>
                <w:caps w:val="0"/>
                <w:color w:val="000000"/>
                <w:spacing w:val="0"/>
                <w:sz w:val="27"/>
                <w:szCs w:val="27"/>
              </w:rPr>
            </w:pP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(所)</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(所)</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(所)</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(所)</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w:t>
            </w:r>
          </w:p>
        </w:tc>
        <w:tc>
          <w:tcPr>
            <w:tcW w:w="82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(所)</w:t>
            </w:r>
          </w:p>
        </w:tc>
        <w:tc>
          <w:tcPr>
            <w:tcW w:w="911"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0" w:type="dxa"/>
            <w:left w:w="120" w:type="dxa"/>
            <w:bottom w:w="60" w:type="dxa"/>
            <w:right w:w="120" w:type="dxa"/>
          </w:tblCellMar>
        </w:tblPrEx>
        <w:trPr>
          <w:trHeight w:val="552" w:hRule="atLeast"/>
        </w:trPr>
        <w:tc>
          <w:tcPr>
            <w:tcW w:w="92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小学</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36</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36.73</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54</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55.10</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7</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7.14</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1.02</w:t>
            </w:r>
          </w:p>
        </w:tc>
        <w:tc>
          <w:tcPr>
            <w:tcW w:w="82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75</w:t>
            </w:r>
          </w:p>
        </w:tc>
        <w:tc>
          <w:tcPr>
            <w:tcW w:w="911"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76.53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0" w:type="dxa"/>
            <w:left w:w="120" w:type="dxa"/>
            <w:bottom w:w="60" w:type="dxa"/>
            <w:right w:w="120" w:type="dxa"/>
          </w:tblCellMar>
        </w:tblPrEx>
        <w:trPr>
          <w:trHeight w:val="552" w:hRule="atLeast"/>
        </w:trPr>
        <w:tc>
          <w:tcPr>
            <w:tcW w:w="92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中学</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4</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44.44</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5</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55.56</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0.00</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0.00</w:t>
            </w:r>
          </w:p>
        </w:tc>
        <w:tc>
          <w:tcPr>
            <w:tcW w:w="82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9</w:t>
            </w:r>
          </w:p>
        </w:tc>
        <w:tc>
          <w:tcPr>
            <w:tcW w:w="911"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0" w:type="dxa"/>
            <w:left w:w="120" w:type="dxa"/>
            <w:bottom w:w="60" w:type="dxa"/>
            <w:right w:w="120" w:type="dxa"/>
          </w:tblCellMar>
        </w:tblPrEx>
        <w:trPr>
          <w:trHeight w:val="552" w:hRule="atLeast"/>
        </w:trPr>
        <w:tc>
          <w:tcPr>
            <w:tcW w:w="92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高中</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100.00</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0.00</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0.00</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0.00</w:t>
            </w:r>
          </w:p>
        </w:tc>
        <w:tc>
          <w:tcPr>
            <w:tcW w:w="82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w:t>
            </w:r>
          </w:p>
        </w:tc>
        <w:tc>
          <w:tcPr>
            <w:tcW w:w="911"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60" w:type="dxa"/>
            <w:left w:w="120" w:type="dxa"/>
            <w:bottom w:w="60" w:type="dxa"/>
            <w:right w:w="120" w:type="dxa"/>
          </w:tblCellMar>
        </w:tblPrEx>
        <w:trPr>
          <w:trHeight w:val="552" w:hRule="atLeast"/>
        </w:trPr>
        <w:tc>
          <w:tcPr>
            <w:tcW w:w="92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九年一贯制</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12.50</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7</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87.50</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0.00</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0.00</w:t>
            </w:r>
          </w:p>
        </w:tc>
        <w:tc>
          <w:tcPr>
            <w:tcW w:w="82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6</w:t>
            </w:r>
          </w:p>
        </w:tc>
        <w:tc>
          <w:tcPr>
            <w:tcW w:w="911"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0" w:type="dxa"/>
            <w:left w:w="120" w:type="dxa"/>
            <w:bottom w:w="60" w:type="dxa"/>
            <w:right w:w="120" w:type="dxa"/>
          </w:tblCellMar>
        </w:tblPrEx>
        <w:trPr>
          <w:trHeight w:val="552" w:hRule="atLeast"/>
        </w:trPr>
        <w:tc>
          <w:tcPr>
            <w:tcW w:w="92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十二年一贯制</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0.00</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0.00</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0.00</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0.00</w:t>
            </w:r>
          </w:p>
        </w:tc>
        <w:tc>
          <w:tcPr>
            <w:tcW w:w="82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911"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60" w:type="dxa"/>
            <w:left w:w="120" w:type="dxa"/>
            <w:bottom w:w="60" w:type="dxa"/>
            <w:right w:w="120" w:type="dxa"/>
          </w:tblCellMar>
        </w:tblPrEx>
        <w:trPr>
          <w:trHeight w:val="552" w:hRule="atLeast"/>
        </w:trPr>
        <w:tc>
          <w:tcPr>
            <w:tcW w:w="92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完全中学</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0.00</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0.00</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0.00</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0.00</w:t>
            </w:r>
          </w:p>
        </w:tc>
        <w:tc>
          <w:tcPr>
            <w:tcW w:w="82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911"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60" w:type="dxa"/>
            <w:left w:w="120" w:type="dxa"/>
            <w:bottom w:w="60" w:type="dxa"/>
            <w:right w:w="120" w:type="dxa"/>
          </w:tblCellMar>
        </w:tblPrEx>
        <w:trPr>
          <w:trHeight w:val="552" w:hRule="atLeast"/>
        </w:trPr>
        <w:tc>
          <w:tcPr>
            <w:tcW w:w="92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中职</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0.00</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100.00</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0.00</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0.00</w:t>
            </w:r>
          </w:p>
        </w:tc>
        <w:tc>
          <w:tcPr>
            <w:tcW w:w="82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w:t>
            </w:r>
          </w:p>
        </w:tc>
        <w:tc>
          <w:tcPr>
            <w:tcW w:w="911"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0" w:type="dxa"/>
            <w:left w:w="120" w:type="dxa"/>
            <w:bottom w:w="60" w:type="dxa"/>
            <w:right w:w="120" w:type="dxa"/>
          </w:tblCellMar>
        </w:tblPrEx>
        <w:trPr>
          <w:trHeight w:val="552" w:hRule="atLeast"/>
        </w:trPr>
        <w:tc>
          <w:tcPr>
            <w:tcW w:w="92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总计</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42</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35.90</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67</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57.26</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7</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5.98</w:t>
            </w:r>
          </w:p>
        </w:tc>
        <w:tc>
          <w:tcPr>
            <w:tcW w:w="50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1</w:t>
            </w:r>
          </w:p>
        </w:tc>
        <w:tc>
          <w:tcPr>
            <w:tcW w:w="526"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0.85</w:t>
            </w:r>
          </w:p>
        </w:tc>
        <w:tc>
          <w:tcPr>
            <w:tcW w:w="827"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92</w:t>
            </w:r>
          </w:p>
        </w:tc>
        <w:tc>
          <w:tcPr>
            <w:tcW w:w="911" w:type="dxa"/>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eastAsia" w:ascii="微软雅黑" w:hAnsi="微软雅黑" w:eastAsia="微软雅黑" w:cs="微软雅黑"/>
                <w:i w:val="0"/>
                <w:caps w:val="0"/>
                <w:color w:val="000000"/>
                <w:spacing w:val="0"/>
                <w:sz w:val="14"/>
                <w:szCs w:val="14"/>
                <w:bdr w:val="none" w:color="auto" w:sz="0" w:space="0"/>
              </w:rPr>
              <w:t>78.63</w:t>
            </w:r>
          </w:p>
        </w:tc>
      </w:tr>
    </w:tbl>
    <w:p>
      <w:pPr>
        <w:pStyle w:val="2"/>
        <w:keepNext w:val="0"/>
        <w:keepLines w:val="0"/>
        <w:widowControl/>
        <w:suppressLineNumbers w:val="0"/>
        <w:spacing w:line="372" w:lineRule="atLeast"/>
        <w:ind w:left="0" w:firstLine="0"/>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 </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 </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 w:hAnsi="仿宋" w:eastAsia="仿宋" w:cs="仿宋"/>
          <w:b/>
          <w:i w:val="0"/>
          <w:caps w:val="0"/>
          <w:color w:val="000000"/>
          <w:spacing w:val="0"/>
          <w:sz w:val="25"/>
          <w:szCs w:val="25"/>
        </w:rPr>
        <w:t>（二）</w:t>
      </w:r>
      <w:r>
        <w:rPr>
          <w:rStyle w:val="4"/>
          <w:rFonts w:hint="eastAsia" w:ascii="仿宋" w:hAnsi="仿宋" w:eastAsia="仿宋" w:cs="仿宋"/>
          <w:i w:val="0"/>
          <w:caps w:val="0"/>
          <w:color w:val="000000"/>
          <w:spacing w:val="0"/>
          <w:sz w:val="25"/>
          <w:szCs w:val="25"/>
        </w:rPr>
        <w:t>校园足球工作开展情况</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Style w:val="4"/>
          <w:rFonts w:hint="eastAsia" w:ascii="仿宋_GB2312" w:hAnsi="sans-serif" w:eastAsia="仿宋_GB2312" w:cs="仿宋_GB2312"/>
          <w:i w:val="0"/>
          <w:caps w:val="0"/>
          <w:color w:val="000000"/>
          <w:spacing w:val="0"/>
          <w:sz w:val="25"/>
          <w:szCs w:val="25"/>
        </w:rPr>
        <w:t>1.校园足球师资数量（专、兼职）。</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5"/>
          <w:szCs w:val="25"/>
        </w:rPr>
        <w:t>我区拥有15名专职足球教师，8名兼职足球教师。</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Style w:val="4"/>
          <w:rFonts w:hint="eastAsia" w:ascii="仿宋_GB2312" w:hAnsi="sans-serif" w:eastAsia="仿宋_GB2312" w:cs="仿宋_GB2312"/>
          <w:i w:val="0"/>
          <w:caps w:val="0"/>
          <w:color w:val="000000"/>
          <w:spacing w:val="0"/>
          <w:sz w:val="25"/>
          <w:szCs w:val="25"/>
        </w:rPr>
        <w:t>2.开展校园足球比赛场次、队数、人／次数（区级、校级、班级联赛）。</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自2018年以来，每年5月份，我区将开展区级足球联赛，分为小学和初中两个组别，男女各一支队伍。学校开展了校级和班级联赛。</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Style w:val="4"/>
          <w:rFonts w:hint="eastAsia" w:ascii="仿宋_GB2312" w:hAnsi="sans-serif" w:eastAsia="仿宋_GB2312" w:cs="仿宋_GB2312"/>
          <w:i w:val="0"/>
          <w:caps w:val="0"/>
          <w:color w:val="000000"/>
          <w:spacing w:val="0"/>
          <w:sz w:val="25"/>
          <w:szCs w:val="25"/>
        </w:rPr>
        <w:t>3.校园足球场地情况（新建、改扩建）。</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全区共有足球场地126块，新建、改扩建1块。</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Style w:val="4"/>
          <w:rFonts w:hint="eastAsia" w:ascii="仿宋_GB2312" w:hAnsi="sans-serif" w:eastAsia="仿宋_GB2312" w:cs="仿宋_GB2312"/>
          <w:i w:val="0"/>
          <w:caps w:val="0"/>
          <w:color w:val="000000"/>
          <w:spacing w:val="0"/>
          <w:sz w:val="25"/>
          <w:szCs w:val="25"/>
        </w:rPr>
        <w:t>4.参加师资培训情况：校长、教练员、裁判员、退役运动员（参加国家级、市级、区级培训人数）。</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 </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Style w:val="4"/>
          <w:rFonts w:hint="eastAsia" w:ascii="仿宋_GB2312" w:hAnsi="sans-serif" w:eastAsia="仿宋_GB2312" w:cs="仿宋_GB2312"/>
          <w:i w:val="0"/>
          <w:caps w:val="0"/>
          <w:color w:val="000000"/>
          <w:spacing w:val="0"/>
          <w:sz w:val="25"/>
          <w:szCs w:val="25"/>
        </w:rPr>
        <w:t>5.经费投入情况。</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全年累计投入1337万元，用于体育场地的新建、维修改造、体育器材的更新、各项体育活动的开展。</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Style w:val="4"/>
          <w:rFonts w:hint="eastAsia" w:ascii="仿宋_GB2312" w:hAnsi="sans-serif" w:eastAsia="仿宋_GB2312" w:cs="仿宋_GB2312"/>
          <w:i w:val="0"/>
          <w:caps w:val="0"/>
          <w:color w:val="000000"/>
          <w:spacing w:val="0"/>
          <w:sz w:val="25"/>
          <w:szCs w:val="25"/>
        </w:rPr>
        <w:t>6.足球特色校建设及发展情况（校园足球试点区、“满天星”训练营要突出开展情况）。</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5"/>
          <w:szCs w:val="25"/>
          <w:shd w:val="clear" w:fill="FFFFFF"/>
        </w:rPr>
        <w:t>枣庄十一中、山亭区实验幼儿园获得全国足球特色校和全国足球特色园称号，</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Style w:val="4"/>
          <w:rFonts w:hint="eastAsia" w:ascii="仿宋_GB2312" w:hAnsi="sans-serif" w:eastAsia="仿宋_GB2312" w:cs="仿宋_GB2312"/>
          <w:i w:val="0"/>
          <w:caps w:val="0"/>
          <w:color w:val="000000"/>
          <w:spacing w:val="0"/>
          <w:sz w:val="25"/>
          <w:szCs w:val="25"/>
        </w:rPr>
        <w:t>（三）学校体育场馆开放情况</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按照全民健身和合理使用有效资源的要求，在不影响学校正常教学训练秩序的前提下，山亭区职业中专科学安排场地对外开放时段，为社会大众提供体育健身活动的场所。</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Style w:val="4"/>
          <w:rFonts w:hint="eastAsia" w:ascii="仿宋_GB2312" w:hAnsi="sans-serif" w:eastAsia="仿宋_GB2312" w:cs="仿宋_GB2312"/>
          <w:i w:val="0"/>
          <w:caps w:val="0"/>
          <w:color w:val="000000"/>
          <w:spacing w:val="0"/>
          <w:sz w:val="25"/>
          <w:szCs w:val="25"/>
        </w:rPr>
        <w:t>（四）改革经验与突出成效</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1.领导重视、机构健全、管理到位。</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2.注重师资队伍建设，创建优良教学条件。</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3.加强学习，提高整体体育教师业务素质。</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4.抓好大课间及“一校一品”教学质量，推进整体素质教育，尤其是乡镇学校和村小学。</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Style w:val="4"/>
          <w:rFonts w:hint="eastAsia" w:ascii="仿宋_GB2312" w:hAnsi="sans-serif" w:eastAsia="仿宋_GB2312" w:cs="仿宋_GB2312"/>
          <w:i w:val="0"/>
          <w:caps w:val="0"/>
          <w:color w:val="000000"/>
          <w:spacing w:val="0"/>
          <w:sz w:val="25"/>
          <w:szCs w:val="25"/>
        </w:rPr>
        <w:t>（五）主要问题与分析</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5"/>
          <w:szCs w:val="25"/>
        </w:rPr>
        <w:t>1.开课随意性较大</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5"/>
          <w:szCs w:val="25"/>
        </w:rPr>
        <w:t>2.体育课教学质量没有保障</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5"/>
          <w:szCs w:val="25"/>
        </w:rPr>
        <w:t>3.经费制约因素</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5"/>
          <w:szCs w:val="25"/>
        </w:rPr>
        <w:t>4.特色活动无特色</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Style w:val="4"/>
          <w:rFonts w:hint="eastAsia" w:ascii="仿宋_GB2312" w:hAnsi="sans-serif" w:eastAsia="仿宋_GB2312" w:cs="仿宋_GB2312"/>
          <w:i w:val="0"/>
          <w:caps w:val="0"/>
          <w:color w:val="000000"/>
          <w:spacing w:val="0"/>
          <w:sz w:val="25"/>
          <w:szCs w:val="25"/>
        </w:rPr>
        <w:t>（六）下一年度发展思路与整改措施</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1.进一步开规范学校体育校本课程。</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2.加大对全区体育教师以及足球专业教练的培训</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3.加大对体育事业专项资金的投入，确保各项活动保质保量的开展。</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4.规范进一步“一校一品”的特色性。</w:t>
      </w:r>
    </w:p>
    <w:p>
      <w:pPr>
        <w:pStyle w:val="2"/>
        <w:keepNext w:val="0"/>
        <w:keepLines w:val="0"/>
        <w:widowControl/>
        <w:suppressLineNumbers w:val="0"/>
        <w:spacing w:line="372" w:lineRule="atLeast"/>
        <w:ind w:left="0" w:firstLine="516"/>
        <w:rPr>
          <w:rFonts w:hint="default" w:ascii="sans-serif" w:hAnsi="sans-serif" w:eastAsia="sans-serif" w:cs="sans-serif"/>
          <w:i w:val="0"/>
          <w:caps w:val="0"/>
          <w:color w:val="000000"/>
          <w:spacing w:val="0"/>
          <w:sz w:val="27"/>
          <w:szCs w:val="27"/>
        </w:rPr>
      </w:pPr>
      <w:r>
        <w:rPr>
          <w:rFonts w:hint="eastAsia" w:ascii="仿宋_GB2312" w:hAnsi="sans-serif" w:eastAsia="仿宋_GB2312" w:cs="仿宋_GB2312"/>
          <w:i w:val="0"/>
          <w:caps w:val="0"/>
          <w:color w:val="000000"/>
          <w:spacing w:val="0"/>
          <w:sz w:val="25"/>
          <w:szCs w:val="25"/>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D1573"/>
    <w:rsid w:val="7A4D1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2021-07-13T10:07:00Z</dcterms:created>
  <dc:creator>一木航</dc:creator>
  <cp:lastModifiedBy>一木航</cp:lastModifiedBy>
  <dcterms:modified xsi:type="dcterms:W3CDTF">2021-07-13T10:08:27Z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