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山亭区</w:t>
      </w:r>
      <w:r>
        <w:rPr>
          <w:rFonts w:hint="eastAsia" w:ascii="方正小标宋简体" w:hAnsi="方正小标宋简体" w:eastAsia="方正小标宋简体" w:cs="方正小标宋简体"/>
          <w:sz w:val="44"/>
          <w:szCs w:val="44"/>
        </w:rPr>
        <w:t>农业局随机抽查事项清单</w:t>
      </w:r>
    </w:p>
    <w:tbl>
      <w:tblPr>
        <w:tblStyle w:val="5"/>
        <w:tblW w:w="1312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2"/>
        <w:gridCol w:w="945"/>
        <w:gridCol w:w="855"/>
        <w:gridCol w:w="1095"/>
        <w:gridCol w:w="6277"/>
        <w:gridCol w:w="854"/>
        <w:gridCol w:w="1404"/>
        <w:gridCol w:w="1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6" w:hRule="atLeast"/>
          <w:jc w:val="center"/>
        </w:trPr>
        <w:tc>
          <w:tcPr>
            <w:tcW w:w="652" w:type="dxa"/>
            <w:vAlign w:val="center"/>
          </w:tcPr>
          <w:p>
            <w:pPr>
              <w:spacing w:line="360" w:lineRule="exact"/>
              <w:jc w:val="center"/>
              <w:rPr>
                <w:rFonts w:ascii="黑体" w:eastAsia="黑体"/>
                <w:sz w:val="28"/>
                <w:szCs w:val="28"/>
              </w:rPr>
            </w:pPr>
            <w:r>
              <w:rPr>
                <w:rFonts w:hint="eastAsia" w:ascii="黑体" w:eastAsia="黑体"/>
                <w:sz w:val="28"/>
                <w:szCs w:val="28"/>
              </w:rPr>
              <w:t>序号</w:t>
            </w:r>
          </w:p>
        </w:tc>
        <w:tc>
          <w:tcPr>
            <w:tcW w:w="945" w:type="dxa"/>
            <w:vAlign w:val="center"/>
          </w:tcPr>
          <w:p>
            <w:pPr>
              <w:spacing w:line="360" w:lineRule="exact"/>
              <w:jc w:val="center"/>
              <w:rPr>
                <w:rFonts w:ascii="黑体" w:eastAsia="黑体"/>
                <w:sz w:val="28"/>
                <w:szCs w:val="28"/>
              </w:rPr>
            </w:pPr>
            <w:r>
              <w:rPr>
                <w:rFonts w:hint="eastAsia" w:ascii="黑体" w:eastAsia="黑体"/>
                <w:sz w:val="28"/>
                <w:szCs w:val="28"/>
              </w:rPr>
              <w:t>抽查</w:t>
            </w:r>
            <w:r>
              <w:rPr>
                <w:rFonts w:ascii="黑体" w:eastAsia="黑体"/>
                <w:sz w:val="28"/>
                <w:szCs w:val="28"/>
              </w:rPr>
              <w:t>事项</w:t>
            </w:r>
          </w:p>
        </w:tc>
        <w:tc>
          <w:tcPr>
            <w:tcW w:w="855" w:type="dxa"/>
            <w:vAlign w:val="center"/>
          </w:tcPr>
          <w:p>
            <w:pPr>
              <w:spacing w:line="360" w:lineRule="exact"/>
              <w:jc w:val="center"/>
              <w:rPr>
                <w:rFonts w:ascii="黑体" w:eastAsia="黑体"/>
                <w:sz w:val="28"/>
                <w:szCs w:val="28"/>
              </w:rPr>
            </w:pPr>
            <w:r>
              <w:rPr>
                <w:rFonts w:hint="eastAsia" w:ascii="黑体" w:eastAsia="黑体"/>
                <w:sz w:val="28"/>
                <w:szCs w:val="28"/>
              </w:rPr>
              <w:t>抽查对象</w:t>
            </w:r>
          </w:p>
        </w:tc>
        <w:tc>
          <w:tcPr>
            <w:tcW w:w="1095" w:type="dxa"/>
            <w:vAlign w:val="center"/>
          </w:tcPr>
          <w:p>
            <w:pPr>
              <w:spacing w:line="360" w:lineRule="exact"/>
              <w:jc w:val="center"/>
              <w:rPr>
                <w:rFonts w:hint="eastAsia" w:ascii="黑体" w:eastAsia="黑体"/>
                <w:sz w:val="28"/>
                <w:szCs w:val="28"/>
              </w:rPr>
            </w:pPr>
            <w:r>
              <w:rPr>
                <w:rFonts w:hint="eastAsia" w:ascii="黑体" w:eastAsia="黑体"/>
                <w:sz w:val="28"/>
                <w:szCs w:val="28"/>
              </w:rPr>
              <w:t>抽查</w:t>
            </w:r>
            <w:r>
              <w:rPr>
                <w:rFonts w:ascii="黑体" w:eastAsia="黑体"/>
                <w:sz w:val="28"/>
                <w:szCs w:val="28"/>
              </w:rPr>
              <w:t>内容</w:t>
            </w:r>
          </w:p>
        </w:tc>
        <w:tc>
          <w:tcPr>
            <w:tcW w:w="6277" w:type="dxa"/>
            <w:vAlign w:val="center"/>
          </w:tcPr>
          <w:p>
            <w:pPr>
              <w:spacing w:line="360" w:lineRule="exact"/>
              <w:jc w:val="center"/>
              <w:rPr>
                <w:rFonts w:ascii="黑体" w:eastAsia="黑体"/>
                <w:sz w:val="28"/>
                <w:szCs w:val="28"/>
              </w:rPr>
            </w:pPr>
            <w:r>
              <w:rPr>
                <w:rFonts w:hint="eastAsia" w:ascii="黑体" w:eastAsia="黑体"/>
                <w:sz w:val="28"/>
                <w:szCs w:val="28"/>
              </w:rPr>
              <w:t>抽查</w:t>
            </w:r>
            <w:r>
              <w:rPr>
                <w:rFonts w:ascii="黑体" w:eastAsia="黑体"/>
                <w:sz w:val="28"/>
                <w:szCs w:val="28"/>
              </w:rPr>
              <w:t>依据</w:t>
            </w:r>
          </w:p>
        </w:tc>
        <w:tc>
          <w:tcPr>
            <w:tcW w:w="854" w:type="dxa"/>
            <w:vAlign w:val="center"/>
          </w:tcPr>
          <w:p>
            <w:pPr>
              <w:spacing w:line="360" w:lineRule="exact"/>
              <w:jc w:val="center"/>
              <w:rPr>
                <w:rFonts w:ascii="黑体" w:eastAsia="黑体"/>
                <w:sz w:val="28"/>
                <w:szCs w:val="28"/>
              </w:rPr>
            </w:pPr>
            <w:r>
              <w:rPr>
                <w:rFonts w:hint="eastAsia" w:ascii="黑体" w:eastAsia="黑体"/>
                <w:sz w:val="28"/>
                <w:szCs w:val="28"/>
              </w:rPr>
              <w:t>抽查方式</w:t>
            </w:r>
          </w:p>
        </w:tc>
        <w:tc>
          <w:tcPr>
            <w:tcW w:w="1404" w:type="dxa"/>
            <w:vAlign w:val="center"/>
          </w:tcPr>
          <w:p>
            <w:pPr>
              <w:spacing w:line="360" w:lineRule="exact"/>
              <w:jc w:val="center"/>
              <w:rPr>
                <w:rFonts w:ascii="黑体" w:eastAsia="黑体"/>
                <w:sz w:val="28"/>
                <w:szCs w:val="28"/>
              </w:rPr>
            </w:pPr>
            <w:r>
              <w:rPr>
                <w:rFonts w:ascii="黑体" w:eastAsia="黑体"/>
                <w:sz w:val="28"/>
                <w:szCs w:val="28"/>
              </w:rPr>
              <w:t>抽查</w:t>
            </w:r>
            <w:r>
              <w:rPr>
                <w:rFonts w:hint="eastAsia" w:ascii="黑体" w:eastAsia="黑体"/>
                <w:sz w:val="28"/>
                <w:szCs w:val="28"/>
              </w:rPr>
              <w:t>比例</w:t>
            </w:r>
            <w:r>
              <w:rPr>
                <w:rFonts w:ascii="黑体" w:eastAsia="黑体"/>
                <w:sz w:val="28"/>
                <w:szCs w:val="28"/>
              </w:rPr>
              <w:t>和</w:t>
            </w:r>
            <w:r>
              <w:rPr>
                <w:rFonts w:hint="eastAsia" w:ascii="黑体" w:eastAsia="黑体"/>
                <w:sz w:val="28"/>
                <w:szCs w:val="28"/>
              </w:rPr>
              <w:t>频次</w:t>
            </w:r>
          </w:p>
        </w:tc>
        <w:tc>
          <w:tcPr>
            <w:tcW w:w="1042" w:type="dxa"/>
            <w:vAlign w:val="center"/>
          </w:tcPr>
          <w:p>
            <w:pPr>
              <w:spacing w:line="360" w:lineRule="exact"/>
              <w:jc w:val="center"/>
              <w:rPr>
                <w:rFonts w:ascii="黑体" w:eastAsia="黑体"/>
                <w:sz w:val="28"/>
                <w:szCs w:val="28"/>
              </w:rPr>
            </w:pPr>
            <w:r>
              <w:rPr>
                <w:rFonts w:hint="eastAsia" w:ascii="黑体" w:eastAsia="黑体"/>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9" w:hRule="atLeast"/>
          <w:jc w:val="center"/>
        </w:trPr>
        <w:tc>
          <w:tcPr>
            <w:tcW w:w="652" w:type="dxa"/>
            <w:vAlign w:val="center"/>
          </w:tcPr>
          <w:p>
            <w:pPr>
              <w:jc w:val="center"/>
              <w:rPr>
                <w:rFonts w:hint="eastAsia" w:ascii="宋体" w:hAnsi="宋体" w:cs="宋体"/>
                <w:sz w:val="28"/>
                <w:szCs w:val="28"/>
              </w:rPr>
            </w:pPr>
            <w:r>
              <w:rPr>
                <w:rFonts w:hint="eastAsia" w:ascii="宋体" w:hAnsi="宋体" w:cs="宋体"/>
                <w:sz w:val="28"/>
                <w:szCs w:val="28"/>
              </w:rPr>
              <w:t>1</w:t>
            </w:r>
          </w:p>
        </w:tc>
        <w:tc>
          <w:tcPr>
            <w:tcW w:w="945" w:type="dxa"/>
            <w:vAlign w:val="center"/>
          </w:tcPr>
          <w:p>
            <w:pPr>
              <w:jc w:val="center"/>
              <w:rPr>
                <w:rFonts w:hint="eastAsia" w:ascii="宋体"/>
                <w:szCs w:val="21"/>
              </w:rPr>
            </w:pPr>
            <w:r>
              <w:rPr>
                <w:rFonts w:hint="eastAsia" w:ascii="宋体"/>
                <w:szCs w:val="21"/>
              </w:rPr>
              <w:t>农药监督抽查</w:t>
            </w:r>
          </w:p>
        </w:tc>
        <w:tc>
          <w:tcPr>
            <w:tcW w:w="855" w:type="dxa"/>
            <w:vAlign w:val="center"/>
          </w:tcPr>
          <w:p>
            <w:pPr>
              <w:jc w:val="center"/>
              <w:rPr>
                <w:rFonts w:hint="eastAsia" w:ascii="宋体"/>
                <w:szCs w:val="21"/>
              </w:rPr>
            </w:pPr>
            <w:r>
              <w:rPr>
                <w:rFonts w:hint="eastAsia" w:ascii="宋体"/>
                <w:szCs w:val="21"/>
              </w:rPr>
              <w:t>农药生产经营者</w:t>
            </w:r>
          </w:p>
        </w:tc>
        <w:tc>
          <w:tcPr>
            <w:tcW w:w="1095" w:type="dxa"/>
            <w:vAlign w:val="center"/>
          </w:tcPr>
          <w:p>
            <w:pPr>
              <w:jc w:val="center"/>
              <w:rPr>
                <w:rFonts w:hint="eastAsia" w:ascii="宋体"/>
                <w:szCs w:val="21"/>
              </w:rPr>
            </w:pPr>
            <w:r>
              <w:rPr>
                <w:rFonts w:hint="eastAsia" w:ascii="宋体"/>
                <w:szCs w:val="21"/>
              </w:rPr>
              <w:t>农药产品质量、农药登记证及产品标签</w:t>
            </w:r>
          </w:p>
        </w:tc>
        <w:tc>
          <w:tcPr>
            <w:tcW w:w="6277" w:type="dxa"/>
            <w:vAlign w:val="top"/>
          </w:tcPr>
          <w:p>
            <w:pPr>
              <w:ind w:firstLine="420" w:firstLineChars="200"/>
              <w:rPr>
                <w:rFonts w:hint="eastAsia" w:ascii="宋体"/>
                <w:szCs w:val="21"/>
              </w:rPr>
            </w:pPr>
            <w:r>
              <w:rPr>
                <w:rFonts w:hint="eastAsia" w:ascii="宋体"/>
                <w:szCs w:val="21"/>
              </w:rPr>
              <w:t>1、《中华人民共和国农产品质量安全法》（2006年4月通过）第二十二条：县级以上人民政府农业行政主管部门应当加强对农业投入品使用的管理和指导，建立健全农业投入品的安全使用制度。</w:t>
            </w:r>
          </w:p>
          <w:p>
            <w:pPr>
              <w:ind w:firstLine="420" w:firstLineChars="200"/>
              <w:rPr>
                <w:rFonts w:hint="eastAsia" w:ascii="宋体"/>
                <w:szCs w:val="21"/>
              </w:rPr>
            </w:pPr>
            <w:r>
              <w:rPr>
                <w:rFonts w:hint="eastAsia" w:ascii="宋体"/>
                <w:szCs w:val="21"/>
              </w:rPr>
              <w:t>2、《农药管理条例》（1997年5月国务院令第216号，2001年11月国务院令第326号修订）第五条：县级人民政府和设区的市、自治州人民政府的农业行政主管部门负责本行政区域内的农药监督管理工作。</w:t>
            </w:r>
          </w:p>
          <w:p>
            <w:pPr>
              <w:ind w:firstLine="420" w:firstLineChars="200"/>
              <w:rPr>
                <w:rFonts w:hint="eastAsia" w:ascii="宋体"/>
                <w:szCs w:val="21"/>
              </w:rPr>
            </w:pPr>
            <w:r>
              <w:rPr>
                <w:rFonts w:hint="eastAsia" w:ascii="宋体"/>
                <w:szCs w:val="21"/>
              </w:rPr>
              <w:t>3、《农药管理条例实施办法》（1999年7月农业部令第20号，2007年12月农业部第9号令修订）第三十二条：农业行政主管部门有权按照规定对辖区内的农药生产、经营和使用单位的农药进行定期和不定期监督、检查，必要时按照规定抽取样品和索取有关资料，有关单位和个人不得拒绝和隐瞒。</w:t>
            </w:r>
          </w:p>
        </w:tc>
        <w:tc>
          <w:tcPr>
            <w:tcW w:w="854" w:type="dxa"/>
            <w:vAlign w:val="center"/>
          </w:tcPr>
          <w:p>
            <w:pPr>
              <w:jc w:val="left"/>
              <w:rPr>
                <w:rFonts w:hint="eastAsia" w:ascii="宋体"/>
                <w:szCs w:val="21"/>
              </w:rPr>
            </w:pPr>
            <w:r>
              <w:rPr>
                <w:rFonts w:hint="eastAsia" w:ascii="宋体"/>
                <w:szCs w:val="21"/>
              </w:rPr>
              <w:t>实地核查、网络监测</w:t>
            </w:r>
          </w:p>
        </w:tc>
        <w:tc>
          <w:tcPr>
            <w:tcW w:w="1404" w:type="dxa"/>
            <w:vAlign w:val="center"/>
          </w:tcPr>
          <w:p>
            <w:pPr>
              <w:jc w:val="left"/>
              <w:rPr>
                <w:rFonts w:hint="eastAsia" w:ascii="宋体"/>
                <w:szCs w:val="21"/>
              </w:rPr>
            </w:pPr>
            <w:r>
              <w:rPr>
                <w:rFonts w:hint="eastAsia" w:ascii="宋体"/>
                <w:szCs w:val="21"/>
                <w:lang w:val="en-US" w:eastAsia="zh-CN"/>
              </w:rPr>
              <w:t xml:space="preserve"> </w:t>
            </w:r>
            <w:r>
              <w:rPr>
                <w:rFonts w:hint="eastAsia" w:ascii="宋体"/>
                <w:szCs w:val="21"/>
              </w:rPr>
              <w:t>抽查比例不低于5%</w:t>
            </w:r>
          </w:p>
        </w:tc>
        <w:tc>
          <w:tcPr>
            <w:tcW w:w="1042" w:type="dxa"/>
            <w:vAlign w:val="top"/>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8" w:hRule="atLeast"/>
          <w:jc w:val="center"/>
        </w:trPr>
        <w:tc>
          <w:tcPr>
            <w:tcW w:w="652" w:type="dxa"/>
            <w:vAlign w:val="center"/>
          </w:tcPr>
          <w:p>
            <w:pPr>
              <w:jc w:val="center"/>
              <w:rPr>
                <w:rFonts w:hint="eastAsia" w:ascii="宋体" w:hAnsi="宋体" w:cs="宋体"/>
                <w:sz w:val="28"/>
                <w:szCs w:val="28"/>
              </w:rPr>
            </w:pPr>
            <w:r>
              <w:rPr>
                <w:rFonts w:hint="eastAsia" w:ascii="宋体" w:hAnsi="宋体" w:cs="宋体"/>
                <w:sz w:val="28"/>
                <w:szCs w:val="28"/>
              </w:rPr>
              <w:t>2</w:t>
            </w:r>
          </w:p>
        </w:tc>
        <w:tc>
          <w:tcPr>
            <w:tcW w:w="945" w:type="dxa"/>
            <w:vAlign w:val="center"/>
          </w:tcPr>
          <w:p>
            <w:pPr>
              <w:jc w:val="center"/>
              <w:rPr>
                <w:rFonts w:hint="eastAsia" w:ascii="宋体"/>
                <w:szCs w:val="21"/>
              </w:rPr>
            </w:pPr>
            <w:r>
              <w:rPr>
                <w:rFonts w:hint="eastAsia" w:ascii="宋体"/>
                <w:szCs w:val="21"/>
              </w:rPr>
              <w:t>肥料</w:t>
            </w:r>
          </w:p>
          <w:p>
            <w:pPr>
              <w:jc w:val="center"/>
              <w:rPr>
                <w:rFonts w:hint="eastAsia" w:ascii="宋体"/>
                <w:szCs w:val="21"/>
              </w:rPr>
            </w:pPr>
            <w:r>
              <w:rPr>
                <w:rFonts w:hint="eastAsia" w:ascii="宋体"/>
                <w:szCs w:val="21"/>
              </w:rPr>
              <w:t>监督抽查</w:t>
            </w:r>
          </w:p>
        </w:tc>
        <w:tc>
          <w:tcPr>
            <w:tcW w:w="855" w:type="dxa"/>
            <w:vAlign w:val="center"/>
          </w:tcPr>
          <w:p>
            <w:pPr>
              <w:jc w:val="center"/>
              <w:rPr>
                <w:rFonts w:hint="eastAsia" w:ascii="宋体"/>
                <w:szCs w:val="21"/>
              </w:rPr>
            </w:pPr>
            <w:r>
              <w:rPr>
                <w:rFonts w:hint="eastAsia" w:ascii="宋体"/>
                <w:szCs w:val="21"/>
              </w:rPr>
              <w:t>肥料生产经营者</w:t>
            </w:r>
          </w:p>
        </w:tc>
        <w:tc>
          <w:tcPr>
            <w:tcW w:w="1095" w:type="dxa"/>
            <w:vAlign w:val="center"/>
          </w:tcPr>
          <w:p>
            <w:pPr>
              <w:jc w:val="center"/>
              <w:rPr>
                <w:rFonts w:hint="eastAsia" w:ascii="宋体"/>
                <w:szCs w:val="21"/>
              </w:rPr>
            </w:pPr>
            <w:r>
              <w:rPr>
                <w:rFonts w:hint="eastAsia" w:ascii="宋体"/>
                <w:szCs w:val="21"/>
              </w:rPr>
              <w:t>肥料产品质量、肥料登记证、肥料标签等</w:t>
            </w:r>
          </w:p>
        </w:tc>
        <w:tc>
          <w:tcPr>
            <w:tcW w:w="6277" w:type="dxa"/>
            <w:vAlign w:val="top"/>
          </w:tcPr>
          <w:p>
            <w:pPr>
              <w:ind w:firstLine="420" w:firstLineChars="200"/>
              <w:rPr>
                <w:rFonts w:hint="eastAsia" w:ascii="宋体"/>
                <w:szCs w:val="21"/>
              </w:rPr>
            </w:pPr>
            <w:r>
              <w:rPr>
                <w:rFonts w:hint="eastAsia" w:ascii="宋体"/>
                <w:szCs w:val="21"/>
              </w:rPr>
              <w:t>1、《中华人民共和国农产品质量安全法》（2006年4月通过）第二十二条：县级以上人民政府农业行政主管部门应当加强对农业投入品使用的管理和指导，建立健全农业投入品的安全使用制度。</w:t>
            </w:r>
          </w:p>
          <w:p>
            <w:pPr>
              <w:ind w:firstLine="420" w:firstLineChars="200"/>
              <w:rPr>
                <w:rFonts w:hint="eastAsia" w:ascii="宋体"/>
                <w:szCs w:val="21"/>
              </w:rPr>
            </w:pPr>
            <w:r>
              <w:rPr>
                <w:rFonts w:hint="eastAsia" w:ascii="宋体"/>
                <w:szCs w:val="21"/>
              </w:rPr>
              <w:t>2、《肥料登记管理办法》（2000年6月农业部令第32号，2004年7月农业部令第38号修订）第七条：县级以上地方人民政府农业行政主管部门负责本行政区域内的肥料监督管理工作。第二十五条：农业行政主管部门有权按照规定对辖区内的肥料生产、经营和使用单位的肥料进行定期或不定期监督、检查，必要时按照规定抽取样品和索取有关资料，有关单位和个人不得拒绝和隐瞒。对质量不合格的产品，要限期改进。对质量连续不合格的产品，肥料登记证有效期满后不予续展。</w:t>
            </w:r>
          </w:p>
        </w:tc>
        <w:tc>
          <w:tcPr>
            <w:tcW w:w="854" w:type="dxa"/>
            <w:vAlign w:val="center"/>
          </w:tcPr>
          <w:p>
            <w:pPr>
              <w:jc w:val="left"/>
              <w:rPr>
                <w:rFonts w:hint="eastAsia" w:ascii="宋体"/>
                <w:b/>
                <w:bCs/>
                <w:szCs w:val="21"/>
              </w:rPr>
            </w:pPr>
            <w:r>
              <w:rPr>
                <w:rFonts w:hint="eastAsia" w:ascii="宋体"/>
                <w:b/>
                <w:bCs/>
                <w:szCs w:val="21"/>
              </w:rPr>
              <w:t>实地核查、网络监测</w:t>
            </w:r>
          </w:p>
        </w:tc>
        <w:tc>
          <w:tcPr>
            <w:tcW w:w="1404" w:type="dxa"/>
            <w:vAlign w:val="center"/>
          </w:tcPr>
          <w:p>
            <w:pPr>
              <w:jc w:val="left"/>
              <w:rPr>
                <w:rFonts w:hint="eastAsia" w:ascii="宋体"/>
                <w:b/>
                <w:bCs/>
                <w:szCs w:val="21"/>
              </w:rPr>
            </w:pPr>
            <w:r>
              <w:rPr>
                <w:rFonts w:hint="eastAsia" w:ascii="宋体"/>
                <w:b/>
                <w:bCs/>
                <w:szCs w:val="21"/>
                <w:lang w:val="en-US" w:eastAsia="zh-CN"/>
              </w:rPr>
              <w:t xml:space="preserve">  </w:t>
            </w:r>
            <w:r>
              <w:rPr>
                <w:rFonts w:hint="eastAsia" w:ascii="宋体"/>
                <w:b/>
                <w:bCs/>
                <w:szCs w:val="21"/>
              </w:rPr>
              <w:t>抽查比例不低于5%</w:t>
            </w:r>
          </w:p>
        </w:tc>
        <w:tc>
          <w:tcPr>
            <w:tcW w:w="1042" w:type="dxa"/>
            <w:vAlign w:val="top"/>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4" w:hRule="atLeast"/>
          <w:jc w:val="center"/>
        </w:trPr>
        <w:tc>
          <w:tcPr>
            <w:tcW w:w="652" w:type="dxa"/>
            <w:vAlign w:val="center"/>
          </w:tcPr>
          <w:p>
            <w:pPr>
              <w:jc w:val="center"/>
              <w:rPr>
                <w:rFonts w:hint="eastAsia" w:ascii="宋体" w:hAnsi="宋体" w:cs="宋体"/>
                <w:sz w:val="28"/>
                <w:szCs w:val="28"/>
              </w:rPr>
            </w:pPr>
            <w:r>
              <w:rPr>
                <w:rFonts w:hint="eastAsia" w:ascii="宋体" w:hAnsi="宋体" w:cs="宋体"/>
                <w:sz w:val="28"/>
                <w:szCs w:val="28"/>
              </w:rPr>
              <w:t>3</w:t>
            </w:r>
          </w:p>
        </w:tc>
        <w:tc>
          <w:tcPr>
            <w:tcW w:w="945" w:type="dxa"/>
            <w:vAlign w:val="center"/>
          </w:tcPr>
          <w:p>
            <w:pPr>
              <w:jc w:val="center"/>
              <w:rPr>
                <w:rFonts w:hint="eastAsia" w:ascii="宋体"/>
                <w:szCs w:val="21"/>
              </w:rPr>
            </w:pPr>
            <w:r>
              <w:rPr>
                <w:rFonts w:hint="eastAsia" w:ascii="宋体"/>
                <w:szCs w:val="21"/>
              </w:rPr>
              <w:t>种子监督抽查</w:t>
            </w:r>
          </w:p>
        </w:tc>
        <w:tc>
          <w:tcPr>
            <w:tcW w:w="855" w:type="dxa"/>
            <w:vAlign w:val="center"/>
          </w:tcPr>
          <w:p>
            <w:pPr>
              <w:jc w:val="center"/>
              <w:rPr>
                <w:rFonts w:hint="eastAsia" w:ascii="宋体"/>
                <w:szCs w:val="21"/>
              </w:rPr>
            </w:pPr>
            <w:r>
              <w:rPr>
                <w:rFonts w:hint="eastAsia" w:ascii="宋体"/>
                <w:szCs w:val="21"/>
              </w:rPr>
              <w:t>种子生产经营者、委托生产企业、制种基地</w:t>
            </w:r>
          </w:p>
        </w:tc>
        <w:tc>
          <w:tcPr>
            <w:tcW w:w="1095" w:type="dxa"/>
            <w:vAlign w:val="center"/>
          </w:tcPr>
          <w:p>
            <w:pPr>
              <w:jc w:val="center"/>
              <w:rPr>
                <w:rFonts w:hint="eastAsia" w:ascii="宋体"/>
                <w:szCs w:val="21"/>
              </w:rPr>
            </w:pPr>
            <w:r>
              <w:rPr>
                <w:rFonts w:hint="eastAsia" w:ascii="宋体"/>
                <w:szCs w:val="21"/>
              </w:rPr>
              <w:t>种子质量、标签、主要农作物品种审定情况、非主要农作物品种登记信息、品种真实性、种子企业生产经营档案、种子生产基地书面委托生产合同、委托生产备案情况等</w:t>
            </w:r>
          </w:p>
        </w:tc>
        <w:tc>
          <w:tcPr>
            <w:tcW w:w="6277" w:type="dxa"/>
            <w:vAlign w:val="center"/>
          </w:tcPr>
          <w:p>
            <w:pPr>
              <w:ind w:firstLine="420" w:firstLineChars="200"/>
              <w:rPr>
                <w:rFonts w:hint="eastAsia" w:ascii="宋体"/>
                <w:szCs w:val="21"/>
              </w:rPr>
            </w:pPr>
            <w:r>
              <w:rPr>
                <w:rFonts w:hint="eastAsia" w:ascii="宋体"/>
                <w:szCs w:val="21"/>
              </w:rPr>
              <w:t>《中华人民共和国种子法》（2000年7月通过，2015年11月修订）第四十七条：农业、林业主管部门应当加强对种子质量的监督检查。种子质量管理办法、行业标准和检验方法，由国务院农业、林业主管部门制定。农业、林业主管部门可以采用国家规定的快速检测方法对生产经营的种子品种进行检测，检测结果可以作为行政处罚依据。第五十条：农业、林业主管部门是种子行政执法机关。种子执法人员依法执行公务时应当出示行政执法证件。农业、林业主管部门依法履行种子监督检查职责时，有权采取下列措施：（一）进入生产经营场所进行现场检查；（二）对种子进行取样测试、试验或者检验；（三）查阅、复制有关合同、票据、账簿、生产经营档案及其他有关资料；（四）查封、扣押有证据证明违法生产经营的种子，以及用于违法生产经营的工具、设备及运输工具等；（五）查封违法从事种子生产经营活动的场所。农业、林业主管部门依照本法规定行使职权，当事人应当协助、配合，不得拒绝、阻挠。农业、林业主管部门所属的综合执法机构或者受其委托的种子管理机构，可以开展种子执法相关工作。</w:t>
            </w:r>
          </w:p>
        </w:tc>
        <w:tc>
          <w:tcPr>
            <w:tcW w:w="854" w:type="dxa"/>
            <w:vAlign w:val="center"/>
          </w:tcPr>
          <w:p>
            <w:pPr>
              <w:jc w:val="left"/>
              <w:rPr>
                <w:rFonts w:hint="eastAsia" w:ascii="宋体"/>
                <w:szCs w:val="21"/>
              </w:rPr>
            </w:pPr>
            <w:r>
              <w:rPr>
                <w:rFonts w:hint="eastAsia" w:ascii="宋体"/>
                <w:szCs w:val="21"/>
              </w:rPr>
              <w:t>实地核查、网络监测</w:t>
            </w:r>
          </w:p>
        </w:tc>
        <w:tc>
          <w:tcPr>
            <w:tcW w:w="1404" w:type="dxa"/>
            <w:vAlign w:val="center"/>
          </w:tcPr>
          <w:p>
            <w:pPr>
              <w:jc w:val="left"/>
              <w:rPr>
                <w:rFonts w:hint="eastAsia" w:ascii="宋体"/>
                <w:szCs w:val="21"/>
              </w:rPr>
            </w:pPr>
            <w:r>
              <w:rPr>
                <w:rFonts w:hint="eastAsia" w:ascii="宋体"/>
                <w:szCs w:val="21"/>
                <w:lang w:val="en-US" w:eastAsia="zh-CN"/>
              </w:rPr>
              <w:t xml:space="preserve"> </w:t>
            </w:r>
            <w:r>
              <w:rPr>
                <w:rFonts w:hint="eastAsia" w:ascii="宋体"/>
                <w:szCs w:val="21"/>
              </w:rPr>
              <w:t>抽查比例不低于</w:t>
            </w:r>
            <w:bookmarkStart w:id="0" w:name="_GoBack"/>
            <w:bookmarkEnd w:id="0"/>
            <w:r>
              <w:rPr>
                <w:rFonts w:hint="eastAsia" w:ascii="宋体"/>
                <w:szCs w:val="21"/>
              </w:rPr>
              <w:t>5%</w:t>
            </w:r>
          </w:p>
        </w:tc>
        <w:tc>
          <w:tcPr>
            <w:tcW w:w="1042" w:type="dxa"/>
            <w:vAlign w:val="top"/>
          </w:tcPr>
          <w:p>
            <w:pPr>
              <w:jc w:val="center"/>
              <w:rPr>
                <w:rFonts w:ascii="宋体"/>
                <w:szCs w:val="21"/>
              </w:rPr>
            </w:pPr>
          </w:p>
        </w:tc>
      </w:tr>
    </w:tbl>
    <w:p>
      <w:pPr>
        <w:rPr>
          <w:rFonts w:hint="default"/>
          <w:lang w:val="en-US"/>
        </w:rPr>
      </w:pPr>
      <w:r>
        <w:rPr>
          <w:rFonts w:hint="eastAsia" w:ascii="宋体" w:hAnsi="宋体" w:cs="宋体"/>
          <w:sz w:val="28"/>
          <w:szCs w:val="28"/>
          <w:lang w:val="en-US" w:eastAsia="zh-CN"/>
        </w:rPr>
        <w:t xml:space="preserve"> </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587" w:right="1587" w:bottom="153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B3EE8"/>
    <w:rsid w:val="17250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2020-11-19T03:44:35Z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