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rPr>
      </w:pPr>
      <w:r>
        <w:rPr>
          <w:rFonts w:hint="eastAsia" w:ascii="黑体" w:hAnsi="黑体" w:eastAsia="黑体" w:cs="黑体"/>
          <w:sz w:val="36"/>
          <w:szCs w:val="36"/>
        </w:rPr>
        <w:t>2019年山亭区国民经济和社会发展统计公报</w:t>
      </w:r>
    </w:p>
    <w:p>
      <w:pPr>
        <w:jc w:val="cente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枣庄市山亭区统计局</w:t>
      </w:r>
    </w:p>
    <w:p>
      <w:pPr>
        <w:jc w:val="cente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2020年5月25日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全区坚持以习近平新时代中国特色社会主义思想为指导，全面贯彻党的十九大和十九届二中、三中、四中全会精神，认真落实习近平总书记对山东工作的重要指示要求，全面落实“六稳”工作要求，聚焦聚力“先把经济搞上去”，加快新旧动能转换，经济社会发展总体平稳。</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一、综合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经济运行保持稳定。</w:t>
      </w:r>
      <w:r>
        <w:rPr>
          <w:rFonts w:hint="eastAsia" w:ascii="仿宋" w:hAnsi="仿宋" w:eastAsia="仿宋" w:cs="仿宋"/>
          <w:sz w:val="32"/>
          <w:szCs w:val="32"/>
          <w:lang w:val="en-US" w:eastAsia="zh-CN"/>
        </w:rPr>
        <w:t>经市统计局统一核算，2019年全区生产总值（GDP）初步核算为113.98亿元，按可比价计算，比上年增长0.6%。其中，第一产业增加值17.64亿元，同比增长-2.4%；第二产业增加值42.79亿元，同比增长-2.2%；第三产业增加值53.55亿元，同比增长4.2%。三次产业结构由2018年的15.8:38.7:45.5调整为15.5:37.5:47，一产、二产占比下降，三产占比有所提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32"/>
          <w:szCs w:val="32"/>
          <w:lang w:val="en-US" w:eastAsia="zh-CN"/>
        </w:rPr>
      </w:pPr>
    </w:p>
    <w:p>
      <w:pPr>
        <w:numPr>
          <w:ilvl w:val="0"/>
          <w:numId w:val="0"/>
        </w:numPr>
        <w:ind w:firstLine="640"/>
        <w:jc w:val="both"/>
      </w:pPr>
      <w:r>
        <w:drawing>
          <wp:inline distT="0" distB="0" distL="114300" distR="114300">
            <wp:extent cx="2057400" cy="2248535"/>
            <wp:effectExtent l="4445" t="4445" r="14605" b="13970"/>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hint="eastAsia"/>
          <w:lang w:val="en-US" w:eastAsia="zh-CN"/>
        </w:rPr>
        <w:t xml:space="preserve">      </w:t>
      </w:r>
      <w:r>
        <w:drawing>
          <wp:inline distT="0" distB="0" distL="114300" distR="114300">
            <wp:extent cx="2181860" cy="2247900"/>
            <wp:effectExtent l="4445" t="4445" r="2349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bl>
      <w:tblPr>
        <w:tblStyle w:val="5"/>
        <w:tblpPr w:leftFromText="180" w:rightFromText="180" w:vertAnchor="text" w:horzAnchor="page" w:tblpX="2062" w:tblpY="2474"/>
        <w:tblOverlap w:val="never"/>
        <w:tblW w:w="8040" w:type="dxa"/>
        <w:tblInd w:w="0" w:type="dxa"/>
        <w:shd w:val="clear" w:color="auto" w:fill="auto"/>
        <w:tblLayout w:type="fixed"/>
        <w:tblCellMar>
          <w:top w:w="0" w:type="dxa"/>
          <w:left w:w="0" w:type="dxa"/>
          <w:bottom w:w="0" w:type="dxa"/>
          <w:right w:w="0" w:type="dxa"/>
        </w:tblCellMar>
      </w:tblPr>
      <w:tblGrid>
        <w:gridCol w:w="2680"/>
        <w:gridCol w:w="2680"/>
        <w:gridCol w:w="2680"/>
      </w:tblGrid>
      <w:tr>
        <w:tblPrEx>
          <w:shd w:val="clear" w:color="auto" w:fill="auto"/>
          <w:tblCellMar>
            <w:top w:w="0" w:type="dxa"/>
            <w:left w:w="0" w:type="dxa"/>
            <w:bottom w:w="0" w:type="dxa"/>
            <w:right w:w="0" w:type="dxa"/>
          </w:tblCellMar>
        </w:tblPrEx>
        <w:trPr>
          <w:trHeight w:val="285" w:hRule="atLeast"/>
        </w:trPr>
        <w:tc>
          <w:tcPr>
            <w:tcW w:w="2680" w:type="dxa"/>
            <w:tcBorders>
              <w:top w:val="nil"/>
              <w:left w:val="nil"/>
              <w:bottom w:val="nil"/>
              <w:right w:val="nil"/>
            </w:tcBorders>
            <w:shd w:val="clear" w:color="auto" w:fill="808080"/>
            <w:noWrap/>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left"/>
              <w:textAlignment w:val="center"/>
              <w:rPr>
                <w:rFonts w:ascii="黑体" w:hAnsi="宋体" w:eastAsia="黑体" w:cs="黑体"/>
                <w:i w:val="0"/>
                <w:color w:val="000000" w:themeColor="text1"/>
                <w:sz w:val="20"/>
                <w:szCs w:val="20"/>
                <w:u w:val="none"/>
                <w14:textFill>
                  <w14:solidFill>
                    <w14:schemeClr w14:val="tx1"/>
                  </w14:solidFill>
                </w14:textFill>
              </w:rPr>
            </w:pPr>
            <w:r>
              <w:rPr>
                <w:rFonts w:hint="eastAsia" w:ascii="黑体" w:hAnsi="宋体" w:eastAsia="黑体" w:cs="黑体"/>
                <w:i w:val="0"/>
                <w:color w:val="000000" w:themeColor="text1"/>
                <w:kern w:val="0"/>
                <w:sz w:val="20"/>
                <w:szCs w:val="20"/>
                <w:u w:val="none"/>
                <w:lang w:val="en-US" w:eastAsia="zh-CN" w:bidi="ar"/>
                <w14:textFill>
                  <w14:solidFill>
                    <w14:schemeClr w14:val="tx1"/>
                  </w14:solidFill>
                </w14:textFill>
              </w:rPr>
              <w:t>居民消费价格指数</w:t>
            </w:r>
          </w:p>
        </w:tc>
        <w:tc>
          <w:tcPr>
            <w:tcW w:w="2680" w:type="dxa"/>
            <w:vMerge w:val="restart"/>
            <w:tcBorders>
              <w:top w:val="nil"/>
              <w:left w:val="nil"/>
              <w:bottom w:val="nil"/>
              <w:right w:val="nil"/>
            </w:tcBorders>
            <w:shd w:val="clear" w:color="auto" w:fill="808080"/>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u w:val="none"/>
                <w14:textFill>
                  <w14:solidFill>
                    <w14:schemeClr w14:val="tx1"/>
                  </w14:solidFill>
                </w14:textFill>
              </w:rPr>
            </w:pPr>
            <w:r>
              <w:rPr>
                <w:rFonts w:hint="eastAsia" w:ascii="黑体" w:hAnsi="宋体" w:eastAsia="黑体" w:cs="黑体"/>
                <w:i w:val="0"/>
                <w:color w:val="000000" w:themeColor="text1"/>
                <w:kern w:val="0"/>
                <w:sz w:val="20"/>
                <w:szCs w:val="20"/>
                <w:u w:val="none"/>
                <w:lang w:val="en-US" w:eastAsia="zh-CN" w:bidi="ar"/>
                <w14:textFill>
                  <w14:solidFill>
                    <w14:schemeClr w14:val="tx1"/>
                  </w14:solidFill>
                </w14:textFill>
              </w:rPr>
              <w:t>12月</w:t>
            </w:r>
          </w:p>
        </w:tc>
        <w:tc>
          <w:tcPr>
            <w:tcW w:w="2680" w:type="dxa"/>
            <w:vMerge w:val="restart"/>
            <w:tcBorders>
              <w:top w:val="nil"/>
              <w:left w:val="nil"/>
              <w:bottom w:val="nil"/>
              <w:right w:val="nil"/>
            </w:tcBorders>
            <w:shd w:val="clear" w:color="auto" w:fill="808080"/>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0"/>
                <w:szCs w:val="20"/>
                <w:u w:val="none"/>
                <w14:textFill>
                  <w14:solidFill>
                    <w14:schemeClr w14:val="tx1"/>
                  </w14:solidFill>
                </w14:textFill>
              </w:rPr>
            </w:pPr>
            <w:r>
              <w:rPr>
                <w:rFonts w:hint="eastAsia" w:ascii="黑体" w:hAnsi="宋体" w:eastAsia="黑体" w:cs="黑体"/>
                <w:i w:val="0"/>
                <w:color w:val="000000" w:themeColor="text1"/>
                <w:kern w:val="0"/>
                <w:sz w:val="20"/>
                <w:szCs w:val="20"/>
                <w:u w:val="none"/>
                <w:lang w:val="en-US" w:eastAsia="zh-CN" w:bidi="ar"/>
                <w14:textFill>
                  <w14:solidFill>
                    <w14:schemeClr w14:val="tx1"/>
                  </w14:solidFill>
                </w14:textFill>
              </w:rPr>
              <w:t>1-12月</w:t>
            </w:r>
          </w:p>
        </w:tc>
      </w:tr>
      <w:tr>
        <w:tblPrEx>
          <w:tblCellMar>
            <w:top w:w="0" w:type="dxa"/>
            <w:left w:w="0" w:type="dxa"/>
            <w:bottom w:w="0" w:type="dxa"/>
            <w:right w:w="0" w:type="dxa"/>
          </w:tblCellMar>
        </w:tblPrEx>
        <w:trPr>
          <w:trHeight w:val="285" w:hRule="atLeast"/>
        </w:trPr>
        <w:tc>
          <w:tcPr>
            <w:tcW w:w="2680" w:type="dxa"/>
            <w:tcBorders>
              <w:top w:val="nil"/>
              <w:left w:val="nil"/>
              <w:bottom w:val="single" w:color="000000" w:sz="4" w:space="0"/>
              <w:right w:val="nil"/>
            </w:tcBorders>
            <w:shd w:val="clear" w:color="auto" w:fill="808080"/>
            <w:noWrap/>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themeColor="text1"/>
                <w:sz w:val="18"/>
                <w:szCs w:val="18"/>
                <w:u w:val="none"/>
                <w14:textFill>
                  <w14:solidFill>
                    <w14:schemeClr w14:val="tx1"/>
                  </w14:solidFill>
                </w14:textFill>
              </w:rPr>
            </w:pPr>
            <w:r>
              <w:rPr>
                <w:rFonts w:hint="eastAsia" w:ascii="黑体" w:hAnsi="宋体" w:eastAsia="黑体" w:cs="黑体"/>
                <w:i w:val="0"/>
                <w:color w:val="000000" w:themeColor="text1"/>
                <w:kern w:val="0"/>
                <w:sz w:val="18"/>
                <w:szCs w:val="18"/>
                <w:u w:val="none"/>
                <w:lang w:val="en-US" w:eastAsia="zh-CN" w:bidi="ar"/>
                <w14:textFill>
                  <w14:solidFill>
                    <w14:schemeClr w14:val="tx1"/>
                  </w14:solidFill>
                </w14:textFill>
              </w:rPr>
              <w:t>（以上年同期为100）</w:t>
            </w:r>
          </w:p>
        </w:tc>
        <w:tc>
          <w:tcPr>
            <w:tcW w:w="2680" w:type="dxa"/>
            <w:vMerge w:val="continue"/>
            <w:tcBorders>
              <w:top w:val="nil"/>
              <w:left w:val="nil"/>
              <w:bottom w:val="nil"/>
              <w:right w:val="nil"/>
            </w:tcBorders>
            <w:shd w:val="clear" w:color="auto" w:fill="808080"/>
            <w:noWrap/>
            <w:tcMar>
              <w:top w:w="15" w:type="dxa"/>
              <w:left w:w="15" w:type="dxa"/>
              <w:right w:w="15" w:type="dxa"/>
            </w:tcMar>
            <w:vAlign w:val="center"/>
          </w:tcPr>
          <w:p>
            <w:pPr>
              <w:jc w:val="center"/>
              <w:rPr>
                <w:rFonts w:hint="eastAsia" w:ascii="黑体" w:hAnsi="宋体" w:eastAsia="黑体" w:cs="黑体"/>
                <w:i w:val="0"/>
                <w:color w:val="000000" w:themeColor="text1"/>
                <w:sz w:val="20"/>
                <w:szCs w:val="20"/>
                <w:u w:val="none"/>
                <w14:textFill>
                  <w14:solidFill>
                    <w14:schemeClr w14:val="tx1"/>
                  </w14:solidFill>
                </w14:textFill>
              </w:rPr>
            </w:pPr>
          </w:p>
        </w:tc>
        <w:tc>
          <w:tcPr>
            <w:tcW w:w="2680" w:type="dxa"/>
            <w:vMerge w:val="continue"/>
            <w:tcBorders>
              <w:top w:val="nil"/>
              <w:left w:val="nil"/>
              <w:bottom w:val="nil"/>
              <w:right w:val="nil"/>
            </w:tcBorders>
            <w:shd w:val="clear" w:color="auto" w:fill="808080"/>
            <w:noWrap/>
            <w:tcMar>
              <w:top w:w="15" w:type="dxa"/>
              <w:left w:w="15" w:type="dxa"/>
              <w:right w:w="15" w:type="dxa"/>
            </w:tcMar>
            <w:vAlign w:val="center"/>
          </w:tcPr>
          <w:p>
            <w:pPr>
              <w:jc w:val="center"/>
              <w:rPr>
                <w:rFonts w:hint="eastAsia" w:ascii="黑体" w:hAnsi="宋体" w:eastAsia="黑体" w:cs="黑体"/>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36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themeColor="text1"/>
                <w:sz w:val="18"/>
                <w:szCs w:val="18"/>
                <w:u w:val="none"/>
                <w14:textFill>
                  <w14:solidFill>
                    <w14:schemeClr w14:val="tx1"/>
                  </w14:solidFill>
                </w14:textFill>
              </w:rPr>
            </w:pPr>
            <w:r>
              <w:rPr>
                <w:rFonts w:hint="eastAsia" w:ascii="黑体" w:hAnsi="宋体" w:eastAsia="黑体" w:cs="黑体"/>
                <w:i w:val="0"/>
                <w:color w:val="000000" w:themeColor="text1"/>
                <w:kern w:val="0"/>
                <w:sz w:val="18"/>
                <w:szCs w:val="18"/>
                <w:u w:val="none"/>
                <w:lang w:val="en-US" w:eastAsia="zh-CN" w:bidi="ar"/>
                <w14:textFill>
                  <w14:solidFill>
                    <w14:schemeClr w14:val="tx1"/>
                  </w14:solidFill>
                </w14:textFill>
              </w:rPr>
              <w:t>居民消费价格总指数</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105.4 </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102.9 </w:t>
            </w:r>
          </w:p>
        </w:tc>
      </w:tr>
      <w:tr>
        <w:tblPrEx>
          <w:tblCellMar>
            <w:top w:w="0" w:type="dxa"/>
            <w:left w:w="0" w:type="dxa"/>
            <w:bottom w:w="0" w:type="dxa"/>
            <w:right w:w="0" w:type="dxa"/>
          </w:tblCellMar>
        </w:tblPrEx>
        <w:trPr>
          <w:trHeight w:val="36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themeColor="text1"/>
                <w:sz w:val="18"/>
                <w:szCs w:val="18"/>
                <w:u w:val="none"/>
                <w14:textFill>
                  <w14:solidFill>
                    <w14:schemeClr w14:val="tx1"/>
                  </w14:solidFill>
                </w14:textFill>
              </w:rPr>
            </w:pPr>
            <w:r>
              <w:rPr>
                <w:rFonts w:hint="eastAsia" w:ascii="黑体" w:hAnsi="宋体" w:eastAsia="黑体" w:cs="黑体"/>
                <w:i w:val="0"/>
                <w:color w:val="000000" w:themeColor="text1"/>
                <w:kern w:val="0"/>
                <w:sz w:val="18"/>
                <w:szCs w:val="18"/>
                <w:u w:val="none"/>
                <w:lang w:val="en-US" w:eastAsia="zh-CN" w:bidi="ar"/>
                <w14:textFill>
                  <w14:solidFill>
                    <w14:schemeClr w14:val="tx1"/>
                  </w14:solidFill>
                </w14:textFill>
              </w:rPr>
              <w:t xml:space="preserve">   服务项目价格指数</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101.3 </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101.5 </w:t>
            </w:r>
          </w:p>
        </w:tc>
      </w:tr>
      <w:tr>
        <w:tblPrEx>
          <w:tblCellMar>
            <w:top w:w="0" w:type="dxa"/>
            <w:left w:w="0" w:type="dxa"/>
            <w:bottom w:w="0" w:type="dxa"/>
            <w:right w:w="0" w:type="dxa"/>
          </w:tblCellMar>
        </w:tblPrEx>
        <w:trPr>
          <w:trHeight w:val="36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themeColor="text1"/>
                <w:sz w:val="18"/>
                <w:szCs w:val="18"/>
                <w:u w:val="none"/>
                <w14:textFill>
                  <w14:solidFill>
                    <w14:schemeClr w14:val="tx1"/>
                  </w14:solidFill>
                </w14:textFill>
              </w:rPr>
            </w:pPr>
            <w:r>
              <w:rPr>
                <w:rFonts w:hint="eastAsia" w:ascii="黑体" w:hAnsi="宋体" w:eastAsia="黑体" w:cs="黑体"/>
                <w:i w:val="0"/>
                <w:color w:val="000000" w:themeColor="text1"/>
                <w:kern w:val="0"/>
                <w:sz w:val="18"/>
                <w:szCs w:val="18"/>
                <w:u w:val="none"/>
                <w:lang w:val="en-US" w:eastAsia="zh-CN" w:bidi="ar"/>
                <w14:textFill>
                  <w14:solidFill>
                    <w14:schemeClr w14:val="tx1"/>
                  </w14:solidFill>
                </w14:textFill>
              </w:rPr>
              <w:t xml:space="preserve">   消费品价格指数</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108.2 </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103.9 </w:t>
            </w:r>
          </w:p>
        </w:tc>
      </w:tr>
      <w:tr>
        <w:tblPrEx>
          <w:tblCellMar>
            <w:top w:w="0" w:type="dxa"/>
            <w:left w:w="0" w:type="dxa"/>
            <w:bottom w:w="0" w:type="dxa"/>
            <w:right w:w="0" w:type="dxa"/>
          </w:tblCellMar>
        </w:tblPrEx>
        <w:trPr>
          <w:trHeight w:val="36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食品烟酒</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114.6 </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107.0 </w:t>
            </w:r>
          </w:p>
        </w:tc>
      </w:tr>
      <w:tr>
        <w:tblPrEx>
          <w:tblCellMar>
            <w:top w:w="0" w:type="dxa"/>
            <w:left w:w="0" w:type="dxa"/>
            <w:bottom w:w="0" w:type="dxa"/>
            <w:right w:w="0" w:type="dxa"/>
          </w:tblCellMar>
        </w:tblPrEx>
        <w:trPr>
          <w:trHeight w:val="36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 xml:space="preserve">      #粮食</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101.5 </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101.0 </w:t>
            </w:r>
          </w:p>
        </w:tc>
      </w:tr>
      <w:tr>
        <w:tblPrEx>
          <w:tblCellMar>
            <w:top w:w="0" w:type="dxa"/>
            <w:left w:w="0" w:type="dxa"/>
            <w:bottom w:w="0" w:type="dxa"/>
            <w:right w:w="0" w:type="dxa"/>
          </w:tblCellMar>
        </w:tblPrEx>
        <w:trPr>
          <w:trHeight w:val="36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 xml:space="preserve">       鲜菜</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110.4 </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104.6 </w:t>
            </w:r>
          </w:p>
        </w:tc>
      </w:tr>
      <w:tr>
        <w:tblPrEx>
          <w:tblCellMar>
            <w:top w:w="0" w:type="dxa"/>
            <w:left w:w="0" w:type="dxa"/>
            <w:bottom w:w="0" w:type="dxa"/>
            <w:right w:w="0" w:type="dxa"/>
          </w:tblCellMar>
        </w:tblPrEx>
        <w:trPr>
          <w:trHeight w:val="36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衣着</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101.5 </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101.9 </w:t>
            </w:r>
          </w:p>
        </w:tc>
      </w:tr>
      <w:tr>
        <w:tblPrEx>
          <w:tblCellMar>
            <w:top w:w="0" w:type="dxa"/>
            <w:left w:w="0" w:type="dxa"/>
            <w:bottom w:w="0" w:type="dxa"/>
            <w:right w:w="0" w:type="dxa"/>
          </w:tblCellMar>
        </w:tblPrEx>
        <w:trPr>
          <w:trHeight w:val="36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居住</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100.7 </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101.3 </w:t>
            </w:r>
          </w:p>
        </w:tc>
      </w:tr>
      <w:tr>
        <w:tblPrEx>
          <w:tblCellMar>
            <w:top w:w="0" w:type="dxa"/>
            <w:left w:w="0" w:type="dxa"/>
            <w:bottom w:w="0" w:type="dxa"/>
            <w:right w:w="0" w:type="dxa"/>
          </w:tblCellMar>
        </w:tblPrEx>
        <w:trPr>
          <w:trHeight w:val="36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生活用品及服务</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100.7 </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101.8 </w:t>
            </w:r>
          </w:p>
        </w:tc>
      </w:tr>
      <w:tr>
        <w:tblPrEx>
          <w:tblCellMar>
            <w:top w:w="0" w:type="dxa"/>
            <w:left w:w="0" w:type="dxa"/>
            <w:bottom w:w="0" w:type="dxa"/>
            <w:right w:w="0" w:type="dxa"/>
          </w:tblCellMar>
        </w:tblPrEx>
        <w:trPr>
          <w:trHeight w:val="36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交通和通信</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100.4 </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98.2 </w:t>
            </w:r>
          </w:p>
        </w:tc>
      </w:tr>
      <w:tr>
        <w:tblPrEx>
          <w:tblCellMar>
            <w:top w:w="0" w:type="dxa"/>
            <w:left w:w="0" w:type="dxa"/>
            <w:bottom w:w="0" w:type="dxa"/>
            <w:right w:w="0" w:type="dxa"/>
          </w:tblCellMar>
        </w:tblPrEx>
        <w:trPr>
          <w:trHeight w:val="36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教育文化和娱乐</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102.6 </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102.3 </w:t>
            </w:r>
          </w:p>
        </w:tc>
      </w:tr>
      <w:tr>
        <w:tblPrEx>
          <w:tblCellMar>
            <w:top w:w="0" w:type="dxa"/>
            <w:left w:w="0" w:type="dxa"/>
            <w:bottom w:w="0" w:type="dxa"/>
            <w:right w:w="0" w:type="dxa"/>
          </w:tblCellMar>
        </w:tblPrEx>
        <w:trPr>
          <w:trHeight w:val="36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医疗保健</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104.0 </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102.3 </w:t>
            </w:r>
          </w:p>
        </w:tc>
      </w:tr>
      <w:tr>
        <w:tblPrEx>
          <w:tblCellMar>
            <w:top w:w="0" w:type="dxa"/>
            <w:left w:w="0" w:type="dxa"/>
            <w:bottom w:w="0" w:type="dxa"/>
            <w:right w:w="0" w:type="dxa"/>
          </w:tblCellMar>
        </w:tblPrEx>
        <w:trPr>
          <w:trHeight w:val="36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其他用品和服务</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105.3 </w:t>
            </w:r>
          </w:p>
        </w:tc>
        <w:tc>
          <w:tcPr>
            <w:tcW w:w="2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104.0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物价保持温和上涨</w:t>
      </w:r>
      <w:r>
        <w:rPr>
          <w:rFonts w:hint="eastAsia" w:ascii="仿宋" w:hAnsi="仿宋" w:eastAsia="仿宋" w:cs="仿宋"/>
          <w:color w:val="000000" w:themeColor="text1"/>
          <w:sz w:val="32"/>
          <w:szCs w:val="32"/>
          <w:lang w:val="en-US" w:eastAsia="zh-CN"/>
          <w14:textFill>
            <w14:solidFill>
              <w14:schemeClr w14:val="tx1"/>
            </w14:solidFill>
          </w14:textFill>
        </w:rPr>
        <w:t>。居民消费价格比上年上涨2.9%。其中，消费品价格上涨3.9%，服务项目价格上涨1.5%；食品价格上涨14.2%。工业生产者出厂价格下降0.9%，购进价格下降0.5%。</w:t>
      </w:r>
    </w:p>
    <w:p>
      <w:pPr>
        <w:keepNext w:val="0"/>
        <w:keepLines w:val="0"/>
        <w:pageBreakBefore w:val="0"/>
        <w:widowControl w:val="0"/>
        <w:tabs>
          <w:tab w:val="left" w:pos="666"/>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sz w:val="32"/>
          <w:szCs w:val="32"/>
        </w:rPr>
      </w:pPr>
      <w:r>
        <w:rPr>
          <w:rFonts w:hint="eastAsia" w:ascii="楷体" w:hAnsi="楷体" w:eastAsia="楷体" w:cs="楷体"/>
          <w:sz w:val="32"/>
          <w:szCs w:val="32"/>
          <w:lang w:val="en-US" w:eastAsia="zh-CN"/>
        </w:rPr>
        <w:t>人口保持平稳增长</w:t>
      </w:r>
      <w:r>
        <w:rPr>
          <w:rFonts w:hint="eastAsia" w:ascii="仿宋" w:hAnsi="仿宋" w:eastAsia="仿宋" w:cs="仿宋"/>
          <w:sz w:val="32"/>
          <w:szCs w:val="32"/>
          <w:lang w:val="en-US" w:eastAsia="zh-CN"/>
        </w:rPr>
        <w:t>。2019年全区公安户籍人口53.74万人，其中，乡村人口40.5万人，城镇人口13.24万人。</w:t>
      </w:r>
      <w:r>
        <w:rPr>
          <w:rFonts w:hint="eastAsia" w:eastAsia="仿宋"/>
          <w:sz w:val="32"/>
          <w:szCs w:val="32"/>
        </w:rPr>
        <w:t> </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24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重点战略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楷体" w:hAnsi="楷体" w:eastAsia="楷体" w:cs="楷体"/>
          <w:sz w:val="32"/>
          <w:szCs w:val="32"/>
          <w:lang w:val="en-US" w:eastAsia="zh-CN"/>
        </w:rPr>
        <w:t>经济新动能持续发力。</w:t>
      </w:r>
      <w:r>
        <w:rPr>
          <w:rFonts w:hint="eastAsia" w:ascii="仿宋" w:hAnsi="仿宋" w:eastAsia="仿宋"/>
          <w:sz w:val="32"/>
          <w:szCs w:val="32"/>
        </w:rPr>
        <w:t>10个市级重点项目完成投资93525万元，庄里水库建设项目、枣庄1000千伏特高压变电站工程等重大基础设施项目建成投产。加快新兴动能培育，高端产业快速成长，经济高质量发展后劲十足。高端化工产业实现增加值比上年增长5.67%，增速高于规模以上工业增加值5.67个百分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olor w:val="000000"/>
          <w:kern w:val="0"/>
          <w:sz w:val="32"/>
          <w:szCs w:val="32"/>
        </w:rPr>
      </w:pPr>
      <w:r>
        <w:rPr>
          <w:rFonts w:hint="eastAsia" w:ascii="楷体" w:hAnsi="楷体" w:eastAsia="楷体" w:cs="楷体"/>
          <w:sz w:val="32"/>
          <w:szCs w:val="32"/>
          <w:lang w:val="en-US" w:eastAsia="zh-CN"/>
        </w:rPr>
        <w:t>扎实推进乡村振兴。</w:t>
      </w:r>
      <w:r>
        <w:rPr>
          <w:rFonts w:hint="eastAsia" w:ascii="仿宋" w:hAnsi="仿宋" w:eastAsia="仿宋" w:cs="仿宋"/>
          <w:color w:val="000000"/>
          <w:kern w:val="0"/>
          <w:sz w:val="32"/>
          <w:szCs w:val="32"/>
        </w:rPr>
        <w:t>新创建美丽乡村示范村31个，其中新创建省级示范村2个，市级示范村18个。新建省级美丽乡村示范镇1个。</w:t>
      </w:r>
      <w:r>
        <w:rPr>
          <w:rFonts w:hint="eastAsia" w:ascii="仿宋" w:hAnsi="仿宋" w:eastAsia="仿宋" w:cs="仿宋"/>
          <w:sz w:val="32"/>
          <w:szCs w:val="32"/>
        </w:rPr>
        <w:t>134个村达到农村污水治理建设标准要求，修建“四好农村路”185公里，完成农村改厕8400户、300户以上的自然村建成公厕47个。设立青岛农业大学鲁南乡村振兴研究院。</w:t>
      </w:r>
      <w:r>
        <w:rPr>
          <w:rFonts w:hint="eastAsia" w:ascii="仿宋" w:hAnsi="仿宋" w:eastAsia="仿宋" w:cs="仿宋"/>
          <w:color w:val="000000"/>
          <w:kern w:val="0"/>
          <w:sz w:val="32"/>
          <w:szCs w:val="32"/>
        </w:rPr>
        <w:t>新增高效特色农业1万亩，新创10个市级精品特色园，引进现代高效农业招商引资项目7个，到位资金1.22亿元。</w:t>
      </w:r>
      <w:r>
        <w:rPr>
          <w:rFonts w:hint="eastAsia" w:ascii="仿宋" w:hAnsi="仿宋" w:eastAsia="仿宋" w:cs="仿宋"/>
          <w:sz w:val="32"/>
          <w:szCs w:val="32"/>
        </w:rPr>
        <w:t>新创乡村振兴齐鲁样板示范区省级1个、市级3个、区级3个</w:t>
      </w:r>
      <w:r>
        <w:rPr>
          <w:rFonts w:hint="eastAsia" w:ascii="仿宋" w:hAnsi="仿宋" w:eastAsia="仿宋" w:cs="仿宋"/>
          <w:color w:val="000000"/>
          <w:kern w:val="0"/>
          <w:sz w:val="32"/>
          <w:szCs w:val="32"/>
        </w:rPr>
        <w:t>。新增农业“新六产”示范主体省级2个，市级13个。</w:t>
      </w:r>
      <w:r>
        <w:rPr>
          <w:rFonts w:hint="eastAsia" w:ascii="仿宋" w:hAnsi="仿宋" w:eastAsia="仿宋" w:cs="仿宋"/>
          <w:sz w:val="32"/>
          <w:szCs w:val="32"/>
        </w:rPr>
        <w:t>新增新型农业经营主体157家，规模经营土地2.58万亩，48个村全部完成“消薄”任务。</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sz w:val="32"/>
          <w:szCs w:val="32"/>
        </w:rPr>
        <w:t xml:space="preserve"> </w:t>
      </w:r>
      <w:r>
        <w:rPr>
          <w:rFonts w:hint="eastAsia" w:ascii="楷体" w:hAnsi="楷体" w:eastAsia="楷体" w:cs="楷体"/>
          <w:sz w:val="32"/>
          <w:szCs w:val="32"/>
          <w:lang w:val="en-US" w:eastAsia="zh-CN"/>
        </w:rPr>
        <w:t>“双招双引”成果颇丰。</w:t>
      </w:r>
      <w:r>
        <w:rPr>
          <w:rFonts w:hint="eastAsia" w:ascii="仿宋" w:hAnsi="仿宋" w:eastAsia="仿宋" w:cs="仿宋"/>
          <w:sz w:val="32"/>
          <w:szCs w:val="32"/>
        </w:rPr>
        <w:t>成功举办智汇山亭高端人才枣庄行生态农业专场，邀请国家千人计划特聘专家14名、外国首席科学家1名、院士1名、优青1名。柔性引进5位国家千人计划特聘专家与我区企业签订协议、开展合作。实施“双招双引”突破工程，新签合同项目41个，其中亿元以上项目26个。 </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楷体" w:hAnsi="楷体" w:eastAsia="楷体" w:cs="楷体"/>
          <w:sz w:val="32"/>
          <w:szCs w:val="32"/>
          <w:lang w:val="en-US" w:eastAsia="zh-CN"/>
        </w:rPr>
        <w:t>环境质量持续改善。</w:t>
      </w:r>
      <w:r>
        <w:rPr>
          <w:rFonts w:hint="eastAsia" w:eastAsia="仿宋"/>
          <w:sz w:val="32"/>
          <w:szCs w:val="32"/>
        </w:rPr>
        <w:t> </w:t>
      </w:r>
      <w:r>
        <w:rPr>
          <w:rFonts w:hint="eastAsia"/>
          <w:lang w:val="en-US" w:eastAsia="zh-CN"/>
        </w:rPr>
        <w:t>相继开展“保卫蓝天”百日会战、自然资源和生态环境“大排查、大整治、严打击”专项行动、大气污染防治攻坚专项督查、秋冬季大气污染综合治理攻坚暨大气污染源“千人帮扶”行动等系列攻坚行动，坚持问题导向，狠抓整改落实。PM2.5、PM10平均浓度分别为62微克/立方米、98微克/立方米，二氧化硫、氮氧化物达到国家二级排放标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三、改革创新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eastAsia="仿宋"/>
          <w:sz w:val="32"/>
          <w:szCs w:val="32"/>
        </w:rPr>
        <w:t> </w:t>
      </w:r>
      <w:r>
        <w:rPr>
          <w:rFonts w:hint="eastAsia" w:ascii="楷体" w:hAnsi="楷体" w:eastAsia="楷体" w:cs="楷体"/>
          <w:sz w:val="32"/>
          <w:szCs w:val="32"/>
          <w:lang w:val="en-US" w:eastAsia="zh-CN"/>
        </w:rPr>
        <w:t>供给侧结构性改革深入。</w:t>
      </w:r>
      <w:r>
        <w:rPr>
          <w:rFonts w:hint="eastAsia" w:ascii="仿宋" w:hAnsi="仿宋" w:eastAsia="仿宋" w:cs="仿宋"/>
          <w:sz w:val="32"/>
          <w:szCs w:val="32"/>
          <w:lang w:val="en-US" w:eastAsia="zh-CN"/>
        </w:rPr>
        <w:t>全区共为10720户纳税人办理各类减免税9.5万余户次，减免各税20645万元</w:t>
      </w:r>
      <w:r>
        <w:rPr>
          <w:rFonts w:hint="eastAsia" w:ascii="仿宋" w:hAnsi="仿宋" w:eastAsia="仿宋" w:cs="仿宋"/>
          <w:sz w:val="32"/>
          <w:szCs w:val="32"/>
          <w:lang w:eastAsia="zh-CN"/>
        </w:rPr>
        <w:t>。</w:t>
      </w:r>
      <w:r>
        <w:rPr>
          <w:rFonts w:hint="eastAsia" w:ascii="仿宋" w:hAnsi="仿宋" w:eastAsia="仿宋" w:cs="Times New Roman"/>
          <w:kern w:val="2"/>
          <w:sz w:val="32"/>
          <w:szCs w:val="32"/>
          <w:lang w:val="en-US" w:eastAsia="zh-CN" w:bidi="ar"/>
        </w:rPr>
        <w:t>新登记注册各类市场主体3518户，增长12%。民营市场主体培育良好，新登记民营市场主体873户，增加36%</w:t>
      </w:r>
      <w:r>
        <w:rPr>
          <w:rFonts w:hint="eastAsia" w:ascii="仿宋" w:hAnsi="仿宋" w:eastAsia="仿宋" w:cs="仿宋"/>
          <w:sz w:val="32"/>
          <w:szCs w:val="32"/>
        </w:rPr>
        <w:t>。深化“一次办好”改革，</w:t>
      </w:r>
      <w:r>
        <w:rPr>
          <w:rFonts w:hint="eastAsia" w:ascii="仿宋" w:hAnsi="仿宋" w:eastAsia="仿宋" w:cs="仿宋"/>
          <w:sz w:val="32"/>
          <w:szCs w:val="32"/>
          <w:lang w:eastAsia="zh-CN"/>
        </w:rPr>
        <w:t>区</w:t>
      </w:r>
      <w:r>
        <w:rPr>
          <w:rFonts w:hint="eastAsia" w:ascii="仿宋" w:hAnsi="仿宋" w:eastAsia="仿宋" w:cs="仿宋"/>
          <w:sz w:val="32"/>
          <w:szCs w:val="32"/>
        </w:rPr>
        <w:t>直部门共梳理“一次办好”事项</w:t>
      </w:r>
      <w:r>
        <w:rPr>
          <w:rFonts w:hint="eastAsia" w:ascii="仿宋" w:hAnsi="仿宋" w:eastAsia="仿宋" w:cs="仿宋"/>
          <w:sz w:val="32"/>
          <w:szCs w:val="32"/>
          <w:lang w:val="en-US" w:eastAsia="zh-CN"/>
        </w:rPr>
        <w:t>779</w:t>
      </w:r>
      <w:r>
        <w:rPr>
          <w:rFonts w:hint="eastAsia" w:ascii="仿宋" w:hAnsi="仿宋" w:eastAsia="仿宋" w:cs="仿宋"/>
          <w:sz w:val="32"/>
          <w:szCs w:val="32"/>
        </w:rPr>
        <w:t>项，</w:t>
      </w:r>
      <w:r>
        <w:rPr>
          <w:rFonts w:hint="eastAsia" w:ascii="仿宋" w:hAnsi="仿宋" w:eastAsia="仿宋" w:cs="仿宋"/>
          <w:sz w:val="32"/>
          <w:szCs w:val="32"/>
          <w:lang w:eastAsia="zh-CN"/>
        </w:rPr>
        <w:t>区</w:t>
      </w:r>
      <w:r>
        <w:rPr>
          <w:rFonts w:hint="eastAsia" w:ascii="仿宋" w:hAnsi="仿宋" w:eastAsia="仿宋" w:cs="仿宋"/>
          <w:sz w:val="32"/>
          <w:szCs w:val="32"/>
        </w:rPr>
        <w:t>级行政许可事项全程网办和在线申办率达到</w:t>
      </w:r>
      <w:r>
        <w:rPr>
          <w:rFonts w:hint="eastAsia" w:ascii="仿宋" w:hAnsi="仿宋" w:eastAsia="仿宋" w:cs="仿宋"/>
          <w:sz w:val="32"/>
          <w:szCs w:val="32"/>
          <w:lang w:val="en-US" w:eastAsia="zh-CN"/>
        </w:rPr>
        <w:t>100</w:t>
      </w:r>
      <w:r>
        <w:rPr>
          <w:rFonts w:hint="eastAsia" w:ascii="仿宋" w:hAnsi="仿宋" w:eastAsia="仿宋" w:cs="仿宋"/>
          <w:sz w:val="32"/>
          <w:szCs w:val="32"/>
        </w:rPr>
        <w:t>%。农村集体产权制度改革试点实现全覆盖。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eastAsia="zh-CN"/>
        </w:rPr>
      </w:pPr>
      <w:r>
        <w:rPr>
          <w:rFonts w:hint="eastAsia" w:ascii="楷体" w:hAnsi="楷体" w:eastAsia="楷体" w:cs="楷体"/>
          <w:sz w:val="32"/>
          <w:szCs w:val="32"/>
          <w:lang w:val="en-US" w:eastAsia="zh-CN"/>
        </w:rPr>
        <w:t>创新战略深入实施。</w:t>
      </w:r>
      <w:r>
        <w:rPr>
          <w:rFonts w:hint="eastAsia" w:ascii="仿宋" w:hAnsi="仿宋" w:eastAsia="仿宋" w:cs="仿宋"/>
          <w:sz w:val="32"/>
          <w:szCs w:val="32"/>
        </w:rPr>
        <w:t>2019年新增高新技术企业11家，新增数量全市第一。先后引进乌克兰科学院院士5名，共建院士工作站6家。培育上报枣庄英才计划项目11个，两位人才入选2019年度枣庄英才；建立了由110名科技特派员组成的科技特派员队伍。依托我区与北京科技大学签订的战略协议，共建北京科技大学山亭创新研究院，成功设立“一院一中心一分会”。先后获批枣庄市技术创新中心12家、重点实验室4家，市级科技型中小企业16家，科技小巨人企业3家，莺歌食品“花生细胞分离、结构与重组”项目被列为枣庄市自主创新重大成果计划。建省级农科驿站8家，成立省级科技扶贫服务队6家</w:t>
      </w:r>
      <w:r>
        <w:rPr>
          <w:rFonts w:hint="eastAsia" w:ascii="仿宋" w:hAnsi="仿宋" w:eastAsia="仿宋" w:cs="仿宋"/>
          <w:sz w:val="32"/>
          <w:szCs w:val="32"/>
          <w:lang w:eastAsia="zh-CN"/>
        </w:rPr>
        <w:t>。</w:t>
      </w:r>
      <w:r>
        <w:rPr>
          <w:rFonts w:hint="eastAsia" w:ascii="仿宋" w:hAnsi="仿宋" w:eastAsia="仿宋" w:cs="仿宋"/>
          <w:color w:val="000000"/>
          <w:kern w:val="0"/>
          <w:sz w:val="32"/>
          <w:szCs w:val="32"/>
          <w:lang w:eastAsia="zh-CN"/>
        </w:rPr>
        <w:t>专利数量和质量进一步提高。2019年，有效发明专利117件，增长15.8%，每万人口发明专利拥有量达到2.49件，比上年提高0.34件。国内发明专利申请量140件，发明专利授权量22件，PCT国际专利申请量2件，增长100%。</w:t>
      </w:r>
    </w:p>
    <w:p>
      <w:pPr>
        <w:keepNext w:val="0"/>
        <w:keepLines w:val="0"/>
        <w:pageBreakBefore w:val="0"/>
        <w:widowControl w:val="0"/>
        <w:numPr>
          <w:ilvl w:val="0"/>
          <w:numId w:val="0"/>
        </w:numPr>
        <w:tabs>
          <w:tab w:val="left" w:pos="666"/>
        </w:tabs>
        <w:kinsoku/>
        <w:wordWrap/>
        <w:overflowPunct/>
        <w:topLinePunct w:val="0"/>
        <w:autoSpaceDE/>
        <w:autoSpaceDN/>
        <w:bidi w:val="0"/>
        <w:adjustRightInd/>
        <w:snapToGrid/>
        <w:spacing w:before="157" w:beforeLines="50" w:line="240" w:lineRule="auto"/>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四、农业</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农林牧渔业稳定发展。</w:t>
      </w:r>
      <w:r>
        <w:rPr>
          <w:rFonts w:hint="eastAsia" w:ascii="仿宋" w:hAnsi="仿宋" w:eastAsia="仿宋" w:cs="仿宋"/>
          <w:sz w:val="32"/>
          <w:szCs w:val="32"/>
          <w:lang w:val="en-US" w:eastAsia="zh-CN"/>
        </w:rPr>
        <w:t>全区实现农林牧渔业增加值19.12亿元，增长-1.8%。其中，农业增加值12.2亿元，增长6.4%；林业增加值0.2亿元，增长40%；牧业增加值4.76亿元，增长-11.0%；渔业增加值0.46亿元，增长-0.9%；农林牧渔服务业增加值1.48亿元，增长10.2%。全年农作物播种面积3.85万公顷，其中，粮食播种面积2.39万公顷，增长1.6%。粮食总产量14.0万吨，增长3.4%。其中，夏粮总产量4.96万吨，增长5.0%；秋粮总产量9.07万吨，增长2.8%。水果产量11.9万吨。受污染源清查的影响，全年肉类、禽蛋、奶产量分别为2.79万吨、1.37万吨和0.07万吨，分别增长-17.1%、-16.6%和-26.4%。年末猪出栏10.1万头，牛出栏0.2万头，羊出栏58.4万只，家禽出栏883.1万只；分别增长-46.1%、-59.0%、-16.6%、10.7%。水产品总产量0.45万吨，减少0.4%。设施农业占地面积发展到1752公顷，畜牧养殖大户发展到21家。</w:t>
      </w:r>
    </w:p>
    <w:p>
      <w:pPr>
        <w:keepNext w:val="0"/>
        <w:keepLines w:val="0"/>
        <w:pageBreakBefore w:val="0"/>
        <w:widowControl w:val="0"/>
        <w:kinsoku/>
        <w:wordWrap/>
        <w:overflowPunct/>
        <w:topLinePunct w:val="0"/>
        <w:autoSpaceDE w:val="0"/>
        <w:autoSpaceDN/>
        <w:bidi w:val="0"/>
        <w:adjustRightInd/>
        <w:snapToGrid/>
        <w:spacing w:line="480" w:lineRule="auto"/>
        <w:ind w:firstLine="562" w:firstLineChars="200"/>
        <w:jc w:val="center"/>
        <w:textAlignment w:val="auto"/>
        <w:rPr>
          <w:rFonts w:hint="eastAsia" w:ascii="仿宋" w:hAnsi="仿宋" w:eastAsia="仿宋"/>
          <w:color w:val="000000"/>
          <w:sz w:val="28"/>
          <w:szCs w:val="28"/>
        </w:rPr>
      </w:pPr>
      <w:r>
        <w:rPr>
          <w:rFonts w:hint="eastAsia" w:ascii="仿宋" w:hAnsi="仿宋" w:eastAsia="仿宋" w:cs="宋体"/>
          <w:b/>
          <w:bCs/>
          <w:color w:val="000000"/>
          <w:kern w:val="0"/>
          <w:sz w:val="28"/>
          <w:szCs w:val="28"/>
        </w:rPr>
        <w:t>主要农产品产量</w:t>
      </w:r>
    </w:p>
    <w:tbl>
      <w:tblPr>
        <w:tblStyle w:val="5"/>
        <w:tblW w:w="8522"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25"/>
        <w:gridCol w:w="2183"/>
        <w:gridCol w:w="2225"/>
        <w:gridCol w:w="188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2225" w:type="dxa"/>
            <w:tcBorders>
              <w:top w:val="single" w:color="auto" w:sz="4" w:space="0"/>
              <w:left w:val="nil"/>
              <w:bottom w:val="single" w:color="auto" w:sz="4" w:space="0"/>
              <w:right w:val="single" w:color="auto" w:sz="4" w:space="0"/>
            </w:tcBorders>
            <w:noWrap w:val="0"/>
            <w:vAlign w:val="bottom"/>
          </w:tcPr>
          <w:p>
            <w:pPr>
              <w:widowControl/>
              <w:autoSpaceDE w:val="0"/>
              <w:spacing w:line="480" w:lineRule="exact"/>
              <w:jc w:val="center"/>
              <w:rPr>
                <w:rFonts w:ascii="楷体_GB2312" w:hAnsi="宋体" w:cs="宋体"/>
                <w:color w:val="000000"/>
                <w:kern w:val="0"/>
              </w:rPr>
            </w:pPr>
            <w:r>
              <w:rPr>
                <w:rFonts w:ascii="楷体_GB2312" w:hAnsi="宋体" w:cs="宋体"/>
                <w:color w:val="000000"/>
                <w:kern w:val="0"/>
              </w:rPr>
              <w:t>产    品</w:t>
            </w:r>
          </w:p>
        </w:tc>
        <w:tc>
          <w:tcPr>
            <w:tcW w:w="2183" w:type="dxa"/>
            <w:tcBorders>
              <w:top w:val="single" w:color="auto" w:sz="4" w:space="0"/>
              <w:left w:val="single" w:color="auto" w:sz="4" w:space="0"/>
              <w:bottom w:val="single" w:color="auto" w:sz="4" w:space="0"/>
              <w:right w:val="single" w:color="auto" w:sz="4" w:space="0"/>
            </w:tcBorders>
            <w:noWrap w:val="0"/>
            <w:vAlign w:val="bottom"/>
          </w:tcPr>
          <w:p>
            <w:pPr>
              <w:autoSpaceDE w:val="0"/>
              <w:spacing w:line="480" w:lineRule="exact"/>
              <w:jc w:val="center"/>
              <w:rPr>
                <w:rFonts w:ascii="楷体_GB2312" w:hAnsi="宋体" w:cs="宋体"/>
                <w:color w:val="000000"/>
                <w:kern w:val="0"/>
              </w:rPr>
            </w:pPr>
            <w:r>
              <w:rPr>
                <w:rFonts w:ascii="楷体_GB2312" w:hAnsi="宋体" w:cs="宋体"/>
                <w:color w:val="000000"/>
                <w:kern w:val="0"/>
              </w:rPr>
              <w:t>单  位</w:t>
            </w:r>
          </w:p>
        </w:tc>
        <w:tc>
          <w:tcPr>
            <w:tcW w:w="2225" w:type="dxa"/>
            <w:tcBorders>
              <w:top w:val="single" w:color="auto" w:sz="4" w:space="0"/>
              <w:left w:val="single" w:color="auto" w:sz="4" w:space="0"/>
              <w:bottom w:val="single" w:color="auto" w:sz="4" w:space="0"/>
              <w:right w:val="single" w:color="auto" w:sz="4" w:space="0"/>
            </w:tcBorders>
            <w:noWrap w:val="0"/>
            <w:vAlign w:val="bottom"/>
          </w:tcPr>
          <w:p>
            <w:pPr>
              <w:autoSpaceDE w:val="0"/>
              <w:spacing w:line="480" w:lineRule="exact"/>
              <w:jc w:val="center"/>
              <w:rPr>
                <w:rFonts w:ascii="楷体_GB2312" w:hAnsi="宋体" w:cs="宋体"/>
                <w:color w:val="000000"/>
                <w:kern w:val="0"/>
              </w:rPr>
            </w:pPr>
            <w:r>
              <w:rPr>
                <w:rFonts w:ascii="楷体_GB2312" w:hAnsi="宋体" w:cs="宋体"/>
                <w:color w:val="000000"/>
                <w:kern w:val="0"/>
              </w:rPr>
              <w:t>产  量</w:t>
            </w:r>
          </w:p>
        </w:tc>
        <w:tc>
          <w:tcPr>
            <w:tcW w:w="1889" w:type="dxa"/>
            <w:tcBorders>
              <w:top w:val="single" w:color="auto" w:sz="4" w:space="0"/>
              <w:left w:val="single" w:color="auto" w:sz="4" w:space="0"/>
              <w:bottom w:val="single" w:color="auto" w:sz="4" w:space="0"/>
              <w:right w:val="nil"/>
            </w:tcBorders>
            <w:noWrap w:val="0"/>
            <w:vAlign w:val="bottom"/>
          </w:tcPr>
          <w:p>
            <w:pPr>
              <w:widowControl/>
              <w:autoSpaceDE w:val="0"/>
              <w:spacing w:line="480" w:lineRule="exact"/>
              <w:jc w:val="center"/>
              <w:rPr>
                <w:rFonts w:ascii="楷体_GB2312" w:hAnsi="宋体" w:cs="宋体"/>
                <w:color w:val="000000"/>
                <w:kern w:val="0"/>
              </w:rPr>
            </w:pPr>
            <w:r>
              <w:rPr>
                <w:rFonts w:ascii="楷体_GB2312" w:hAnsi="宋体" w:cs="宋体"/>
                <w:color w:val="000000"/>
                <w:kern w:val="0"/>
              </w:rPr>
              <w:t>增长（%）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2225" w:type="dxa"/>
            <w:tcBorders>
              <w:top w:val="single" w:color="auto" w:sz="4" w:space="0"/>
              <w:left w:val="nil"/>
              <w:bottom w:val="single" w:color="auto" w:sz="4" w:space="0"/>
              <w:right w:val="single" w:color="auto" w:sz="4" w:space="0"/>
            </w:tcBorders>
            <w:noWrap w:val="0"/>
            <w:vAlign w:val="top"/>
          </w:tcPr>
          <w:p>
            <w:pPr>
              <w:widowControl/>
              <w:autoSpaceDE w:val="0"/>
              <w:spacing w:line="480" w:lineRule="exact"/>
              <w:rPr>
                <w:rFonts w:ascii="宋体" w:hAnsi="宋体"/>
                <w:color w:val="000000"/>
                <w:kern w:val="0"/>
              </w:rPr>
            </w:pPr>
            <w:r>
              <w:rPr>
                <w:rFonts w:hint="eastAsia" w:ascii="宋体" w:hAnsi="宋体"/>
                <w:color w:val="000000"/>
                <w:kern w:val="0"/>
              </w:rPr>
              <w:t>粮食</w:t>
            </w:r>
          </w:p>
        </w:tc>
        <w:tc>
          <w:tcPr>
            <w:tcW w:w="2183" w:type="dxa"/>
            <w:tcBorders>
              <w:top w:val="single" w:color="auto" w:sz="4" w:space="0"/>
              <w:left w:val="single" w:color="auto" w:sz="4" w:space="0"/>
              <w:bottom w:val="single" w:color="auto" w:sz="4" w:space="0"/>
              <w:right w:val="single" w:color="auto" w:sz="4" w:space="0"/>
            </w:tcBorders>
            <w:noWrap w:val="0"/>
            <w:vAlign w:val="bottom"/>
          </w:tcPr>
          <w:p>
            <w:pPr>
              <w:widowControl/>
              <w:autoSpaceDE w:val="0"/>
              <w:spacing w:line="480" w:lineRule="exact"/>
              <w:jc w:val="center"/>
              <w:rPr>
                <w:rFonts w:ascii="宋体" w:hAnsi="宋体"/>
                <w:color w:val="000000"/>
                <w:kern w:val="0"/>
              </w:rPr>
            </w:pPr>
            <w:r>
              <w:rPr>
                <w:rFonts w:hint="eastAsia" w:ascii="宋体" w:hAnsi="宋体"/>
                <w:color w:val="000000"/>
                <w:kern w:val="0"/>
              </w:rPr>
              <w:t>万吨</w:t>
            </w:r>
          </w:p>
        </w:tc>
        <w:tc>
          <w:tcPr>
            <w:tcW w:w="2225" w:type="dxa"/>
            <w:tcBorders>
              <w:top w:val="single" w:color="auto" w:sz="4" w:space="0"/>
              <w:left w:val="single" w:color="auto" w:sz="4" w:space="0"/>
              <w:bottom w:val="single" w:color="auto" w:sz="4" w:space="0"/>
              <w:right w:val="single" w:color="auto" w:sz="4" w:space="0"/>
            </w:tcBorders>
            <w:noWrap w:val="0"/>
            <w:vAlign w:val="bottom"/>
          </w:tcPr>
          <w:p>
            <w:pPr>
              <w:widowControl/>
              <w:autoSpaceDE w:val="0"/>
              <w:spacing w:line="480" w:lineRule="exact"/>
              <w:jc w:val="right"/>
              <w:rPr>
                <w:rFonts w:ascii="宋体" w:hAnsi="宋体"/>
                <w:color w:val="000000"/>
                <w:kern w:val="0"/>
              </w:rPr>
            </w:pPr>
            <w:r>
              <w:rPr>
                <w:rFonts w:hint="eastAsia" w:ascii="宋体" w:hAnsi="宋体"/>
                <w:color w:val="000000"/>
                <w:kern w:val="0"/>
              </w:rPr>
              <w:t>14.0</w:t>
            </w:r>
          </w:p>
        </w:tc>
        <w:tc>
          <w:tcPr>
            <w:tcW w:w="1889" w:type="dxa"/>
            <w:tcBorders>
              <w:top w:val="single" w:color="auto" w:sz="4" w:space="0"/>
              <w:left w:val="single" w:color="auto" w:sz="4" w:space="0"/>
              <w:bottom w:val="single" w:color="auto" w:sz="4" w:space="0"/>
              <w:right w:val="nil"/>
            </w:tcBorders>
            <w:noWrap w:val="0"/>
            <w:vAlign w:val="bottom"/>
          </w:tcPr>
          <w:p>
            <w:pPr>
              <w:widowControl/>
              <w:autoSpaceDE w:val="0"/>
              <w:spacing w:line="480" w:lineRule="exact"/>
              <w:jc w:val="right"/>
              <w:rPr>
                <w:rFonts w:ascii="宋体" w:hAnsi="宋体"/>
                <w:color w:val="000000"/>
                <w:kern w:val="0"/>
              </w:rPr>
            </w:pPr>
            <w:r>
              <w:rPr>
                <w:rFonts w:hint="eastAsia" w:ascii="宋体" w:hAnsi="宋体"/>
                <w:color w:val="000000"/>
                <w:kern w:val="0"/>
              </w:rPr>
              <w:t>3.4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225" w:type="dxa"/>
            <w:tcBorders>
              <w:top w:val="single" w:color="auto" w:sz="4" w:space="0"/>
              <w:left w:val="nil"/>
              <w:bottom w:val="single" w:color="auto" w:sz="4" w:space="0"/>
              <w:right w:val="single" w:color="auto" w:sz="4" w:space="0"/>
            </w:tcBorders>
            <w:noWrap w:val="0"/>
            <w:vAlign w:val="top"/>
          </w:tcPr>
          <w:p>
            <w:pPr>
              <w:widowControl/>
              <w:autoSpaceDE w:val="0"/>
              <w:spacing w:line="480" w:lineRule="exact"/>
              <w:rPr>
                <w:rFonts w:ascii="宋体" w:hAnsi="宋体"/>
                <w:color w:val="000000"/>
                <w:kern w:val="0"/>
              </w:rPr>
            </w:pPr>
            <w:r>
              <w:rPr>
                <w:rFonts w:hint="eastAsia" w:ascii="宋体" w:hAnsi="宋体"/>
                <w:color w:val="000000"/>
                <w:kern w:val="0"/>
              </w:rPr>
              <w:t>棉花</w:t>
            </w:r>
          </w:p>
        </w:tc>
        <w:tc>
          <w:tcPr>
            <w:tcW w:w="2183" w:type="dxa"/>
            <w:tcBorders>
              <w:top w:val="single" w:color="auto" w:sz="4" w:space="0"/>
              <w:left w:val="single" w:color="auto" w:sz="4" w:space="0"/>
              <w:bottom w:val="single" w:color="auto" w:sz="4" w:space="0"/>
              <w:right w:val="single" w:color="auto" w:sz="4" w:space="0"/>
            </w:tcBorders>
            <w:noWrap w:val="0"/>
            <w:vAlign w:val="bottom"/>
          </w:tcPr>
          <w:p>
            <w:pPr>
              <w:widowControl/>
              <w:autoSpaceDE w:val="0"/>
              <w:spacing w:line="480" w:lineRule="exact"/>
              <w:jc w:val="center"/>
              <w:rPr>
                <w:rFonts w:ascii="宋体" w:hAnsi="宋体"/>
                <w:color w:val="000000"/>
                <w:kern w:val="0"/>
              </w:rPr>
            </w:pPr>
            <w:r>
              <w:rPr>
                <w:rFonts w:hint="eastAsia" w:ascii="宋体" w:hAnsi="宋体"/>
                <w:color w:val="000000"/>
                <w:kern w:val="0"/>
              </w:rPr>
              <w:t>吨</w:t>
            </w:r>
          </w:p>
        </w:tc>
        <w:tc>
          <w:tcPr>
            <w:tcW w:w="2225" w:type="dxa"/>
            <w:tcBorders>
              <w:top w:val="single" w:color="auto" w:sz="4" w:space="0"/>
              <w:left w:val="single" w:color="auto" w:sz="4" w:space="0"/>
              <w:bottom w:val="single" w:color="auto" w:sz="4" w:space="0"/>
              <w:right w:val="single" w:color="auto" w:sz="4" w:space="0"/>
            </w:tcBorders>
            <w:noWrap w:val="0"/>
            <w:vAlign w:val="bottom"/>
          </w:tcPr>
          <w:p>
            <w:pPr>
              <w:widowControl/>
              <w:autoSpaceDE w:val="0"/>
              <w:spacing w:line="480" w:lineRule="exact"/>
              <w:jc w:val="right"/>
              <w:rPr>
                <w:rFonts w:ascii="宋体" w:hAnsi="宋体"/>
                <w:color w:val="000000"/>
                <w:kern w:val="0"/>
              </w:rPr>
            </w:pPr>
            <w:r>
              <w:rPr>
                <w:rFonts w:hint="eastAsia" w:ascii="宋体" w:hAnsi="宋体"/>
                <w:color w:val="000000"/>
                <w:kern w:val="0"/>
              </w:rPr>
              <w:t>763</w:t>
            </w:r>
          </w:p>
        </w:tc>
        <w:tc>
          <w:tcPr>
            <w:tcW w:w="1889" w:type="dxa"/>
            <w:tcBorders>
              <w:top w:val="single" w:color="auto" w:sz="4" w:space="0"/>
              <w:left w:val="single" w:color="auto" w:sz="4" w:space="0"/>
              <w:bottom w:val="single" w:color="auto" w:sz="4" w:space="0"/>
              <w:right w:val="nil"/>
            </w:tcBorders>
            <w:noWrap w:val="0"/>
            <w:vAlign w:val="bottom"/>
          </w:tcPr>
          <w:p>
            <w:pPr>
              <w:widowControl/>
              <w:autoSpaceDE w:val="0"/>
              <w:spacing w:line="480" w:lineRule="exact"/>
              <w:jc w:val="right"/>
              <w:rPr>
                <w:rFonts w:ascii="宋体" w:hAnsi="宋体"/>
                <w:color w:val="000000"/>
                <w:kern w:val="0"/>
              </w:rPr>
            </w:pPr>
            <w:r>
              <w:rPr>
                <w:rFonts w:hint="eastAsia" w:ascii="宋体" w:hAnsi="宋体"/>
                <w:color w:val="000000"/>
                <w:kern w:val="0"/>
              </w:rPr>
              <w:t>-8.8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225" w:type="dxa"/>
            <w:tcBorders>
              <w:top w:val="single" w:color="auto" w:sz="4" w:space="0"/>
              <w:left w:val="nil"/>
              <w:bottom w:val="single" w:color="auto" w:sz="4" w:space="0"/>
              <w:right w:val="single" w:color="auto" w:sz="4" w:space="0"/>
            </w:tcBorders>
            <w:noWrap w:val="0"/>
            <w:vAlign w:val="top"/>
          </w:tcPr>
          <w:p>
            <w:pPr>
              <w:widowControl/>
              <w:autoSpaceDE w:val="0"/>
              <w:spacing w:line="480" w:lineRule="exact"/>
              <w:rPr>
                <w:rFonts w:ascii="宋体" w:hAnsi="宋体"/>
                <w:color w:val="000000"/>
                <w:kern w:val="0"/>
              </w:rPr>
            </w:pPr>
            <w:r>
              <w:rPr>
                <w:rFonts w:hint="eastAsia" w:ascii="宋体" w:hAnsi="宋体"/>
                <w:color w:val="000000"/>
                <w:kern w:val="0"/>
              </w:rPr>
              <w:t>油料</w:t>
            </w:r>
          </w:p>
        </w:tc>
        <w:tc>
          <w:tcPr>
            <w:tcW w:w="2183" w:type="dxa"/>
            <w:tcBorders>
              <w:top w:val="single" w:color="auto" w:sz="4" w:space="0"/>
              <w:left w:val="single" w:color="auto" w:sz="4" w:space="0"/>
              <w:bottom w:val="single" w:color="auto" w:sz="4" w:space="0"/>
              <w:right w:val="single" w:color="auto" w:sz="4" w:space="0"/>
            </w:tcBorders>
            <w:noWrap w:val="0"/>
            <w:vAlign w:val="bottom"/>
          </w:tcPr>
          <w:p>
            <w:pPr>
              <w:widowControl/>
              <w:autoSpaceDE w:val="0"/>
              <w:spacing w:line="480" w:lineRule="exact"/>
              <w:jc w:val="center"/>
              <w:rPr>
                <w:rFonts w:ascii="宋体" w:hAnsi="宋体"/>
                <w:color w:val="000000"/>
                <w:kern w:val="0"/>
              </w:rPr>
            </w:pPr>
            <w:r>
              <w:rPr>
                <w:rFonts w:hint="eastAsia" w:ascii="宋体" w:hAnsi="宋体"/>
                <w:color w:val="000000"/>
                <w:kern w:val="0"/>
              </w:rPr>
              <w:t>万吨</w:t>
            </w:r>
          </w:p>
        </w:tc>
        <w:tc>
          <w:tcPr>
            <w:tcW w:w="2225" w:type="dxa"/>
            <w:tcBorders>
              <w:top w:val="single" w:color="auto" w:sz="4" w:space="0"/>
              <w:left w:val="single" w:color="auto" w:sz="4" w:space="0"/>
              <w:bottom w:val="single" w:color="auto" w:sz="4" w:space="0"/>
              <w:right w:val="single" w:color="auto" w:sz="4" w:space="0"/>
            </w:tcBorders>
            <w:noWrap w:val="0"/>
            <w:vAlign w:val="bottom"/>
          </w:tcPr>
          <w:p>
            <w:pPr>
              <w:widowControl/>
              <w:autoSpaceDE w:val="0"/>
              <w:spacing w:line="480" w:lineRule="exact"/>
              <w:jc w:val="right"/>
              <w:rPr>
                <w:rFonts w:ascii="宋体" w:hAnsi="宋体"/>
                <w:color w:val="000000"/>
                <w:kern w:val="0"/>
              </w:rPr>
            </w:pPr>
            <w:r>
              <w:rPr>
                <w:rFonts w:hint="eastAsia" w:ascii="宋体" w:hAnsi="宋体"/>
                <w:color w:val="000000"/>
                <w:kern w:val="0"/>
              </w:rPr>
              <w:t>2.36</w:t>
            </w:r>
          </w:p>
        </w:tc>
        <w:tc>
          <w:tcPr>
            <w:tcW w:w="1889" w:type="dxa"/>
            <w:tcBorders>
              <w:top w:val="single" w:color="auto" w:sz="4" w:space="0"/>
              <w:left w:val="single" w:color="auto" w:sz="4" w:space="0"/>
              <w:bottom w:val="single" w:color="auto" w:sz="4" w:space="0"/>
              <w:right w:val="nil"/>
            </w:tcBorders>
            <w:noWrap w:val="0"/>
            <w:vAlign w:val="bottom"/>
          </w:tcPr>
          <w:p>
            <w:pPr>
              <w:widowControl/>
              <w:autoSpaceDE w:val="0"/>
              <w:spacing w:line="480" w:lineRule="exact"/>
              <w:jc w:val="right"/>
              <w:rPr>
                <w:rFonts w:ascii="宋体" w:hAnsi="宋体"/>
                <w:color w:val="000000"/>
                <w:kern w:val="0"/>
              </w:rPr>
            </w:pPr>
            <w:r>
              <w:rPr>
                <w:rFonts w:hint="eastAsia" w:ascii="宋体" w:hAnsi="宋体"/>
                <w:color w:val="000000"/>
                <w:kern w:val="0"/>
              </w:rPr>
              <w:t>-0.4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225" w:type="dxa"/>
            <w:tcBorders>
              <w:top w:val="single" w:color="auto" w:sz="4" w:space="0"/>
              <w:left w:val="nil"/>
              <w:bottom w:val="single" w:color="auto" w:sz="4" w:space="0"/>
              <w:right w:val="single" w:color="auto" w:sz="4" w:space="0"/>
            </w:tcBorders>
            <w:noWrap w:val="0"/>
            <w:vAlign w:val="top"/>
          </w:tcPr>
          <w:p>
            <w:pPr>
              <w:widowControl/>
              <w:autoSpaceDE w:val="0"/>
              <w:spacing w:line="480" w:lineRule="exact"/>
              <w:rPr>
                <w:rFonts w:ascii="宋体" w:hAnsi="宋体"/>
                <w:color w:val="000000"/>
                <w:kern w:val="0"/>
              </w:rPr>
            </w:pPr>
            <w:r>
              <w:rPr>
                <w:rFonts w:hint="eastAsia" w:ascii="宋体" w:hAnsi="宋体"/>
                <w:color w:val="000000"/>
                <w:kern w:val="0"/>
              </w:rPr>
              <w:t>蔬菜</w:t>
            </w:r>
          </w:p>
        </w:tc>
        <w:tc>
          <w:tcPr>
            <w:tcW w:w="2183" w:type="dxa"/>
            <w:tcBorders>
              <w:top w:val="single" w:color="auto" w:sz="4" w:space="0"/>
              <w:left w:val="single" w:color="auto" w:sz="4" w:space="0"/>
              <w:bottom w:val="single" w:color="auto" w:sz="4" w:space="0"/>
              <w:right w:val="single" w:color="auto" w:sz="4" w:space="0"/>
            </w:tcBorders>
            <w:noWrap w:val="0"/>
            <w:vAlign w:val="bottom"/>
          </w:tcPr>
          <w:p>
            <w:pPr>
              <w:widowControl/>
              <w:autoSpaceDE w:val="0"/>
              <w:spacing w:line="480" w:lineRule="exact"/>
              <w:jc w:val="center"/>
              <w:rPr>
                <w:rFonts w:ascii="宋体" w:hAnsi="宋体"/>
                <w:color w:val="000000"/>
                <w:kern w:val="0"/>
              </w:rPr>
            </w:pPr>
            <w:r>
              <w:rPr>
                <w:rFonts w:hint="eastAsia" w:ascii="宋体" w:hAnsi="宋体"/>
                <w:color w:val="000000"/>
                <w:kern w:val="0"/>
              </w:rPr>
              <w:t>万吨</w:t>
            </w:r>
          </w:p>
        </w:tc>
        <w:tc>
          <w:tcPr>
            <w:tcW w:w="2225" w:type="dxa"/>
            <w:tcBorders>
              <w:top w:val="single" w:color="auto" w:sz="4" w:space="0"/>
              <w:left w:val="single" w:color="auto" w:sz="4" w:space="0"/>
              <w:bottom w:val="single" w:color="auto" w:sz="4" w:space="0"/>
              <w:right w:val="single" w:color="auto" w:sz="4" w:space="0"/>
            </w:tcBorders>
            <w:noWrap w:val="0"/>
            <w:vAlign w:val="bottom"/>
          </w:tcPr>
          <w:p>
            <w:pPr>
              <w:widowControl/>
              <w:autoSpaceDE w:val="0"/>
              <w:spacing w:line="480" w:lineRule="exact"/>
              <w:jc w:val="right"/>
              <w:rPr>
                <w:rFonts w:ascii="宋体" w:hAnsi="宋体"/>
                <w:color w:val="000000"/>
                <w:kern w:val="0"/>
              </w:rPr>
            </w:pPr>
            <w:r>
              <w:rPr>
                <w:rFonts w:hint="eastAsia" w:ascii="宋体" w:hAnsi="宋体"/>
                <w:color w:val="000000"/>
                <w:kern w:val="0"/>
              </w:rPr>
              <w:t>17.9</w:t>
            </w:r>
          </w:p>
        </w:tc>
        <w:tc>
          <w:tcPr>
            <w:tcW w:w="1889" w:type="dxa"/>
            <w:tcBorders>
              <w:top w:val="single" w:color="auto" w:sz="4" w:space="0"/>
              <w:left w:val="single" w:color="auto" w:sz="4" w:space="0"/>
              <w:bottom w:val="single" w:color="auto" w:sz="4" w:space="0"/>
              <w:right w:val="nil"/>
            </w:tcBorders>
            <w:noWrap w:val="0"/>
            <w:vAlign w:val="bottom"/>
          </w:tcPr>
          <w:p>
            <w:pPr>
              <w:widowControl/>
              <w:autoSpaceDE w:val="0"/>
              <w:spacing w:line="480" w:lineRule="exact"/>
              <w:jc w:val="right"/>
              <w:rPr>
                <w:rFonts w:ascii="宋体" w:hAnsi="宋体"/>
                <w:color w:val="000000"/>
                <w:kern w:val="0"/>
              </w:rPr>
            </w:pPr>
            <w:r>
              <w:rPr>
                <w:rFonts w:hint="eastAsia" w:ascii="宋体" w:hAnsi="宋体"/>
                <w:color w:val="000000"/>
                <w:kern w:val="0"/>
              </w:rPr>
              <w:t>10.4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225" w:type="dxa"/>
            <w:tcBorders>
              <w:top w:val="single" w:color="auto" w:sz="4" w:space="0"/>
              <w:left w:val="nil"/>
              <w:bottom w:val="single" w:color="auto" w:sz="4" w:space="0"/>
              <w:right w:val="single" w:color="auto" w:sz="4" w:space="0"/>
            </w:tcBorders>
            <w:noWrap w:val="0"/>
            <w:vAlign w:val="top"/>
          </w:tcPr>
          <w:p>
            <w:pPr>
              <w:widowControl/>
              <w:autoSpaceDE w:val="0"/>
              <w:spacing w:line="480" w:lineRule="exact"/>
              <w:rPr>
                <w:rFonts w:ascii="宋体" w:hAnsi="宋体"/>
                <w:color w:val="000000"/>
                <w:kern w:val="0"/>
              </w:rPr>
            </w:pPr>
            <w:r>
              <w:rPr>
                <w:rFonts w:hint="eastAsia" w:ascii="宋体" w:hAnsi="宋体"/>
                <w:color w:val="000000"/>
                <w:kern w:val="0"/>
              </w:rPr>
              <w:t>瓜类</w:t>
            </w:r>
          </w:p>
        </w:tc>
        <w:tc>
          <w:tcPr>
            <w:tcW w:w="2183" w:type="dxa"/>
            <w:tcBorders>
              <w:top w:val="single" w:color="auto" w:sz="4" w:space="0"/>
              <w:left w:val="single" w:color="auto" w:sz="4" w:space="0"/>
              <w:bottom w:val="single" w:color="auto" w:sz="4" w:space="0"/>
              <w:right w:val="single" w:color="auto" w:sz="4" w:space="0"/>
            </w:tcBorders>
            <w:noWrap w:val="0"/>
            <w:vAlign w:val="bottom"/>
          </w:tcPr>
          <w:p>
            <w:pPr>
              <w:widowControl/>
              <w:autoSpaceDE w:val="0"/>
              <w:spacing w:line="480" w:lineRule="exact"/>
              <w:jc w:val="center"/>
              <w:rPr>
                <w:rFonts w:ascii="宋体" w:hAnsi="宋体"/>
                <w:color w:val="000000"/>
                <w:kern w:val="0"/>
              </w:rPr>
            </w:pPr>
            <w:r>
              <w:rPr>
                <w:rFonts w:hint="eastAsia" w:ascii="宋体" w:hAnsi="宋体"/>
                <w:color w:val="000000"/>
                <w:kern w:val="0"/>
              </w:rPr>
              <w:t>万吨</w:t>
            </w:r>
          </w:p>
        </w:tc>
        <w:tc>
          <w:tcPr>
            <w:tcW w:w="2225" w:type="dxa"/>
            <w:tcBorders>
              <w:top w:val="single" w:color="auto" w:sz="4" w:space="0"/>
              <w:left w:val="single" w:color="auto" w:sz="4" w:space="0"/>
              <w:bottom w:val="single" w:color="auto" w:sz="4" w:space="0"/>
              <w:right w:val="single" w:color="auto" w:sz="4" w:space="0"/>
            </w:tcBorders>
            <w:noWrap w:val="0"/>
            <w:vAlign w:val="bottom"/>
          </w:tcPr>
          <w:p>
            <w:pPr>
              <w:widowControl/>
              <w:autoSpaceDE w:val="0"/>
              <w:spacing w:line="480" w:lineRule="exact"/>
              <w:jc w:val="right"/>
              <w:rPr>
                <w:rFonts w:ascii="宋体" w:hAnsi="宋体"/>
                <w:color w:val="000000"/>
                <w:kern w:val="0"/>
              </w:rPr>
            </w:pPr>
            <w:r>
              <w:rPr>
                <w:rFonts w:hint="eastAsia" w:ascii="宋体" w:hAnsi="宋体"/>
                <w:color w:val="000000"/>
                <w:kern w:val="0"/>
              </w:rPr>
              <w:t>1.14</w:t>
            </w:r>
          </w:p>
        </w:tc>
        <w:tc>
          <w:tcPr>
            <w:tcW w:w="1889" w:type="dxa"/>
            <w:tcBorders>
              <w:top w:val="single" w:color="auto" w:sz="4" w:space="0"/>
              <w:left w:val="single" w:color="auto" w:sz="4" w:space="0"/>
              <w:bottom w:val="single" w:color="auto" w:sz="4" w:space="0"/>
              <w:right w:val="nil"/>
            </w:tcBorders>
            <w:noWrap w:val="0"/>
            <w:vAlign w:val="bottom"/>
          </w:tcPr>
          <w:p>
            <w:pPr>
              <w:widowControl/>
              <w:autoSpaceDE w:val="0"/>
              <w:spacing w:line="480" w:lineRule="exact"/>
              <w:jc w:val="right"/>
              <w:rPr>
                <w:rFonts w:ascii="宋体" w:hAnsi="宋体"/>
                <w:color w:val="000000"/>
                <w:kern w:val="0"/>
              </w:rPr>
            </w:pPr>
            <w:r>
              <w:rPr>
                <w:rFonts w:hint="eastAsia" w:ascii="宋体" w:hAnsi="宋体"/>
                <w:color w:val="000000"/>
                <w:kern w:val="0"/>
              </w:rPr>
              <w:t>-19.1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225" w:type="dxa"/>
            <w:tcBorders>
              <w:top w:val="single" w:color="auto" w:sz="4" w:space="0"/>
              <w:left w:val="nil"/>
              <w:bottom w:val="single" w:color="auto" w:sz="4" w:space="0"/>
              <w:right w:val="single" w:color="auto" w:sz="4" w:space="0"/>
            </w:tcBorders>
            <w:noWrap w:val="0"/>
            <w:vAlign w:val="top"/>
          </w:tcPr>
          <w:p>
            <w:pPr>
              <w:widowControl/>
              <w:autoSpaceDE w:val="0"/>
              <w:spacing w:line="480" w:lineRule="exact"/>
              <w:rPr>
                <w:rFonts w:ascii="宋体" w:hAnsi="宋体"/>
                <w:color w:val="000000"/>
                <w:kern w:val="0"/>
              </w:rPr>
            </w:pPr>
            <w:r>
              <w:rPr>
                <w:rFonts w:hint="eastAsia" w:ascii="宋体" w:hAnsi="宋体"/>
                <w:color w:val="000000"/>
                <w:kern w:val="0"/>
              </w:rPr>
              <w:t>水果</w:t>
            </w:r>
          </w:p>
        </w:tc>
        <w:tc>
          <w:tcPr>
            <w:tcW w:w="2183" w:type="dxa"/>
            <w:tcBorders>
              <w:top w:val="single" w:color="auto" w:sz="4" w:space="0"/>
              <w:left w:val="single" w:color="auto" w:sz="4" w:space="0"/>
              <w:bottom w:val="single" w:color="auto" w:sz="4" w:space="0"/>
              <w:right w:val="single" w:color="auto" w:sz="4" w:space="0"/>
            </w:tcBorders>
            <w:noWrap w:val="0"/>
            <w:vAlign w:val="bottom"/>
          </w:tcPr>
          <w:p>
            <w:pPr>
              <w:widowControl/>
              <w:autoSpaceDE w:val="0"/>
              <w:spacing w:line="480" w:lineRule="exact"/>
              <w:jc w:val="center"/>
              <w:rPr>
                <w:rFonts w:ascii="宋体" w:hAnsi="宋体"/>
                <w:color w:val="000000"/>
                <w:kern w:val="0"/>
              </w:rPr>
            </w:pPr>
            <w:r>
              <w:rPr>
                <w:rFonts w:hint="eastAsia" w:ascii="宋体" w:hAnsi="宋体"/>
                <w:color w:val="000000"/>
                <w:kern w:val="0"/>
              </w:rPr>
              <w:t>万吨</w:t>
            </w:r>
          </w:p>
        </w:tc>
        <w:tc>
          <w:tcPr>
            <w:tcW w:w="2225" w:type="dxa"/>
            <w:tcBorders>
              <w:top w:val="single" w:color="auto" w:sz="4" w:space="0"/>
              <w:left w:val="single" w:color="auto" w:sz="4" w:space="0"/>
              <w:bottom w:val="single" w:color="auto" w:sz="4" w:space="0"/>
              <w:right w:val="single" w:color="auto" w:sz="4" w:space="0"/>
            </w:tcBorders>
            <w:noWrap w:val="0"/>
            <w:vAlign w:val="bottom"/>
          </w:tcPr>
          <w:p>
            <w:pPr>
              <w:widowControl/>
              <w:autoSpaceDE w:val="0"/>
              <w:spacing w:line="480" w:lineRule="exact"/>
              <w:jc w:val="right"/>
              <w:rPr>
                <w:rFonts w:ascii="宋体" w:hAnsi="宋体"/>
                <w:color w:val="000000"/>
                <w:kern w:val="0"/>
              </w:rPr>
            </w:pPr>
            <w:r>
              <w:rPr>
                <w:rFonts w:hint="eastAsia" w:ascii="宋体" w:hAnsi="宋体"/>
                <w:color w:val="000000"/>
                <w:kern w:val="0"/>
              </w:rPr>
              <w:t>11.9</w:t>
            </w:r>
          </w:p>
        </w:tc>
        <w:tc>
          <w:tcPr>
            <w:tcW w:w="1889" w:type="dxa"/>
            <w:tcBorders>
              <w:top w:val="single" w:color="auto" w:sz="4" w:space="0"/>
              <w:left w:val="single" w:color="auto" w:sz="4" w:space="0"/>
              <w:bottom w:val="single" w:color="auto" w:sz="4" w:space="0"/>
              <w:right w:val="nil"/>
            </w:tcBorders>
            <w:noWrap w:val="0"/>
            <w:vAlign w:val="bottom"/>
          </w:tcPr>
          <w:p>
            <w:pPr>
              <w:widowControl/>
              <w:autoSpaceDE w:val="0"/>
              <w:spacing w:line="480" w:lineRule="exact"/>
              <w:jc w:val="right"/>
              <w:rPr>
                <w:rFonts w:ascii="宋体" w:hAnsi="宋体"/>
                <w:color w:val="000000"/>
                <w:kern w:val="0"/>
              </w:rPr>
            </w:pPr>
            <w:r>
              <w:rPr>
                <w:rFonts w:hint="eastAsia" w:ascii="宋体" w:hAnsi="宋体"/>
                <w:color w:val="000000"/>
                <w:kern w:val="0"/>
              </w:rPr>
              <w:t>5.3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225" w:type="dxa"/>
            <w:tcBorders>
              <w:top w:val="single" w:color="auto" w:sz="4" w:space="0"/>
              <w:left w:val="nil"/>
              <w:bottom w:val="single" w:color="auto" w:sz="4" w:space="0"/>
              <w:right w:val="single" w:color="auto" w:sz="4" w:space="0"/>
            </w:tcBorders>
            <w:noWrap w:val="0"/>
            <w:vAlign w:val="top"/>
          </w:tcPr>
          <w:p>
            <w:pPr>
              <w:widowControl/>
              <w:autoSpaceDE w:val="0"/>
              <w:spacing w:line="480" w:lineRule="exact"/>
              <w:rPr>
                <w:rFonts w:ascii="宋体" w:hAnsi="宋体"/>
                <w:color w:val="000000"/>
                <w:kern w:val="0"/>
              </w:rPr>
            </w:pPr>
            <w:r>
              <w:rPr>
                <w:rFonts w:ascii="仿宋_GB2312"/>
                <w:color w:val="000000"/>
              </w:rPr>
              <w:t>生猪出栏</w:t>
            </w:r>
          </w:p>
        </w:tc>
        <w:tc>
          <w:tcPr>
            <w:tcW w:w="2183" w:type="dxa"/>
            <w:tcBorders>
              <w:top w:val="single" w:color="auto" w:sz="4" w:space="0"/>
              <w:left w:val="single" w:color="auto" w:sz="4" w:space="0"/>
              <w:bottom w:val="single" w:color="auto" w:sz="4" w:space="0"/>
              <w:right w:val="single" w:color="auto" w:sz="4" w:space="0"/>
            </w:tcBorders>
            <w:noWrap w:val="0"/>
            <w:vAlign w:val="bottom"/>
          </w:tcPr>
          <w:p>
            <w:pPr>
              <w:widowControl/>
              <w:autoSpaceDE w:val="0"/>
              <w:spacing w:line="480" w:lineRule="exact"/>
              <w:jc w:val="center"/>
              <w:rPr>
                <w:rFonts w:ascii="宋体" w:hAnsi="宋体"/>
                <w:color w:val="000000"/>
                <w:kern w:val="0"/>
              </w:rPr>
            </w:pPr>
            <w:r>
              <w:rPr>
                <w:rFonts w:hint="eastAsia" w:ascii="宋体" w:hAnsi="宋体"/>
                <w:color w:val="000000"/>
                <w:kern w:val="0"/>
              </w:rPr>
              <w:t>万头</w:t>
            </w:r>
          </w:p>
        </w:tc>
        <w:tc>
          <w:tcPr>
            <w:tcW w:w="2225" w:type="dxa"/>
            <w:tcBorders>
              <w:top w:val="single" w:color="auto" w:sz="4" w:space="0"/>
              <w:left w:val="single" w:color="auto" w:sz="4" w:space="0"/>
              <w:bottom w:val="single" w:color="auto" w:sz="4" w:space="0"/>
              <w:right w:val="single" w:color="auto" w:sz="4" w:space="0"/>
            </w:tcBorders>
            <w:noWrap w:val="0"/>
            <w:vAlign w:val="bottom"/>
          </w:tcPr>
          <w:p>
            <w:pPr>
              <w:widowControl/>
              <w:autoSpaceDE w:val="0"/>
              <w:spacing w:line="480" w:lineRule="exact"/>
              <w:jc w:val="right"/>
              <w:rPr>
                <w:rFonts w:ascii="宋体" w:hAnsi="宋体"/>
                <w:color w:val="000000"/>
                <w:kern w:val="0"/>
              </w:rPr>
            </w:pPr>
            <w:r>
              <w:rPr>
                <w:rFonts w:hint="eastAsia" w:ascii="宋体" w:hAnsi="宋体"/>
                <w:color w:val="000000"/>
                <w:kern w:val="0"/>
              </w:rPr>
              <w:t>10.1</w:t>
            </w:r>
          </w:p>
        </w:tc>
        <w:tc>
          <w:tcPr>
            <w:tcW w:w="1889" w:type="dxa"/>
            <w:tcBorders>
              <w:top w:val="single" w:color="auto" w:sz="4" w:space="0"/>
              <w:left w:val="single" w:color="auto" w:sz="4" w:space="0"/>
              <w:bottom w:val="single" w:color="auto" w:sz="4" w:space="0"/>
              <w:right w:val="nil"/>
            </w:tcBorders>
            <w:noWrap w:val="0"/>
            <w:vAlign w:val="bottom"/>
          </w:tcPr>
          <w:p>
            <w:pPr>
              <w:widowControl/>
              <w:autoSpaceDE w:val="0"/>
              <w:spacing w:line="480" w:lineRule="exact"/>
              <w:jc w:val="right"/>
              <w:rPr>
                <w:rFonts w:ascii="宋体" w:hAnsi="宋体"/>
                <w:color w:val="000000"/>
                <w:kern w:val="0"/>
              </w:rPr>
            </w:pPr>
            <w:r>
              <w:rPr>
                <w:rFonts w:hint="eastAsia" w:ascii="宋体" w:hAnsi="宋体"/>
                <w:color w:val="000000"/>
                <w:kern w:val="0"/>
              </w:rPr>
              <w:t>-46.1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225" w:type="dxa"/>
            <w:tcBorders>
              <w:top w:val="single" w:color="auto" w:sz="4" w:space="0"/>
              <w:left w:val="nil"/>
              <w:bottom w:val="single" w:color="auto" w:sz="4" w:space="0"/>
              <w:right w:val="single" w:color="auto" w:sz="4" w:space="0"/>
            </w:tcBorders>
            <w:noWrap w:val="0"/>
            <w:vAlign w:val="top"/>
          </w:tcPr>
          <w:p>
            <w:pPr>
              <w:widowControl/>
              <w:autoSpaceDE w:val="0"/>
              <w:spacing w:line="480" w:lineRule="exact"/>
              <w:rPr>
                <w:rFonts w:ascii="宋体" w:hAnsi="宋体"/>
                <w:color w:val="000000"/>
                <w:kern w:val="0"/>
              </w:rPr>
            </w:pPr>
            <w:r>
              <w:rPr>
                <w:rFonts w:ascii="仿宋_GB2312"/>
                <w:color w:val="000000"/>
              </w:rPr>
              <w:t>家禽出栏</w:t>
            </w:r>
          </w:p>
        </w:tc>
        <w:tc>
          <w:tcPr>
            <w:tcW w:w="2183" w:type="dxa"/>
            <w:tcBorders>
              <w:top w:val="single" w:color="auto" w:sz="4" w:space="0"/>
              <w:left w:val="single" w:color="auto" w:sz="4" w:space="0"/>
              <w:bottom w:val="single" w:color="auto" w:sz="4" w:space="0"/>
              <w:right w:val="single" w:color="auto" w:sz="4" w:space="0"/>
            </w:tcBorders>
            <w:noWrap w:val="0"/>
            <w:vAlign w:val="bottom"/>
          </w:tcPr>
          <w:p>
            <w:pPr>
              <w:widowControl/>
              <w:autoSpaceDE w:val="0"/>
              <w:spacing w:line="480" w:lineRule="exact"/>
              <w:jc w:val="center"/>
              <w:rPr>
                <w:rFonts w:ascii="宋体" w:hAnsi="宋体"/>
                <w:color w:val="000000"/>
                <w:kern w:val="0"/>
              </w:rPr>
            </w:pPr>
            <w:r>
              <w:rPr>
                <w:rFonts w:hint="eastAsia" w:ascii="宋体" w:hAnsi="宋体"/>
                <w:color w:val="000000"/>
                <w:kern w:val="0"/>
              </w:rPr>
              <w:t>万只</w:t>
            </w:r>
          </w:p>
        </w:tc>
        <w:tc>
          <w:tcPr>
            <w:tcW w:w="2225" w:type="dxa"/>
            <w:tcBorders>
              <w:top w:val="single" w:color="auto" w:sz="4" w:space="0"/>
              <w:left w:val="single" w:color="auto" w:sz="4" w:space="0"/>
              <w:bottom w:val="single" w:color="auto" w:sz="4" w:space="0"/>
              <w:right w:val="single" w:color="auto" w:sz="4" w:space="0"/>
            </w:tcBorders>
            <w:noWrap w:val="0"/>
            <w:vAlign w:val="bottom"/>
          </w:tcPr>
          <w:p>
            <w:pPr>
              <w:widowControl/>
              <w:autoSpaceDE w:val="0"/>
              <w:spacing w:line="480" w:lineRule="exact"/>
              <w:jc w:val="right"/>
              <w:rPr>
                <w:rFonts w:ascii="宋体" w:hAnsi="宋体"/>
                <w:color w:val="000000"/>
                <w:kern w:val="0"/>
              </w:rPr>
            </w:pPr>
            <w:r>
              <w:rPr>
                <w:rFonts w:hint="eastAsia" w:ascii="宋体" w:hAnsi="宋体"/>
                <w:color w:val="000000"/>
                <w:kern w:val="0"/>
              </w:rPr>
              <w:t>883.1</w:t>
            </w:r>
          </w:p>
        </w:tc>
        <w:tc>
          <w:tcPr>
            <w:tcW w:w="1889" w:type="dxa"/>
            <w:tcBorders>
              <w:top w:val="single" w:color="auto" w:sz="4" w:space="0"/>
              <w:left w:val="single" w:color="auto" w:sz="4" w:space="0"/>
              <w:bottom w:val="single" w:color="auto" w:sz="4" w:space="0"/>
              <w:right w:val="nil"/>
            </w:tcBorders>
            <w:noWrap w:val="0"/>
            <w:vAlign w:val="bottom"/>
          </w:tcPr>
          <w:p>
            <w:pPr>
              <w:widowControl/>
              <w:autoSpaceDE w:val="0"/>
              <w:spacing w:line="480" w:lineRule="exact"/>
              <w:jc w:val="right"/>
              <w:rPr>
                <w:rFonts w:ascii="宋体" w:hAnsi="宋体"/>
                <w:color w:val="000000"/>
                <w:kern w:val="0"/>
              </w:rPr>
            </w:pPr>
            <w:r>
              <w:rPr>
                <w:rFonts w:hint="eastAsia" w:ascii="宋体" w:hAnsi="宋体"/>
                <w:color w:val="000000"/>
                <w:kern w:val="0"/>
              </w:rPr>
              <w:t>10.7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225" w:type="dxa"/>
            <w:tcBorders>
              <w:top w:val="single" w:color="auto" w:sz="4" w:space="0"/>
              <w:left w:val="nil"/>
              <w:bottom w:val="single" w:color="auto" w:sz="4" w:space="0"/>
              <w:right w:val="single" w:color="auto" w:sz="4" w:space="0"/>
            </w:tcBorders>
            <w:noWrap w:val="0"/>
            <w:vAlign w:val="top"/>
          </w:tcPr>
          <w:p>
            <w:pPr>
              <w:widowControl/>
              <w:autoSpaceDE w:val="0"/>
              <w:spacing w:line="480" w:lineRule="exact"/>
              <w:rPr>
                <w:rFonts w:ascii="宋体" w:hAnsi="宋体"/>
                <w:color w:val="000000"/>
                <w:kern w:val="0"/>
              </w:rPr>
            </w:pPr>
            <w:r>
              <w:rPr>
                <w:rFonts w:ascii="仿宋_GB2312"/>
                <w:color w:val="000000"/>
              </w:rPr>
              <w:t>肉类</w:t>
            </w:r>
          </w:p>
        </w:tc>
        <w:tc>
          <w:tcPr>
            <w:tcW w:w="2183" w:type="dxa"/>
            <w:tcBorders>
              <w:top w:val="single" w:color="auto" w:sz="4" w:space="0"/>
              <w:left w:val="single" w:color="auto" w:sz="4" w:space="0"/>
              <w:bottom w:val="single" w:color="auto" w:sz="4" w:space="0"/>
              <w:right w:val="single" w:color="auto" w:sz="4" w:space="0"/>
            </w:tcBorders>
            <w:noWrap w:val="0"/>
            <w:vAlign w:val="bottom"/>
          </w:tcPr>
          <w:p>
            <w:pPr>
              <w:widowControl/>
              <w:autoSpaceDE w:val="0"/>
              <w:spacing w:line="480" w:lineRule="exact"/>
              <w:jc w:val="center"/>
              <w:rPr>
                <w:rFonts w:ascii="宋体" w:hAnsi="宋体"/>
                <w:color w:val="000000"/>
                <w:kern w:val="0"/>
              </w:rPr>
            </w:pPr>
            <w:r>
              <w:rPr>
                <w:rFonts w:hint="eastAsia" w:ascii="宋体" w:hAnsi="宋体"/>
                <w:color w:val="000000"/>
                <w:kern w:val="0"/>
              </w:rPr>
              <w:t>万吨</w:t>
            </w:r>
          </w:p>
        </w:tc>
        <w:tc>
          <w:tcPr>
            <w:tcW w:w="2225" w:type="dxa"/>
            <w:tcBorders>
              <w:top w:val="single" w:color="auto" w:sz="4" w:space="0"/>
              <w:left w:val="single" w:color="auto" w:sz="4" w:space="0"/>
              <w:bottom w:val="single" w:color="auto" w:sz="4" w:space="0"/>
              <w:right w:val="single" w:color="auto" w:sz="4" w:space="0"/>
            </w:tcBorders>
            <w:noWrap w:val="0"/>
            <w:vAlign w:val="bottom"/>
          </w:tcPr>
          <w:p>
            <w:pPr>
              <w:widowControl/>
              <w:autoSpaceDE w:val="0"/>
              <w:spacing w:line="480" w:lineRule="exact"/>
              <w:jc w:val="right"/>
              <w:rPr>
                <w:rFonts w:ascii="宋体" w:hAnsi="宋体"/>
                <w:color w:val="000000"/>
                <w:kern w:val="0"/>
              </w:rPr>
            </w:pPr>
            <w:r>
              <w:rPr>
                <w:rFonts w:hint="eastAsia" w:ascii="宋体" w:hAnsi="宋体"/>
                <w:color w:val="000000"/>
                <w:kern w:val="0"/>
              </w:rPr>
              <w:t>2.79</w:t>
            </w:r>
          </w:p>
        </w:tc>
        <w:tc>
          <w:tcPr>
            <w:tcW w:w="1889" w:type="dxa"/>
            <w:tcBorders>
              <w:top w:val="single" w:color="auto" w:sz="4" w:space="0"/>
              <w:left w:val="single" w:color="auto" w:sz="4" w:space="0"/>
              <w:bottom w:val="single" w:color="auto" w:sz="4" w:space="0"/>
              <w:right w:val="nil"/>
            </w:tcBorders>
            <w:noWrap w:val="0"/>
            <w:vAlign w:val="bottom"/>
          </w:tcPr>
          <w:p>
            <w:pPr>
              <w:widowControl/>
              <w:autoSpaceDE w:val="0"/>
              <w:spacing w:line="480" w:lineRule="exact"/>
              <w:jc w:val="right"/>
              <w:rPr>
                <w:rFonts w:ascii="宋体" w:hAnsi="宋体"/>
                <w:color w:val="000000"/>
                <w:kern w:val="0"/>
              </w:rPr>
            </w:pPr>
            <w:r>
              <w:rPr>
                <w:rFonts w:hint="eastAsia" w:ascii="宋体" w:hAnsi="宋体"/>
                <w:color w:val="000000"/>
                <w:kern w:val="0"/>
              </w:rPr>
              <w:t>-17.1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225" w:type="dxa"/>
            <w:tcBorders>
              <w:top w:val="single" w:color="auto" w:sz="4" w:space="0"/>
              <w:left w:val="nil"/>
              <w:bottom w:val="single" w:color="auto" w:sz="4" w:space="0"/>
              <w:right w:val="single" w:color="auto" w:sz="4" w:space="0"/>
            </w:tcBorders>
            <w:noWrap w:val="0"/>
            <w:vAlign w:val="top"/>
          </w:tcPr>
          <w:p>
            <w:pPr>
              <w:widowControl/>
              <w:autoSpaceDE w:val="0"/>
              <w:spacing w:line="480" w:lineRule="exact"/>
              <w:rPr>
                <w:rFonts w:ascii="宋体" w:hAnsi="宋体"/>
                <w:color w:val="000000"/>
                <w:kern w:val="0"/>
              </w:rPr>
            </w:pPr>
            <w:r>
              <w:rPr>
                <w:rFonts w:ascii="仿宋_GB2312"/>
                <w:color w:val="000000"/>
              </w:rPr>
              <w:t>禽蛋</w:t>
            </w:r>
          </w:p>
        </w:tc>
        <w:tc>
          <w:tcPr>
            <w:tcW w:w="2183" w:type="dxa"/>
            <w:tcBorders>
              <w:top w:val="single" w:color="auto" w:sz="4" w:space="0"/>
              <w:left w:val="single" w:color="auto" w:sz="4" w:space="0"/>
              <w:bottom w:val="single" w:color="auto" w:sz="4" w:space="0"/>
              <w:right w:val="single" w:color="auto" w:sz="4" w:space="0"/>
            </w:tcBorders>
            <w:noWrap w:val="0"/>
            <w:vAlign w:val="bottom"/>
          </w:tcPr>
          <w:p>
            <w:pPr>
              <w:widowControl/>
              <w:autoSpaceDE w:val="0"/>
              <w:spacing w:line="480" w:lineRule="exact"/>
              <w:jc w:val="center"/>
              <w:rPr>
                <w:rFonts w:ascii="宋体" w:hAnsi="宋体"/>
                <w:color w:val="000000"/>
                <w:kern w:val="0"/>
              </w:rPr>
            </w:pPr>
            <w:r>
              <w:rPr>
                <w:rFonts w:hint="eastAsia" w:ascii="宋体" w:hAnsi="宋体"/>
                <w:color w:val="000000"/>
                <w:kern w:val="0"/>
              </w:rPr>
              <w:t>万吨</w:t>
            </w:r>
          </w:p>
        </w:tc>
        <w:tc>
          <w:tcPr>
            <w:tcW w:w="2225" w:type="dxa"/>
            <w:tcBorders>
              <w:top w:val="single" w:color="auto" w:sz="4" w:space="0"/>
              <w:left w:val="single" w:color="auto" w:sz="4" w:space="0"/>
              <w:bottom w:val="single" w:color="auto" w:sz="4" w:space="0"/>
              <w:right w:val="single" w:color="auto" w:sz="4" w:space="0"/>
            </w:tcBorders>
            <w:noWrap w:val="0"/>
            <w:vAlign w:val="bottom"/>
          </w:tcPr>
          <w:p>
            <w:pPr>
              <w:widowControl/>
              <w:autoSpaceDE w:val="0"/>
              <w:spacing w:line="480" w:lineRule="exact"/>
              <w:jc w:val="right"/>
              <w:rPr>
                <w:rFonts w:ascii="宋体" w:hAnsi="宋体"/>
                <w:color w:val="000000"/>
                <w:kern w:val="0"/>
              </w:rPr>
            </w:pPr>
            <w:r>
              <w:rPr>
                <w:rFonts w:hint="eastAsia" w:ascii="宋体" w:hAnsi="宋体"/>
                <w:color w:val="000000"/>
                <w:kern w:val="0"/>
              </w:rPr>
              <w:t>1.37</w:t>
            </w:r>
          </w:p>
        </w:tc>
        <w:tc>
          <w:tcPr>
            <w:tcW w:w="1889" w:type="dxa"/>
            <w:tcBorders>
              <w:top w:val="single" w:color="auto" w:sz="4" w:space="0"/>
              <w:left w:val="single" w:color="auto" w:sz="4" w:space="0"/>
              <w:bottom w:val="single" w:color="auto" w:sz="4" w:space="0"/>
              <w:right w:val="nil"/>
            </w:tcBorders>
            <w:noWrap w:val="0"/>
            <w:vAlign w:val="bottom"/>
          </w:tcPr>
          <w:p>
            <w:pPr>
              <w:widowControl/>
              <w:autoSpaceDE w:val="0"/>
              <w:spacing w:line="480" w:lineRule="exact"/>
              <w:jc w:val="right"/>
              <w:rPr>
                <w:rFonts w:ascii="宋体" w:hAnsi="宋体"/>
                <w:color w:val="000000"/>
                <w:kern w:val="0"/>
              </w:rPr>
            </w:pPr>
            <w:r>
              <w:rPr>
                <w:rFonts w:hint="eastAsia" w:ascii="宋体" w:hAnsi="宋体"/>
                <w:color w:val="000000"/>
                <w:kern w:val="0"/>
              </w:rPr>
              <w:t>-16.6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225" w:type="dxa"/>
            <w:tcBorders>
              <w:top w:val="single" w:color="auto" w:sz="4" w:space="0"/>
              <w:left w:val="nil"/>
              <w:bottom w:val="single" w:color="auto" w:sz="4" w:space="0"/>
              <w:right w:val="single" w:color="auto" w:sz="4" w:space="0"/>
            </w:tcBorders>
            <w:noWrap w:val="0"/>
            <w:vAlign w:val="top"/>
          </w:tcPr>
          <w:p>
            <w:pPr>
              <w:widowControl/>
              <w:autoSpaceDE w:val="0"/>
              <w:spacing w:line="480" w:lineRule="exact"/>
              <w:rPr>
                <w:rFonts w:ascii="宋体" w:hAnsi="宋体"/>
                <w:color w:val="000000"/>
                <w:kern w:val="0"/>
              </w:rPr>
            </w:pPr>
            <w:r>
              <w:rPr>
                <w:rFonts w:ascii="仿宋_GB2312"/>
                <w:color w:val="000000"/>
              </w:rPr>
              <w:t>奶类</w:t>
            </w:r>
          </w:p>
        </w:tc>
        <w:tc>
          <w:tcPr>
            <w:tcW w:w="2183" w:type="dxa"/>
            <w:tcBorders>
              <w:top w:val="single" w:color="auto" w:sz="4" w:space="0"/>
              <w:left w:val="single" w:color="auto" w:sz="4" w:space="0"/>
              <w:bottom w:val="single" w:color="auto" w:sz="4" w:space="0"/>
              <w:right w:val="single" w:color="auto" w:sz="4" w:space="0"/>
            </w:tcBorders>
            <w:noWrap w:val="0"/>
            <w:vAlign w:val="bottom"/>
          </w:tcPr>
          <w:p>
            <w:pPr>
              <w:widowControl/>
              <w:autoSpaceDE w:val="0"/>
              <w:spacing w:line="480" w:lineRule="exact"/>
              <w:jc w:val="center"/>
              <w:rPr>
                <w:rFonts w:ascii="宋体" w:hAnsi="宋体"/>
                <w:color w:val="000000"/>
                <w:kern w:val="0"/>
              </w:rPr>
            </w:pPr>
            <w:r>
              <w:rPr>
                <w:rFonts w:hint="eastAsia" w:ascii="宋体" w:hAnsi="宋体"/>
                <w:color w:val="000000"/>
                <w:kern w:val="0"/>
              </w:rPr>
              <w:t>万吨</w:t>
            </w:r>
          </w:p>
        </w:tc>
        <w:tc>
          <w:tcPr>
            <w:tcW w:w="2225" w:type="dxa"/>
            <w:tcBorders>
              <w:top w:val="single" w:color="auto" w:sz="4" w:space="0"/>
              <w:left w:val="single" w:color="auto" w:sz="4" w:space="0"/>
              <w:bottom w:val="single" w:color="auto" w:sz="4" w:space="0"/>
              <w:right w:val="single" w:color="auto" w:sz="4" w:space="0"/>
            </w:tcBorders>
            <w:noWrap w:val="0"/>
            <w:vAlign w:val="bottom"/>
          </w:tcPr>
          <w:p>
            <w:pPr>
              <w:widowControl/>
              <w:autoSpaceDE w:val="0"/>
              <w:spacing w:line="480" w:lineRule="exact"/>
              <w:jc w:val="right"/>
              <w:rPr>
                <w:rFonts w:ascii="宋体" w:hAnsi="宋体"/>
                <w:color w:val="000000"/>
                <w:kern w:val="0"/>
              </w:rPr>
            </w:pPr>
            <w:r>
              <w:rPr>
                <w:rFonts w:hint="eastAsia" w:ascii="宋体" w:hAnsi="宋体"/>
                <w:color w:val="000000"/>
                <w:kern w:val="0"/>
              </w:rPr>
              <w:t>0.07</w:t>
            </w:r>
          </w:p>
        </w:tc>
        <w:tc>
          <w:tcPr>
            <w:tcW w:w="1889" w:type="dxa"/>
            <w:tcBorders>
              <w:top w:val="single" w:color="auto" w:sz="4" w:space="0"/>
              <w:left w:val="single" w:color="auto" w:sz="4" w:space="0"/>
              <w:bottom w:val="single" w:color="auto" w:sz="4" w:space="0"/>
              <w:right w:val="nil"/>
            </w:tcBorders>
            <w:noWrap w:val="0"/>
            <w:vAlign w:val="bottom"/>
          </w:tcPr>
          <w:p>
            <w:pPr>
              <w:widowControl/>
              <w:autoSpaceDE w:val="0"/>
              <w:spacing w:line="480" w:lineRule="exact"/>
              <w:jc w:val="right"/>
              <w:rPr>
                <w:rFonts w:ascii="宋体" w:hAnsi="宋体"/>
                <w:color w:val="000000"/>
                <w:kern w:val="0"/>
              </w:rPr>
            </w:pPr>
            <w:r>
              <w:rPr>
                <w:rFonts w:hint="eastAsia" w:ascii="宋体" w:hAnsi="宋体"/>
                <w:color w:val="000000"/>
                <w:kern w:val="0"/>
              </w:rPr>
              <w:t>-26.4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225" w:type="dxa"/>
            <w:tcBorders>
              <w:top w:val="single" w:color="auto" w:sz="4" w:space="0"/>
              <w:left w:val="nil"/>
              <w:bottom w:val="single" w:color="auto" w:sz="4" w:space="0"/>
              <w:right w:val="single" w:color="auto" w:sz="4" w:space="0"/>
            </w:tcBorders>
            <w:noWrap w:val="0"/>
            <w:vAlign w:val="top"/>
          </w:tcPr>
          <w:p>
            <w:pPr>
              <w:widowControl/>
              <w:autoSpaceDE w:val="0"/>
              <w:spacing w:line="480" w:lineRule="exact"/>
              <w:rPr>
                <w:rFonts w:ascii="宋体" w:hAnsi="宋体"/>
                <w:color w:val="000000"/>
                <w:kern w:val="0"/>
              </w:rPr>
            </w:pPr>
            <w:r>
              <w:rPr>
                <w:rFonts w:ascii="仿宋_GB2312"/>
                <w:color w:val="000000"/>
              </w:rPr>
              <w:t>水产品</w:t>
            </w:r>
          </w:p>
        </w:tc>
        <w:tc>
          <w:tcPr>
            <w:tcW w:w="2183" w:type="dxa"/>
            <w:tcBorders>
              <w:top w:val="single" w:color="auto" w:sz="4" w:space="0"/>
              <w:left w:val="single" w:color="auto" w:sz="4" w:space="0"/>
              <w:bottom w:val="single" w:color="auto" w:sz="4" w:space="0"/>
              <w:right w:val="single" w:color="auto" w:sz="4" w:space="0"/>
            </w:tcBorders>
            <w:noWrap w:val="0"/>
            <w:vAlign w:val="bottom"/>
          </w:tcPr>
          <w:p>
            <w:pPr>
              <w:widowControl/>
              <w:autoSpaceDE w:val="0"/>
              <w:spacing w:line="480" w:lineRule="exact"/>
              <w:jc w:val="center"/>
              <w:rPr>
                <w:rFonts w:ascii="宋体" w:hAnsi="宋体"/>
                <w:color w:val="000000"/>
                <w:kern w:val="0"/>
              </w:rPr>
            </w:pPr>
            <w:r>
              <w:rPr>
                <w:rFonts w:hint="eastAsia" w:ascii="宋体" w:hAnsi="宋体"/>
                <w:color w:val="000000"/>
                <w:kern w:val="0"/>
              </w:rPr>
              <w:t>万吨</w:t>
            </w:r>
          </w:p>
        </w:tc>
        <w:tc>
          <w:tcPr>
            <w:tcW w:w="2225" w:type="dxa"/>
            <w:tcBorders>
              <w:top w:val="single" w:color="auto" w:sz="4" w:space="0"/>
              <w:left w:val="single" w:color="auto" w:sz="4" w:space="0"/>
              <w:bottom w:val="single" w:color="auto" w:sz="4" w:space="0"/>
              <w:right w:val="single" w:color="auto" w:sz="4" w:space="0"/>
            </w:tcBorders>
            <w:noWrap w:val="0"/>
            <w:vAlign w:val="bottom"/>
          </w:tcPr>
          <w:p>
            <w:pPr>
              <w:widowControl/>
              <w:autoSpaceDE w:val="0"/>
              <w:spacing w:line="480" w:lineRule="exact"/>
              <w:jc w:val="right"/>
              <w:rPr>
                <w:rFonts w:ascii="宋体" w:hAnsi="宋体"/>
                <w:color w:val="000000"/>
                <w:kern w:val="0"/>
              </w:rPr>
            </w:pPr>
            <w:r>
              <w:rPr>
                <w:rFonts w:hint="eastAsia" w:ascii="宋体" w:hAnsi="宋体"/>
                <w:color w:val="000000"/>
                <w:kern w:val="0"/>
              </w:rPr>
              <w:t>0.45</w:t>
            </w:r>
          </w:p>
        </w:tc>
        <w:tc>
          <w:tcPr>
            <w:tcW w:w="1889" w:type="dxa"/>
            <w:tcBorders>
              <w:top w:val="single" w:color="auto" w:sz="4" w:space="0"/>
              <w:left w:val="single" w:color="auto" w:sz="4" w:space="0"/>
              <w:bottom w:val="single" w:color="auto" w:sz="4" w:space="0"/>
              <w:right w:val="nil"/>
            </w:tcBorders>
            <w:noWrap w:val="0"/>
            <w:vAlign w:val="bottom"/>
          </w:tcPr>
          <w:p>
            <w:pPr>
              <w:widowControl/>
              <w:autoSpaceDE w:val="0"/>
              <w:spacing w:line="480" w:lineRule="exact"/>
              <w:jc w:val="right"/>
              <w:rPr>
                <w:rFonts w:ascii="宋体" w:hAnsi="宋体"/>
                <w:color w:val="000000"/>
                <w:kern w:val="0"/>
              </w:rPr>
            </w:pPr>
            <w:r>
              <w:rPr>
                <w:rFonts w:hint="eastAsia" w:ascii="宋体" w:hAnsi="宋体"/>
                <w:color w:val="000000"/>
                <w:kern w:val="0"/>
              </w:rPr>
              <w:t>-0.4</w:t>
            </w:r>
          </w:p>
        </w:tc>
      </w:tr>
    </w:tbl>
    <w:p>
      <w:pPr>
        <w:keepNext w:val="0"/>
        <w:keepLines w:val="0"/>
        <w:pageBreakBefore w:val="0"/>
        <w:widowControl w:val="0"/>
        <w:numPr>
          <w:ilvl w:val="0"/>
          <w:numId w:val="0"/>
        </w:numPr>
        <w:tabs>
          <w:tab w:val="left" w:pos="666"/>
        </w:tabs>
        <w:kinsoku/>
        <w:wordWrap/>
        <w:overflowPunct/>
        <w:topLinePunct w:val="0"/>
        <w:autoSpaceDE/>
        <w:autoSpaceDN/>
        <w:bidi w:val="0"/>
        <w:adjustRightInd/>
        <w:snapToGrid/>
        <w:spacing w:before="157" w:beforeLines="50" w:line="240" w:lineRule="auto"/>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五、工业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宋体"/>
          <w:color w:val="000000"/>
          <w:kern w:val="0"/>
          <w:sz w:val="32"/>
          <w:szCs w:val="32"/>
        </w:rPr>
      </w:pPr>
      <w:r>
        <w:rPr>
          <w:rFonts w:hint="eastAsia" w:ascii="楷体" w:hAnsi="楷体" w:eastAsia="楷体"/>
          <w:color w:val="000000"/>
          <w:kern w:val="0"/>
          <w:sz w:val="32"/>
          <w:szCs w:val="32"/>
        </w:rPr>
        <w:t>工业保持稳定增长。</w:t>
      </w:r>
      <w:r>
        <w:rPr>
          <w:rFonts w:hint="eastAsia" w:ascii="仿宋" w:hAnsi="仿宋" w:eastAsia="仿宋" w:cs="宋体"/>
          <w:color w:val="000000"/>
          <w:kern w:val="0"/>
          <w:sz w:val="32"/>
          <w:szCs w:val="32"/>
        </w:rPr>
        <w:t>2019年全区规模以上工业企业47家，实现总产值63.46亿元，同比增长4.06%，增加值增长3.63%。其中，轻工业产值增长7.82%，重工业产值下降3.15%。造纸和纸制品业、非金属矿物制品业、农副食品加工业、电力、热力生产和供应业、纺织业、食品制造业6大行业实现工业总产值58.87亿元，占全部规上工业总产值的86.80%，同比增长6.42%，拉动规上工业总产值增长5.45个百分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s="宋体"/>
          <w:color w:val="000000"/>
          <w:kern w:val="0"/>
          <w:sz w:val="32"/>
          <w:szCs w:val="32"/>
        </w:rPr>
        <w:t>全区高新技术产业实现工业总产值占全区规上工业总产值的25.38%，同比增长28.76%。在统的22种重点</w:t>
      </w:r>
      <w:r>
        <w:rPr>
          <w:rFonts w:hint="eastAsia" w:ascii="仿宋" w:hAnsi="仿宋" w:eastAsia="仿宋"/>
          <w:color w:val="000000"/>
          <w:sz w:val="32"/>
          <w:szCs w:val="32"/>
        </w:rPr>
        <w:t>产品中，还有15种产品产量负增长，增长面达到31.82%。</w:t>
      </w:r>
    </w:p>
    <w:p>
      <w:pPr>
        <w:widowControl/>
        <w:shd w:val="clear" w:color="auto" w:fill="FFFFFF"/>
        <w:autoSpaceDE w:val="0"/>
        <w:spacing w:line="480" w:lineRule="exact"/>
        <w:ind w:firstLine="562" w:firstLineChars="200"/>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工业主要产品产量</w:t>
      </w:r>
    </w:p>
    <w:tbl>
      <w:tblPr>
        <w:tblStyle w:val="5"/>
        <w:tblW w:w="8020" w:type="dxa"/>
        <w:tblInd w:w="93" w:type="dxa"/>
        <w:tblLayout w:type="autofit"/>
        <w:tblCellMar>
          <w:top w:w="0" w:type="dxa"/>
          <w:left w:w="108" w:type="dxa"/>
          <w:bottom w:w="0" w:type="dxa"/>
          <w:right w:w="108" w:type="dxa"/>
        </w:tblCellMar>
      </w:tblPr>
      <w:tblGrid>
        <w:gridCol w:w="3230"/>
        <w:gridCol w:w="1038"/>
        <w:gridCol w:w="1216"/>
        <w:gridCol w:w="1495"/>
        <w:gridCol w:w="1080"/>
      </w:tblGrid>
      <w:tr>
        <w:tblPrEx>
          <w:tblCellMar>
            <w:top w:w="0" w:type="dxa"/>
            <w:left w:w="108" w:type="dxa"/>
            <w:bottom w:w="0" w:type="dxa"/>
            <w:right w:w="108" w:type="dxa"/>
          </w:tblCellMar>
        </w:tblPrEx>
        <w:trPr>
          <w:trHeight w:val="480" w:hRule="atLeast"/>
        </w:trPr>
        <w:tc>
          <w:tcPr>
            <w:tcW w:w="3230"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产品名称</w:t>
            </w:r>
          </w:p>
        </w:tc>
        <w:tc>
          <w:tcPr>
            <w:tcW w:w="1038"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计量单位</w:t>
            </w:r>
          </w:p>
        </w:tc>
        <w:tc>
          <w:tcPr>
            <w:tcW w:w="1177"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2019年</w:t>
            </w:r>
          </w:p>
        </w:tc>
        <w:tc>
          <w:tcPr>
            <w:tcW w:w="1495"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2018年</w:t>
            </w:r>
          </w:p>
        </w:tc>
        <w:tc>
          <w:tcPr>
            <w:tcW w:w="1080" w:type="dxa"/>
            <w:tcBorders>
              <w:top w:val="single" w:color="auto" w:sz="4" w:space="0"/>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累计增幅(%)</w:t>
            </w:r>
          </w:p>
        </w:tc>
      </w:tr>
      <w:tr>
        <w:tblPrEx>
          <w:tblCellMar>
            <w:top w:w="0" w:type="dxa"/>
            <w:left w:w="108" w:type="dxa"/>
            <w:bottom w:w="0" w:type="dxa"/>
            <w:right w:w="108" w:type="dxa"/>
          </w:tblCellMar>
        </w:tblPrEx>
        <w:trPr>
          <w:trHeight w:val="285" w:hRule="atLeast"/>
        </w:trPr>
        <w:tc>
          <w:tcPr>
            <w:tcW w:w="3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营养、保健食品</w:t>
            </w:r>
          </w:p>
        </w:tc>
        <w:tc>
          <w:tcPr>
            <w:tcW w:w="103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吨</w:t>
            </w:r>
          </w:p>
        </w:tc>
        <w:tc>
          <w:tcPr>
            <w:tcW w:w="1177"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337.00 </w:t>
            </w:r>
          </w:p>
        </w:tc>
        <w:tc>
          <w:tcPr>
            <w:tcW w:w="149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278.00 </w:t>
            </w:r>
          </w:p>
        </w:tc>
        <w:tc>
          <w:tcPr>
            <w:tcW w:w="1080" w:type="dxa"/>
            <w:tcBorders>
              <w:top w:val="single" w:color="auto" w:sz="4" w:space="0"/>
              <w:left w:val="nil"/>
              <w:bottom w:val="single" w:color="auto" w:sz="4" w:space="0"/>
              <w:right w:val="nil"/>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21.22</w:t>
            </w:r>
          </w:p>
        </w:tc>
      </w:tr>
      <w:tr>
        <w:tblPrEx>
          <w:tblCellMar>
            <w:top w:w="0" w:type="dxa"/>
            <w:left w:w="108" w:type="dxa"/>
            <w:bottom w:w="0" w:type="dxa"/>
            <w:right w:w="108" w:type="dxa"/>
          </w:tblCellMar>
        </w:tblPrEx>
        <w:trPr>
          <w:trHeight w:val="285" w:hRule="atLeast"/>
        </w:trPr>
        <w:tc>
          <w:tcPr>
            <w:tcW w:w="3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商品混凝土</w:t>
            </w:r>
          </w:p>
        </w:tc>
        <w:tc>
          <w:tcPr>
            <w:tcW w:w="103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立方米</w:t>
            </w:r>
          </w:p>
        </w:tc>
        <w:tc>
          <w:tcPr>
            <w:tcW w:w="1177"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1069980.50 </w:t>
            </w:r>
          </w:p>
        </w:tc>
        <w:tc>
          <w:tcPr>
            <w:tcW w:w="149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726039.92 </w:t>
            </w:r>
          </w:p>
        </w:tc>
        <w:tc>
          <w:tcPr>
            <w:tcW w:w="1080" w:type="dxa"/>
            <w:tcBorders>
              <w:top w:val="single" w:color="auto" w:sz="4" w:space="0"/>
              <w:left w:val="nil"/>
              <w:bottom w:val="single" w:color="auto" w:sz="4" w:space="0"/>
              <w:right w:val="nil"/>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47.37</w:t>
            </w:r>
          </w:p>
        </w:tc>
      </w:tr>
      <w:tr>
        <w:tblPrEx>
          <w:tblCellMar>
            <w:top w:w="0" w:type="dxa"/>
            <w:left w:w="108" w:type="dxa"/>
            <w:bottom w:w="0" w:type="dxa"/>
            <w:right w:w="108" w:type="dxa"/>
          </w:tblCellMar>
        </w:tblPrEx>
        <w:trPr>
          <w:trHeight w:val="285" w:hRule="atLeast"/>
        </w:trPr>
        <w:tc>
          <w:tcPr>
            <w:tcW w:w="3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服装</w:t>
            </w:r>
          </w:p>
        </w:tc>
        <w:tc>
          <w:tcPr>
            <w:tcW w:w="103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万件</w:t>
            </w:r>
          </w:p>
        </w:tc>
        <w:tc>
          <w:tcPr>
            <w:tcW w:w="1177"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519.58 </w:t>
            </w:r>
          </w:p>
        </w:tc>
        <w:tc>
          <w:tcPr>
            <w:tcW w:w="149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680.73 </w:t>
            </w:r>
          </w:p>
        </w:tc>
        <w:tc>
          <w:tcPr>
            <w:tcW w:w="1080" w:type="dxa"/>
            <w:tcBorders>
              <w:top w:val="single" w:color="auto" w:sz="4" w:space="0"/>
              <w:left w:val="nil"/>
              <w:bottom w:val="single" w:color="auto" w:sz="4" w:space="0"/>
              <w:right w:val="nil"/>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-23.67</w:t>
            </w:r>
          </w:p>
        </w:tc>
      </w:tr>
      <w:tr>
        <w:tblPrEx>
          <w:tblCellMar>
            <w:top w:w="0" w:type="dxa"/>
            <w:left w:w="108" w:type="dxa"/>
            <w:bottom w:w="0" w:type="dxa"/>
            <w:right w:w="108" w:type="dxa"/>
          </w:tblCellMar>
        </w:tblPrEx>
        <w:trPr>
          <w:trHeight w:val="285" w:hRule="atLeast"/>
        </w:trPr>
        <w:tc>
          <w:tcPr>
            <w:tcW w:w="3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饲料</w:t>
            </w:r>
          </w:p>
        </w:tc>
        <w:tc>
          <w:tcPr>
            <w:tcW w:w="103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吨</w:t>
            </w:r>
          </w:p>
        </w:tc>
        <w:tc>
          <w:tcPr>
            <w:tcW w:w="1177"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60168.08 </w:t>
            </w:r>
          </w:p>
        </w:tc>
        <w:tc>
          <w:tcPr>
            <w:tcW w:w="149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52055.00 </w:t>
            </w:r>
          </w:p>
        </w:tc>
        <w:tc>
          <w:tcPr>
            <w:tcW w:w="1080" w:type="dxa"/>
            <w:tcBorders>
              <w:top w:val="single" w:color="auto" w:sz="4" w:space="0"/>
              <w:left w:val="nil"/>
              <w:bottom w:val="single" w:color="auto" w:sz="4" w:space="0"/>
              <w:right w:val="nil"/>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15.59</w:t>
            </w:r>
          </w:p>
        </w:tc>
      </w:tr>
      <w:tr>
        <w:tblPrEx>
          <w:tblCellMar>
            <w:top w:w="0" w:type="dxa"/>
            <w:left w:w="108" w:type="dxa"/>
            <w:bottom w:w="0" w:type="dxa"/>
            <w:right w:w="108" w:type="dxa"/>
          </w:tblCellMar>
        </w:tblPrEx>
        <w:trPr>
          <w:trHeight w:val="285" w:hRule="atLeast"/>
        </w:trPr>
        <w:tc>
          <w:tcPr>
            <w:tcW w:w="3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塑料制品</w:t>
            </w:r>
          </w:p>
        </w:tc>
        <w:tc>
          <w:tcPr>
            <w:tcW w:w="103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吨</w:t>
            </w:r>
          </w:p>
        </w:tc>
        <w:tc>
          <w:tcPr>
            <w:tcW w:w="1177"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7597.00 </w:t>
            </w:r>
          </w:p>
        </w:tc>
        <w:tc>
          <w:tcPr>
            <w:tcW w:w="149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7793.00 </w:t>
            </w:r>
          </w:p>
        </w:tc>
        <w:tc>
          <w:tcPr>
            <w:tcW w:w="1080" w:type="dxa"/>
            <w:tcBorders>
              <w:top w:val="single" w:color="auto" w:sz="4" w:space="0"/>
              <w:left w:val="nil"/>
              <w:bottom w:val="single" w:color="auto" w:sz="4" w:space="0"/>
              <w:right w:val="nil"/>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-2.52</w:t>
            </w:r>
          </w:p>
        </w:tc>
      </w:tr>
      <w:tr>
        <w:tblPrEx>
          <w:tblCellMar>
            <w:top w:w="0" w:type="dxa"/>
            <w:left w:w="108" w:type="dxa"/>
            <w:bottom w:w="0" w:type="dxa"/>
            <w:right w:w="108" w:type="dxa"/>
          </w:tblCellMar>
        </w:tblPrEx>
        <w:trPr>
          <w:trHeight w:val="285" w:hRule="atLeast"/>
        </w:trPr>
        <w:tc>
          <w:tcPr>
            <w:tcW w:w="3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水泥</w:t>
            </w:r>
          </w:p>
        </w:tc>
        <w:tc>
          <w:tcPr>
            <w:tcW w:w="103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吨</w:t>
            </w:r>
          </w:p>
        </w:tc>
        <w:tc>
          <w:tcPr>
            <w:tcW w:w="1177"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1481347.58 </w:t>
            </w:r>
          </w:p>
        </w:tc>
        <w:tc>
          <w:tcPr>
            <w:tcW w:w="149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1721187.14 </w:t>
            </w:r>
          </w:p>
        </w:tc>
        <w:tc>
          <w:tcPr>
            <w:tcW w:w="1080" w:type="dxa"/>
            <w:tcBorders>
              <w:top w:val="single" w:color="auto" w:sz="4" w:space="0"/>
              <w:left w:val="nil"/>
              <w:bottom w:val="single" w:color="auto" w:sz="4" w:space="0"/>
              <w:right w:val="nil"/>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-13.93</w:t>
            </w:r>
          </w:p>
        </w:tc>
      </w:tr>
      <w:tr>
        <w:tblPrEx>
          <w:tblCellMar>
            <w:top w:w="0" w:type="dxa"/>
            <w:left w:w="108" w:type="dxa"/>
            <w:bottom w:w="0" w:type="dxa"/>
            <w:right w:w="108" w:type="dxa"/>
          </w:tblCellMar>
        </w:tblPrEx>
        <w:trPr>
          <w:trHeight w:val="285" w:hRule="atLeast"/>
        </w:trPr>
        <w:tc>
          <w:tcPr>
            <w:tcW w:w="3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小麦粉</w:t>
            </w:r>
          </w:p>
        </w:tc>
        <w:tc>
          <w:tcPr>
            <w:tcW w:w="103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吨</w:t>
            </w:r>
          </w:p>
        </w:tc>
        <w:tc>
          <w:tcPr>
            <w:tcW w:w="1177"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89004.00 </w:t>
            </w:r>
          </w:p>
        </w:tc>
        <w:tc>
          <w:tcPr>
            <w:tcW w:w="149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102183.00 </w:t>
            </w:r>
          </w:p>
        </w:tc>
        <w:tc>
          <w:tcPr>
            <w:tcW w:w="1080" w:type="dxa"/>
            <w:tcBorders>
              <w:top w:val="single" w:color="auto" w:sz="4" w:space="0"/>
              <w:left w:val="nil"/>
              <w:bottom w:val="single" w:color="auto" w:sz="4" w:space="0"/>
              <w:right w:val="nil"/>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-12.90</w:t>
            </w:r>
          </w:p>
        </w:tc>
      </w:tr>
      <w:tr>
        <w:tblPrEx>
          <w:tblCellMar>
            <w:top w:w="0" w:type="dxa"/>
            <w:left w:w="108" w:type="dxa"/>
            <w:bottom w:w="0" w:type="dxa"/>
            <w:right w:w="108" w:type="dxa"/>
          </w:tblCellMar>
        </w:tblPrEx>
        <w:trPr>
          <w:trHeight w:val="285" w:hRule="atLeast"/>
        </w:trPr>
        <w:tc>
          <w:tcPr>
            <w:tcW w:w="3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纱</w:t>
            </w:r>
          </w:p>
        </w:tc>
        <w:tc>
          <w:tcPr>
            <w:tcW w:w="103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吨</w:t>
            </w:r>
          </w:p>
        </w:tc>
        <w:tc>
          <w:tcPr>
            <w:tcW w:w="1177"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4248.90 </w:t>
            </w:r>
          </w:p>
        </w:tc>
        <w:tc>
          <w:tcPr>
            <w:tcW w:w="149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3405.92 </w:t>
            </w:r>
          </w:p>
        </w:tc>
        <w:tc>
          <w:tcPr>
            <w:tcW w:w="1080" w:type="dxa"/>
            <w:tcBorders>
              <w:top w:val="single" w:color="auto" w:sz="4" w:space="0"/>
              <w:left w:val="nil"/>
              <w:bottom w:val="single" w:color="auto" w:sz="4" w:space="0"/>
              <w:right w:val="nil"/>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24.75</w:t>
            </w:r>
          </w:p>
        </w:tc>
      </w:tr>
      <w:tr>
        <w:tblPrEx>
          <w:tblCellMar>
            <w:top w:w="0" w:type="dxa"/>
            <w:left w:w="108" w:type="dxa"/>
            <w:bottom w:w="0" w:type="dxa"/>
            <w:right w:w="108" w:type="dxa"/>
          </w:tblCellMar>
        </w:tblPrEx>
        <w:trPr>
          <w:trHeight w:val="285" w:hRule="atLeast"/>
        </w:trPr>
        <w:tc>
          <w:tcPr>
            <w:tcW w:w="3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罐头</w:t>
            </w:r>
          </w:p>
        </w:tc>
        <w:tc>
          <w:tcPr>
            <w:tcW w:w="103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吨</w:t>
            </w:r>
          </w:p>
        </w:tc>
        <w:tc>
          <w:tcPr>
            <w:tcW w:w="1177"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15355.00 </w:t>
            </w:r>
          </w:p>
        </w:tc>
        <w:tc>
          <w:tcPr>
            <w:tcW w:w="149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17730.00 </w:t>
            </w:r>
          </w:p>
        </w:tc>
        <w:tc>
          <w:tcPr>
            <w:tcW w:w="1080" w:type="dxa"/>
            <w:tcBorders>
              <w:top w:val="single" w:color="auto" w:sz="4" w:space="0"/>
              <w:left w:val="nil"/>
              <w:bottom w:val="single" w:color="auto" w:sz="4" w:space="0"/>
              <w:right w:val="nil"/>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-13.40</w:t>
            </w:r>
          </w:p>
        </w:tc>
      </w:tr>
      <w:tr>
        <w:tblPrEx>
          <w:tblCellMar>
            <w:top w:w="0" w:type="dxa"/>
            <w:left w:w="108" w:type="dxa"/>
            <w:bottom w:w="0" w:type="dxa"/>
            <w:right w:w="108" w:type="dxa"/>
          </w:tblCellMar>
        </w:tblPrEx>
        <w:trPr>
          <w:trHeight w:val="285" w:hRule="atLeast"/>
        </w:trPr>
        <w:tc>
          <w:tcPr>
            <w:tcW w:w="3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食品添加剂</w:t>
            </w:r>
          </w:p>
        </w:tc>
        <w:tc>
          <w:tcPr>
            <w:tcW w:w="103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吨</w:t>
            </w:r>
          </w:p>
        </w:tc>
        <w:tc>
          <w:tcPr>
            <w:tcW w:w="1177"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7481.11 </w:t>
            </w:r>
          </w:p>
        </w:tc>
        <w:tc>
          <w:tcPr>
            <w:tcW w:w="149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13330.00 </w:t>
            </w:r>
          </w:p>
        </w:tc>
        <w:tc>
          <w:tcPr>
            <w:tcW w:w="1080" w:type="dxa"/>
            <w:tcBorders>
              <w:top w:val="single" w:color="auto" w:sz="4" w:space="0"/>
              <w:left w:val="nil"/>
              <w:bottom w:val="single" w:color="auto" w:sz="4" w:space="0"/>
              <w:right w:val="nil"/>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-43.88</w:t>
            </w:r>
          </w:p>
        </w:tc>
      </w:tr>
      <w:tr>
        <w:tblPrEx>
          <w:tblCellMar>
            <w:top w:w="0" w:type="dxa"/>
            <w:left w:w="108" w:type="dxa"/>
            <w:bottom w:w="0" w:type="dxa"/>
            <w:right w:w="108" w:type="dxa"/>
          </w:tblCellMar>
        </w:tblPrEx>
        <w:trPr>
          <w:trHeight w:val="285" w:hRule="atLeast"/>
        </w:trPr>
        <w:tc>
          <w:tcPr>
            <w:tcW w:w="3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纸制品</w:t>
            </w:r>
          </w:p>
        </w:tc>
        <w:tc>
          <w:tcPr>
            <w:tcW w:w="103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吨</w:t>
            </w:r>
          </w:p>
        </w:tc>
        <w:tc>
          <w:tcPr>
            <w:tcW w:w="1177"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3523.00 </w:t>
            </w:r>
          </w:p>
        </w:tc>
        <w:tc>
          <w:tcPr>
            <w:tcW w:w="149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6050.00 </w:t>
            </w:r>
          </w:p>
        </w:tc>
        <w:tc>
          <w:tcPr>
            <w:tcW w:w="1080" w:type="dxa"/>
            <w:tcBorders>
              <w:top w:val="single" w:color="auto" w:sz="4" w:space="0"/>
              <w:left w:val="nil"/>
              <w:bottom w:val="single" w:color="auto" w:sz="4" w:space="0"/>
              <w:right w:val="nil"/>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-41.77</w:t>
            </w:r>
          </w:p>
        </w:tc>
      </w:tr>
      <w:tr>
        <w:tblPrEx>
          <w:tblCellMar>
            <w:top w:w="0" w:type="dxa"/>
            <w:left w:w="108" w:type="dxa"/>
            <w:bottom w:w="0" w:type="dxa"/>
            <w:right w:w="108" w:type="dxa"/>
          </w:tblCellMar>
        </w:tblPrEx>
        <w:trPr>
          <w:trHeight w:val="285" w:hRule="atLeast"/>
        </w:trPr>
        <w:tc>
          <w:tcPr>
            <w:tcW w:w="3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工商用制冷、空调设备</w:t>
            </w:r>
          </w:p>
        </w:tc>
        <w:tc>
          <w:tcPr>
            <w:tcW w:w="103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台（套）</w:t>
            </w:r>
          </w:p>
        </w:tc>
        <w:tc>
          <w:tcPr>
            <w:tcW w:w="1177"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906.00 </w:t>
            </w:r>
          </w:p>
        </w:tc>
        <w:tc>
          <w:tcPr>
            <w:tcW w:w="149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1157.00 </w:t>
            </w:r>
          </w:p>
        </w:tc>
        <w:tc>
          <w:tcPr>
            <w:tcW w:w="1080" w:type="dxa"/>
            <w:tcBorders>
              <w:top w:val="single" w:color="auto" w:sz="4" w:space="0"/>
              <w:left w:val="nil"/>
              <w:bottom w:val="single" w:color="auto" w:sz="4" w:space="0"/>
              <w:right w:val="nil"/>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-21.69</w:t>
            </w:r>
          </w:p>
        </w:tc>
      </w:tr>
      <w:tr>
        <w:tblPrEx>
          <w:tblCellMar>
            <w:top w:w="0" w:type="dxa"/>
            <w:left w:w="108" w:type="dxa"/>
            <w:bottom w:w="0" w:type="dxa"/>
            <w:right w:w="108" w:type="dxa"/>
          </w:tblCellMar>
        </w:tblPrEx>
        <w:trPr>
          <w:trHeight w:val="285" w:hRule="atLeast"/>
        </w:trPr>
        <w:tc>
          <w:tcPr>
            <w:tcW w:w="3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表面活性剂</w:t>
            </w:r>
          </w:p>
        </w:tc>
        <w:tc>
          <w:tcPr>
            <w:tcW w:w="103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吨</w:t>
            </w:r>
          </w:p>
        </w:tc>
        <w:tc>
          <w:tcPr>
            <w:tcW w:w="1177"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15171.00 </w:t>
            </w:r>
          </w:p>
        </w:tc>
        <w:tc>
          <w:tcPr>
            <w:tcW w:w="149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16030.00 </w:t>
            </w:r>
          </w:p>
        </w:tc>
        <w:tc>
          <w:tcPr>
            <w:tcW w:w="1080" w:type="dxa"/>
            <w:tcBorders>
              <w:top w:val="single" w:color="auto" w:sz="4" w:space="0"/>
              <w:left w:val="nil"/>
              <w:bottom w:val="single" w:color="auto" w:sz="4" w:space="0"/>
              <w:right w:val="nil"/>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-5.36</w:t>
            </w:r>
          </w:p>
        </w:tc>
      </w:tr>
      <w:tr>
        <w:tblPrEx>
          <w:tblCellMar>
            <w:top w:w="0" w:type="dxa"/>
            <w:left w:w="108" w:type="dxa"/>
            <w:bottom w:w="0" w:type="dxa"/>
            <w:right w:w="108" w:type="dxa"/>
          </w:tblCellMar>
        </w:tblPrEx>
        <w:trPr>
          <w:trHeight w:val="285" w:hRule="atLeast"/>
        </w:trPr>
        <w:tc>
          <w:tcPr>
            <w:tcW w:w="3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熟肉制品</w:t>
            </w:r>
          </w:p>
        </w:tc>
        <w:tc>
          <w:tcPr>
            <w:tcW w:w="103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吨</w:t>
            </w:r>
          </w:p>
        </w:tc>
        <w:tc>
          <w:tcPr>
            <w:tcW w:w="1177"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254.00 </w:t>
            </w:r>
          </w:p>
        </w:tc>
        <w:tc>
          <w:tcPr>
            <w:tcW w:w="149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980.00 </w:t>
            </w:r>
          </w:p>
        </w:tc>
        <w:tc>
          <w:tcPr>
            <w:tcW w:w="1080" w:type="dxa"/>
            <w:tcBorders>
              <w:top w:val="single" w:color="auto" w:sz="4" w:space="0"/>
              <w:left w:val="nil"/>
              <w:bottom w:val="single" w:color="auto" w:sz="4" w:space="0"/>
              <w:right w:val="nil"/>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-74.08</w:t>
            </w:r>
          </w:p>
        </w:tc>
      </w:tr>
      <w:tr>
        <w:tblPrEx>
          <w:tblCellMar>
            <w:top w:w="0" w:type="dxa"/>
            <w:left w:w="108" w:type="dxa"/>
            <w:bottom w:w="0" w:type="dxa"/>
            <w:right w:w="108" w:type="dxa"/>
          </w:tblCellMar>
        </w:tblPrEx>
        <w:trPr>
          <w:trHeight w:val="285" w:hRule="atLeast"/>
        </w:trPr>
        <w:tc>
          <w:tcPr>
            <w:tcW w:w="3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纤维增强塑料制品</w:t>
            </w:r>
          </w:p>
        </w:tc>
        <w:tc>
          <w:tcPr>
            <w:tcW w:w="103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吨</w:t>
            </w:r>
          </w:p>
        </w:tc>
        <w:tc>
          <w:tcPr>
            <w:tcW w:w="1177"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2726.00 </w:t>
            </w:r>
          </w:p>
        </w:tc>
        <w:tc>
          <w:tcPr>
            <w:tcW w:w="149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2796.00 </w:t>
            </w:r>
          </w:p>
        </w:tc>
        <w:tc>
          <w:tcPr>
            <w:tcW w:w="1080" w:type="dxa"/>
            <w:tcBorders>
              <w:top w:val="single" w:color="auto" w:sz="4" w:space="0"/>
              <w:left w:val="nil"/>
              <w:bottom w:val="single" w:color="auto" w:sz="4" w:space="0"/>
              <w:right w:val="nil"/>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-2.50</w:t>
            </w:r>
          </w:p>
        </w:tc>
      </w:tr>
      <w:tr>
        <w:tblPrEx>
          <w:tblCellMar>
            <w:top w:w="0" w:type="dxa"/>
            <w:left w:w="108" w:type="dxa"/>
            <w:bottom w:w="0" w:type="dxa"/>
            <w:right w:w="108" w:type="dxa"/>
          </w:tblCellMar>
        </w:tblPrEx>
        <w:trPr>
          <w:trHeight w:val="285" w:hRule="atLeast"/>
        </w:trPr>
        <w:tc>
          <w:tcPr>
            <w:tcW w:w="3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膨化食品</w:t>
            </w:r>
          </w:p>
        </w:tc>
        <w:tc>
          <w:tcPr>
            <w:tcW w:w="103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吨</w:t>
            </w:r>
          </w:p>
        </w:tc>
        <w:tc>
          <w:tcPr>
            <w:tcW w:w="1177"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1114.00 </w:t>
            </w:r>
          </w:p>
        </w:tc>
        <w:tc>
          <w:tcPr>
            <w:tcW w:w="149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1368.00 </w:t>
            </w:r>
          </w:p>
        </w:tc>
        <w:tc>
          <w:tcPr>
            <w:tcW w:w="1080" w:type="dxa"/>
            <w:tcBorders>
              <w:top w:val="single" w:color="auto" w:sz="4" w:space="0"/>
              <w:left w:val="nil"/>
              <w:bottom w:val="single" w:color="auto" w:sz="4" w:space="0"/>
              <w:right w:val="nil"/>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-18.57</w:t>
            </w:r>
          </w:p>
        </w:tc>
      </w:tr>
      <w:tr>
        <w:tblPrEx>
          <w:tblCellMar>
            <w:top w:w="0" w:type="dxa"/>
            <w:left w:w="108" w:type="dxa"/>
            <w:bottom w:w="0" w:type="dxa"/>
            <w:right w:w="108" w:type="dxa"/>
          </w:tblCellMar>
        </w:tblPrEx>
        <w:trPr>
          <w:trHeight w:val="285" w:hRule="atLeast"/>
        </w:trPr>
        <w:tc>
          <w:tcPr>
            <w:tcW w:w="3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硅酸盐水泥熟料</w:t>
            </w:r>
          </w:p>
        </w:tc>
        <w:tc>
          <w:tcPr>
            <w:tcW w:w="103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吨</w:t>
            </w:r>
          </w:p>
        </w:tc>
        <w:tc>
          <w:tcPr>
            <w:tcW w:w="1177"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1203610.90 </w:t>
            </w:r>
          </w:p>
        </w:tc>
        <w:tc>
          <w:tcPr>
            <w:tcW w:w="149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1471139.60 </w:t>
            </w:r>
          </w:p>
        </w:tc>
        <w:tc>
          <w:tcPr>
            <w:tcW w:w="1080" w:type="dxa"/>
            <w:tcBorders>
              <w:top w:val="single" w:color="auto" w:sz="4" w:space="0"/>
              <w:left w:val="nil"/>
              <w:bottom w:val="single" w:color="auto" w:sz="4" w:space="0"/>
              <w:right w:val="nil"/>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-18.19</w:t>
            </w:r>
          </w:p>
        </w:tc>
      </w:tr>
      <w:tr>
        <w:tblPrEx>
          <w:tblCellMar>
            <w:top w:w="0" w:type="dxa"/>
            <w:left w:w="108" w:type="dxa"/>
            <w:bottom w:w="0" w:type="dxa"/>
            <w:right w:w="108" w:type="dxa"/>
          </w:tblCellMar>
        </w:tblPrEx>
        <w:trPr>
          <w:trHeight w:val="285" w:hRule="atLeast"/>
        </w:trPr>
        <w:tc>
          <w:tcPr>
            <w:tcW w:w="3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金属切削机床</w:t>
            </w:r>
          </w:p>
        </w:tc>
        <w:tc>
          <w:tcPr>
            <w:tcW w:w="103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台</w:t>
            </w:r>
          </w:p>
        </w:tc>
        <w:tc>
          <w:tcPr>
            <w:tcW w:w="1177"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1696.00 </w:t>
            </w:r>
          </w:p>
        </w:tc>
        <w:tc>
          <w:tcPr>
            <w:tcW w:w="149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2630.00 </w:t>
            </w:r>
          </w:p>
        </w:tc>
        <w:tc>
          <w:tcPr>
            <w:tcW w:w="1080" w:type="dxa"/>
            <w:tcBorders>
              <w:top w:val="single" w:color="auto" w:sz="4" w:space="0"/>
              <w:left w:val="nil"/>
              <w:bottom w:val="single" w:color="auto" w:sz="4" w:space="0"/>
              <w:right w:val="nil"/>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-35.51</w:t>
            </w:r>
          </w:p>
        </w:tc>
      </w:tr>
      <w:tr>
        <w:tblPrEx>
          <w:tblCellMar>
            <w:top w:w="0" w:type="dxa"/>
            <w:left w:w="108" w:type="dxa"/>
            <w:bottom w:w="0" w:type="dxa"/>
            <w:right w:w="108" w:type="dxa"/>
          </w:tblCellMar>
        </w:tblPrEx>
        <w:trPr>
          <w:trHeight w:val="285" w:hRule="atLeast"/>
        </w:trPr>
        <w:tc>
          <w:tcPr>
            <w:tcW w:w="3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变压器</w:t>
            </w:r>
          </w:p>
        </w:tc>
        <w:tc>
          <w:tcPr>
            <w:tcW w:w="103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千伏安</w:t>
            </w:r>
          </w:p>
        </w:tc>
        <w:tc>
          <w:tcPr>
            <w:tcW w:w="1177"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9247.00 </w:t>
            </w:r>
          </w:p>
        </w:tc>
        <w:tc>
          <w:tcPr>
            <w:tcW w:w="149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6292.00 </w:t>
            </w:r>
          </w:p>
        </w:tc>
        <w:tc>
          <w:tcPr>
            <w:tcW w:w="1080" w:type="dxa"/>
            <w:tcBorders>
              <w:top w:val="single" w:color="auto" w:sz="4" w:space="0"/>
              <w:left w:val="nil"/>
              <w:bottom w:val="single" w:color="auto" w:sz="4" w:space="0"/>
              <w:right w:val="nil"/>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46.96</w:t>
            </w:r>
          </w:p>
        </w:tc>
      </w:tr>
      <w:tr>
        <w:tblPrEx>
          <w:tblCellMar>
            <w:top w:w="0" w:type="dxa"/>
            <w:left w:w="108" w:type="dxa"/>
            <w:bottom w:w="0" w:type="dxa"/>
            <w:right w:w="108" w:type="dxa"/>
          </w:tblCellMar>
        </w:tblPrEx>
        <w:trPr>
          <w:trHeight w:val="285" w:hRule="atLeast"/>
        </w:trPr>
        <w:tc>
          <w:tcPr>
            <w:tcW w:w="3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机制纸及纸板（外购原纸加工除外）</w:t>
            </w:r>
          </w:p>
        </w:tc>
        <w:tc>
          <w:tcPr>
            <w:tcW w:w="103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吨</w:t>
            </w:r>
          </w:p>
        </w:tc>
        <w:tc>
          <w:tcPr>
            <w:tcW w:w="1177"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430654.00 </w:t>
            </w:r>
          </w:p>
        </w:tc>
        <w:tc>
          <w:tcPr>
            <w:tcW w:w="149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413544.00 </w:t>
            </w:r>
          </w:p>
        </w:tc>
        <w:tc>
          <w:tcPr>
            <w:tcW w:w="1080" w:type="dxa"/>
            <w:tcBorders>
              <w:top w:val="single" w:color="auto" w:sz="4" w:space="0"/>
              <w:left w:val="nil"/>
              <w:bottom w:val="single" w:color="auto" w:sz="4" w:space="0"/>
              <w:right w:val="nil"/>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4.14</w:t>
            </w:r>
          </w:p>
        </w:tc>
      </w:tr>
      <w:tr>
        <w:tblPrEx>
          <w:tblCellMar>
            <w:top w:w="0" w:type="dxa"/>
            <w:left w:w="108" w:type="dxa"/>
            <w:bottom w:w="0" w:type="dxa"/>
            <w:right w:w="108" w:type="dxa"/>
          </w:tblCellMar>
        </w:tblPrEx>
        <w:trPr>
          <w:trHeight w:val="285" w:hRule="atLeast"/>
        </w:trPr>
        <w:tc>
          <w:tcPr>
            <w:tcW w:w="3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鲜、冷藏肉</w:t>
            </w:r>
          </w:p>
        </w:tc>
        <w:tc>
          <w:tcPr>
            <w:tcW w:w="103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吨</w:t>
            </w:r>
          </w:p>
        </w:tc>
        <w:tc>
          <w:tcPr>
            <w:tcW w:w="1177"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46131.00 </w:t>
            </w:r>
          </w:p>
        </w:tc>
        <w:tc>
          <w:tcPr>
            <w:tcW w:w="149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21356.00 </w:t>
            </w:r>
          </w:p>
        </w:tc>
        <w:tc>
          <w:tcPr>
            <w:tcW w:w="1080" w:type="dxa"/>
            <w:tcBorders>
              <w:top w:val="single" w:color="auto" w:sz="4" w:space="0"/>
              <w:left w:val="nil"/>
              <w:bottom w:val="single" w:color="auto" w:sz="4" w:space="0"/>
              <w:right w:val="nil"/>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116.01</w:t>
            </w:r>
          </w:p>
        </w:tc>
      </w:tr>
      <w:tr>
        <w:tblPrEx>
          <w:tblCellMar>
            <w:top w:w="0" w:type="dxa"/>
            <w:left w:w="108" w:type="dxa"/>
            <w:bottom w:w="0" w:type="dxa"/>
            <w:right w:w="108" w:type="dxa"/>
          </w:tblCellMar>
        </w:tblPrEx>
        <w:trPr>
          <w:trHeight w:val="285" w:hRule="atLeast"/>
        </w:trPr>
        <w:tc>
          <w:tcPr>
            <w:tcW w:w="3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液压元件</w:t>
            </w:r>
          </w:p>
        </w:tc>
        <w:tc>
          <w:tcPr>
            <w:tcW w:w="103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件</w:t>
            </w:r>
          </w:p>
        </w:tc>
        <w:tc>
          <w:tcPr>
            <w:tcW w:w="1177"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21365.00 </w:t>
            </w:r>
          </w:p>
        </w:tc>
        <w:tc>
          <w:tcPr>
            <w:tcW w:w="149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24904.00 </w:t>
            </w:r>
          </w:p>
        </w:tc>
        <w:tc>
          <w:tcPr>
            <w:tcW w:w="1080" w:type="dxa"/>
            <w:tcBorders>
              <w:top w:val="single" w:color="auto" w:sz="4" w:space="0"/>
              <w:left w:val="nil"/>
              <w:bottom w:val="single" w:color="auto" w:sz="4" w:space="0"/>
              <w:right w:val="nil"/>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-14.21</w:t>
            </w:r>
          </w:p>
        </w:tc>
      </w:tr>
    </w:tbl>
    <w:p>
      <w:pPr>
        <w:keepNext w:val="0"/>
        <w:keepLines w:val="0"/>
        <w:pageBreakBefore w:val="0"/>
        <w:widowControl w:val="0"/>
        <w:numPr>
          <w:ilvl w:val="0"/>
          <w:numId w:val="0"/>
        </w:numPr>
        <w:tabs>
          <w:tab w:val="left" w:pos="666"/>
        </w:tabs>
        <w:kinsoku/>
        <w:wordWrap/>
        <w:overflowPunct/>
        <w:topLinePunct w:val="0"/>
        <w:autoSpaceDE/>
        <w:autoSpaceDN/>
        <w:bidi w:val="0"/>
        <w:adjustRightInd/>
        <w:snapToGrid/>
        <w:spacing w:before="157" w:beforeLines="50" w:line="240" w:lineRule="auto"/>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六、固定资产投资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投资结构持续优化。</w:t>
      </w:r>
      <w:r>
        <w:rPr>
          <w:rFonts w:hint="eastAsia" w:ascii="仿宋" w:hAnsi="仿宋" w:eastAsia="仿宋" w:cs="仿宋"/>
          <w:sz w:val="32"/>
          <w:szCs w:val="32"/>
          <w:lang w:val="en-US" w:eastAsia="zh-CN"/>
        </w:rPr>
        <w:t>固定资产投资比上年下降17.9%。三次产业投资构成为1.1:45.2:53.7。“四新”经济投资占比达到49.9%。全区亿元以上项目投资占比71%，是拉动投资增长的主要力量。从主要领域看，工业投资同比增长2%。分行业，电力热力生产和供应业、租赁和商务服务业分别同比增长12.4%、43.2%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房地产市场保持良好发展势头。</w:t>
      </w:r>
      <w:r>
        <w:rPr>
          <w:rFonts w:hint="eastAsia" w:ascii="仿宋" w:hAnsi="仿宋" w:eastAsia="仿宋" w:cs="仿宋"/>
          <w:color w:val="auto"/>
          <w:sz w:val="32"/>
          <w:szCs w:val="32"/>
          <w:lang w:val="en-US" w:eastAsia="zh-CN"/>
        </w:rPr>
        <w:t>房地产本年完成投资11.38亿元，增长48.5%；商品房销售面积8.6万平方米，同比增长-46.5%；2019年商品房销售均价5900元，较去年同期提高9.3%。</w:t>
      </w:r>
    </w:p>
    <w:p>
      <w:pPr>
        <w:keepNext w:val="0"/>
        <w:keepLines w:val="0"/>
        <w:pageBreakBefore w:val="0"/>
        <w:widowControl w:val="0"/>
        <w:numPr>
          <w:ilvl w:val="0"/>
          <w:numId w:val="0"/>
        </w:numPr>
        <w:tabs>
          <w:tab w:val="left" w:pos="666"/>
        </w:tabs>
        <w:kinsoku/>
        <w:wordWrap/>
        <w:overflowPunct/>
        <w:topLinePunct w:val="0"/>
        <w:autoSpaceDE/>
        <w:autoSpaceDN/>
        <w:bidi w:val="0"/>
        <w:adjustRightInd/>
        <w:snapToGrid/>
        <w:spacing w:before="157" w:beforeLines="50" w:line="240" w:lineRule="auto"/>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七、服务业</w:t>
      </w:r>
    </w:p>
    <w:p>
      <w:pPr>
        <w:keepNext w:val="0"/>
        <w:keepLines w:val="0"/>
        <w:pageBreakBefore w:val="0"/>
        <w:widowControl w:val="0"/>
        <w:numPr>
          <w:ilvl w:val="0"/>
          <w:numId w:val="0"/>
        </w:numPr>
        <w:tabs>
          <w:tab w:val="left" w:pos="666"/>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楷体_GB2312" w:hAnsi="楷体_GB2312" w:eastAsia="楷体_GB2312" w:cs="楷体_GB2312"/>
          <w:bCs/>
          <w:sz w:val="32"/>
          <w:szCs w:val="32"/>
          <w:lang w:val="en-US" w:eastAsia="zh-CN"/>
        </w:rPr>
        <w:t>全域旅游蓬勃发展。</w:t>
      </w:r>
      <w:r>
        <w:rPr>
          <w:rFonts w:hint="eastAsia" w:ascii="仿宋" w:hAnsi="仿宋" w:eastAsia="仿宋" w:cs="仿宋"/>
          <w:sz w:val="32"/>
          <w:szCs w:val="32"/>
          <w:lang w:val="en-US" w:eastAsia="zh-CN"/>
        </w:rPr>
        <w:t>2019年山亭区实现旅游总收入45.6亿元，同比增长13.7%；接待国内外游客678.9万人次，同比增长9.5%。新（改）建旅游厕所21座，并上传全国旅游厕所管理系统和百度地图定位系统。4A级景区5处、3A级景区4处，国家和省级乡村旅游示范点25处、省级旅游强镇10个、旅游特色村36个。组织申报山东省全域旅游示范区，成功举办山亭区全域旅游红色旅游发展培训班，组织6人参加赴境外精准交流、浙江大学乡村旅游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b w:val="0"/>
          <w:kern w:val="2"/>
          <w:sz w:val="32"/>
          <w:szCs w:val="32"/>
          <w:lang w:val="en-US" w:eastAsia="zh-CN" w:bidi="ar-SA"/>
        </w:rPr>
      </w:pPr>
      <w:r>
        <w:rPr>
          <w:rFonts w:hint="eastAsia" w:ascii="楷体" w:hAnsi="楷体" w:eastAsia="楷体" w:cs="楷体"/>
          <w:b w:val="0"/>
          <w:kern w:val="2"/>
          <w:sz w:val="32"/>
          <w:szCs w:val="32"/>
          <w:lang w:val="en-US" w:eastAsia="zh-CN" w:bidi="ar-SA"/>
        </w:rPr>
        <w:t>推进重点交通项目建设构建大交通格局。</w:t>
      </w:r>
      <w:r>
        <w:rPr>
          <w:rFonts w:hint="eastAsia" w:ascii="仿宋" w:hAnsi="仿宋" w:eastAsia="仿宋" w:cs="仿宋"/>
          <w:b w:val="0"/>
          <w:kern w:val="2"/>
          <w:sz w:val="32"/>
          <w:szCs w:val="32"/>
          <w:lang w:val="en-US" w:eastAsia="zh-CN" w:bidi="ar-SA"/>
        </w:rPr>
        <w:t>枣庄机场完成国家民航总局选址批复和预可研行业批准，已签署军地协议并完成国家发改委预可研专家审查。新台高速公路山亭段施工进展顺利，路基、桥涵、隧道基本完成，完成沥青路面约5公里。国道518新台高速山亭互通至城区南外环连接线工程完成工程可行性研究报告。省道103改建工程完成省发改委立项、初步设计和施工图设计审批，开始征地拆迁准备工作。枣庄环城绿道山亭段建成通车，环翼云湖旅游公路、半湖至马头公路、城区北外环道路全面动工建设。全区新增货运企业11家，驾驶员从业资格培训学校全年培训学员约4800人；开通城乡公交路线2条,镇村公交路线1条；新建公交站点棚30个。</w:t>
      </w:r>
    </w:p>
    <w:p>
      <w:pPr>
        <w:keepNext w:val="0"/>
        <w:keepLines w:val="0"/>
        <w:pageBreakBefore w:val="0"/>
        <w:widowControl w:val="0"/>
        <w:numPr>
          <w:ilvl w:val="0"/>
          <w:numId w:val="0"/>
        </w:numPr>
        <w:tabs>
          <w:tab w:val="left" w:pos="666"/>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快递业务迅猛增长</w:t>
      </w:r>
      <w:r>
        <w:rPr>
          <w:rFonts w:hint="eastAsia" w:ascii="仿宋" w:hAnsi="仿宋" w:eastAsia="仿宋" w:cs="仿宋"/>
          <w:sz w:val="32"/>
          <w:szCs w:val="32"/>
          <w:lang w:val="en-US" w:eastAsia="zh-CN"/>
        </w:rPr>
        <w:t>。2019年全区邮政业务总量5812.87万元，同比增长30.84%。其中，国内函件1.51万件，同比增长25.6%；国内包件84.8万件，同比增长127.28%。</w:t>
      </w:r>
    </w:p>
    <w:p>
      <w:pPr>
        <w:keepNext w:val="0"/>
        <w:keepLines w:val="0"/>
        <w:pageBreakBefore w:val="0"/>
        <w:widowControl w:val="0"/>
        <w:numPr>
          <w:ilvl w:val="0"/>
          <w:numId w:val="0"/>
        </w:numPr>
        <w:tabs>
          <w:tab w:val="left" w:pos="666"/>
        </w:tabs>
        <w:kinsoku/>
        <w:wordWrap/>
        <w:overflowPunct/>
        <w:topLinePunct w:val="0"/>
        <w:autoSpaceDE/>
        <w:autoSpaceDN/>
        <w:bidi w:val="0"/>
        <w:adjustRightInd/>
        <w:snapToGrid/>
        <w:spacing w:before="157" w:beforeLines="50"/>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八、国内外贸易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color w:val="auto"/>
          <w:kern w:val="0"/>
          <w:sz w:val="32"/>
          <w:szCs w:val="32"/>
          <w:lang w:val="en-US" w:eastAsia="zh-CN"/>
        </w:rPr>
        <w:t>国内外贸易持续增长。</w:t>
      </w:r>
      <w:r>
        <w:rPr>
          <w:rFonts w:hint="eastAsia" w:ascii="仿宋" w:hAnsi="仿宋" w:eastAsia="仿宋" w:cs="宋体"/>
          <w:color w:val="auto"/>
          <w:kern w:val="0"/>
          <w:sz w:val="32"/>
          <w:szCs w:val="32"/>
          <w:lang w:val="en-US" w:eastAsia="zh-CN"/>
        </w:rPr>
        <w:t>2019年全区社会消费品零售总额同比增长3.9%，</w:t>
      </w:r>
      <w:r>
        <w:rPr>
          <w:rFonts w:hint="eastAsia" w:ascii="仿宋" w:hAnsi="仿宋" w:eastAsia="仿宋" w:cs="宋体"/>
          <w:color w:val="000000"/>
          <w:kern w:val="0"/>
          <w:sz w:val="32"/>
          <w:szCs w:val="32"/>
          <w:lang w:val="en-US" w:eastAsia="zh-CN"/>
        </w:rPr>
        <w:t>实现进出口总额185227万元，同比增长149.3%。其中，出口实现178760万元，同比增长146.3%；进口6467万元，同比增长274.7%。</w:t>
      </w:r>
    </w:p>
    <w:p>
      <w:pPr>
        <w:keepNext w:val="0"/>
        <w:keepLines w:val="0"/>
        <w:pageBreakBefore w:val="0"/>
        <w:widowControl w:val="0"/>
        <w:numPr>
          <w:ilvl w:val="0"/>
          <w:numId w:val="0"/>
        </w:numPr>
        <w:tabs>
          <w:tab w:val="left" w:pos="666"/>
        </w:tabs>
        <w:kinsoku/>
        <w:wordWrap/>
        <w:overflowPunct/>
        <w:topLinePunct w:val="0"/>
        <w:autoSpaceDE/>
        <w:autoSpaceDN/>
        <w:bidi w:val="0"/>
        <w:adjustRightInd/>
        <w:snapToGrid/>
        <w:spacing w:before="157" w:beforeLines="50"/>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九、财政金融</w:t>
      </w:r>
    </w:p>
    <w:p>
      <w:pPr>
        <w:keepNext w:val="0"/>
        <w:keepLines w:val="0"/>
        <w:pageBreakBefore w:val="0"/>
        <w:widowControl w:val="0"/>
        <w:numPr>
          <w:ilvl w:val="0"/>
          <w:numId w:val="0"/>
        </w:numPr>
        <w:tabs>
          <w:tab w:val="left" w:pos="666"/>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财税收入稳定增长。2</w:t>
      </w:r>
      <w:r>
        <w:rPr>
          <w:rFonts w:hint="eastAsia" w:ascii="仿宋" w:hAnsi="仿宋" w:eastAsia="仿宋" w:cs="仿宋"/>
          <w:sz w:val="32"/>
          <w:szCs w:val="32"/>
          <w:lang w:val="en-US" w:eastAsia="zh-CN"/>
        </w:rPr>
        <w:t>019年我区实现一般公共预算收入5.13亿元，完成预算任务的100%，较上年同期增长3%，其中税收收入累计完成4.78亿元，税收占比93.1%，排全市第一，较上年提高4.7个百分点。全口径税收收入7.78亿元，同比增长9.9%，同比增收0.7亿元。</w:t>
      </w:r>
    </w:p>
    <w:p>
      <w:pPr>
        <w:keepNext w:val="0"/>
        <w:keepLines w:val="0"/>
        <w:pageBreakBefore w:val="0"/>
        <w:widowControl w:val="0"/>
        <w:numPr>
          <w:ilvl w:val="0"/>
          <w:numId w:val="0"/>
        </w:numPr>
        <w:tabs>
          <w:tab w:val="left" w:pos="666"/>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财政保障民生支出稳定。</w:t>
      </w:r>
      <w:r>
        <w:rPr>
          <w:rFonts w:hint="eastAsia" w:ascii="仿宋" w:hAnsi="仿宋" w:eastAsia="仿宋" w:cs="仿宋"/>
          <w:sz w:val="32"/>
          <w:szCs w:val="32"/>
          <w:lang w:val="en-US" w:eastAsia="zh-CN"/>
        </w:rPr>
        <w:t>全年一般公共预算支出累计完成245952万元，较上年同期增长8.7%。其中，一般公共服务支出28359万元，增长26.3%；公共安全支出7275万元，下降0.1%；教育支出60839万元，增长1.7%；科学技术支出1267万元，和去年持平；社会保障与就业支出33571万元，下降2.5%；卫生健康支出37521万元，增长5.9%；节能环保支出4690万元，下降8.4%；城乡社区事务支出4836万元，下降7.7%。八项支出合计178358万元，增长4.3%，占比72.5%。民生支出合计203041万元，增长5.6%，占比82.6%。</w:t>
      </w:r>
    </w:p>
    <w:p>
      <w:pPr>
        <w:keepNext w:val="0"/>
        <w:keepLines w:val="0"/>
        <w:pageBreakBefore w:val="0"/>
        <w:widowControl w:val="0"/>
        <w:numPr>
          <w:ilvl w:val="0"/>
          <w:numId w:val="0"/>
        </w:numPr>
        <w:tabs>
          <w:tab w:val="left" w:pos="666"/>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重点税源“质”“量”并进，税收收入普遍增长。</w:t>
      </w:r>
      <w:r>
        <w:rPr>
          <w:rFonts w:hint="eastAsia" w:ascii="仿宋" w:hAnsi="仿宋" w:eastAsia="仿宋" w:cs="仿宋"/>
          <w:sz w:val="32"/>
          <w:szCs w:val="32"/>
          <w:lang w:val="en-US" w:eastAsia="zh-CN"/>
        </w:rPr>
        <w:t>2019年全区纳税百强企业（集团）共入库税收60460万元，同比增长28.44%，增收13388万元。百强企业（集团）入库税收占全区总体税收的77.75%。按市里考核口径计算，全年纳税100万元以上重点税源企业共109户，同比增加9户（其中同比增收的有80户，占比为73.39%），共入库税款59166万元，同比增长30.78%，高于百强企业（集团）2.34个百分点，同比增收13925万元，拉动总收入增长19.68个百分点。</w:t>
      </w:r>
    </w:p>
    <w:p>
      <w:pPr>
        <w:keepNext w:val="0"/>
        <w:keepLines w:val="0"/>
        <w:pageBreakBefore w:val="0"/>
        <w:widowControl w:val="0"/>
        <w:numPr>
          <w:ilvl w:val="0"/>
          <w:numId w:val="0"/>
        </w:numPr>
        <w:tabs>
          <w:tab w:val="left" w:pos="666"/>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金融服务实体经济能力显著提升。</w:t>
      </w:r>
      <w:r>
        <w:rPr>
          <w:rFonts w:hint="eastAsia" w:ascii="仿宋" w:hAnsi="仿宋" w:eastAsia="仿宋" w:cs="仿宋"/>
          <w:sz w:val="32"/>
          <w:szCs w:val="32"/>
          <w:lang w:val="en-US" w:eastAsia="zh-CN"/>
        </w:rPr>
        <w:t>截至2019年末，全区存贷款保持平稳增长，其中，各项存款余额140.37亿元，同比增长9.40%，较年初增加12.06亿元；各项贷款余额81.12亿元，同比增长14.78%，较年初增加10.45亿元，存贷比57.79%,同比提高2.71个百分点。</w:t>
      </w:r>
    </w:p>
    <w:p>
      <w:pPr>
        <w:keepNext w:val="0"/>
        <w:keepLines w:val="0"/>
        <w:pageBreakBefore w:val="0"/>
        <w:widowControl w:val="0"/>
        <w:numPr>
          <w:ilvl w:val="0"/>
          <w:numId w:val="0"/>
        </w:numPr>
        <w:tabs>
          <w:tab w:val="left" w:pos="666"/>
        </w:tabs>
        <w:kinsoku/>
        <w:wordWrap/>
        <w:overflowPunct/>
        <w:topLinePunct w:val="0"/>
        <w:autoSpaceDE/>
        <w:autoSpaceDN/>
        <w:bidi w:val="0"/>
        <w:adjustRightInd/>
        <w:snapToGrid/>
        <w:spacing w:before="157" w:beforeLines="50"/>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十、民生保障</w:t>
      </w:r>
    </w:p>
    <w:p>
      <w:pPr>
        <w:keepNext w:val="0"/>
        <w:keepLines w:val="0"/>
        <w:pageBreakBefore w:val="0"/>
        <w:widowControl w:val="0"/>
        <w:numPr>
          <w:ilvl w:val="0"/>
          <w:numId w:val="0"/>
        </w:numPr>
        <w:tabs>
          <w:tab w:val="left" w:pos="666"/>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居民收入快速增长。</w:t>
      </w:r>
      <w:r>
        <w:rPr>
          <w:rFonts w:hint="eastAsia" w:ascii="仿宋" w:hAnsi="仿宋" w:eastAsia="仿宋" w:cs="仿宋"/>
          <w:sz w:val="32"/>
          <w:szCs w:val="32"/>
          <w:lang w:val="en-US" w:eastAsia="zh-CN"/>
        </w:rPr>
        <w:t>2019年山亭区居民人均可支配收入17414元，同比增长8.4%，增速全市第一。其中，城镇居民人均可支配收入23556元，同比增长6.4%；农村居民人均可支配收入14348元，同比增长9.4%。</w:t>
      </w:r>
    </w:p>
    <w:p>
      <w:pPr>
        <w:keepNext w:val="0"/>
        <w:keepLines w:val="0"/>
        <w:pageBreakBefore w:val="0"/>
        <w:widowControl w:val="0"/>
        <w:numPr>
          <w:ilvl w:val="0"/>
          <w:numId w:val="0"/>
        </w:numPr>
        <w:tabs>
          <w:tab w:val="left" w:pos="666"/>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就业和社会保障逐步完善。</w:t>
      </w:r>
      <w:r>
        <w:rPr>
          <w:rFonts w:hint="eastAsia" w:ascii="仿宋" w:hAnsi="仿宋" w:eastAsia="仿宋" w:cs="仿宋"/>
          <w:sz w:val="32"/>
          <w:szCs w:val="32"/>
          <w:lang w:val="en-US" w:eastAsia="zh-CN"/>
        </w:rPr>
        <w:t>全年实现农村劳动力转移就业7230人，新增城镇就业4994人，城镇登记失业率控制在1.9%以内。开展就业创业培训74期2908人，核准发放小额担保贷款2354万元。新增就业参保人员2382人，征缴各项社会保险费4.47亿元，拨付各类社保待遇5.4亿元，社会保险综合覆盖率达89.03%。</w:t>
      </w:r>
    </w:p>
    <w:p>
      <w:pPr>
        <w:keepNext w:val="0"/>
        <w:keepLines w:val="0"/>
        <w:pageBreakBefore w:val="0"/>
        <w:widowControl w:val="0"/>
        <w:numPr>
          <w:ilvl w:val="0"/>
          <w:numId w:val="0"/>
        </w:numPr>
        <w:tabs>
          <w:tab w:val="left" w:pos="666"/>
        </w:tabs>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楷体" w:hAnsi="楷体" w:eastAsia="楷体" w:cs="楷体"/>
          <w:sz w:val="32"/>
          <w:szCs w:val="32"/>
          <w:lang w:val="en-US" w:eastAsia="zh-CN"/>
        </w:rPr>
        <w:t>城市建设加快推进。</w:t>
      </w:r>
      <w:r>
        <w:rPr>
          <w:rFonts w:hint="eastAsia" w:ascii="仿宋" w:hAnsi="仿宋" w:eastAsia="仿宋" w:cs="仿宋"/>
          <w:sz w:val="32"/>
          <w:szCs w:val="32"/>
          <w:lang w:val="en-US" w:eastAsia="zh-CN"/>
        </w:rPr>
        <w:t>投资约957万元，完成运河路升级改造工程；投资3161万元，实施府前东路改造提升工程。相继完成城区20余条道路维修，累计修补路面1000余平方米，修整人行道2000余平方米，新建改造污水管网5.4公里。加强路灯的日常管理维修，确保路灯完好率达100%，主干道灯明率达到100%。新建1000米的东城区外环泄洪渠工程顺利实施，每季度对城区7座桥梁进行检查，全面清理城区内河道和明沟，完成2.1万米管道疏通、1055个检查井清掏任务，夯实了城市防汛基础。</w:t>
      </w:r>
      <w:bookmarkStart w:id="1" w:name="_GoBack"/>
      <w:bookmarkEnd w:id="1"/>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lang w:val="en-US" w:eastAsia="zh-CN"/>
        </w:rPr>
      </w:pPr>
      <w:r>
        <w:rPr>
          <w:rFonts w:hint="eastAsia" w:ascii="楷体" w:hAnsi="楷体" w:eastAsia="楷体" w:cs="楷体"/>
          <w:lang w:val="en-US" w:eastAsia="zh-CN"/>
        </w:rPr>
        <w:t>安全生产形势基本稳定</w:t>
      </w:r>
      <w:r>
        <w:rPr>
          <w:rFonts w:hint="eastAsia"/>
          <w:lang w:val="en-US" w:eastAsia="zh-CN"/>
        </w:rPr>
        <w:t>。2019年发生生产经营性道路交通事故5起，死亡5人，与去年持平，农业机械事故、工矿商贸事故0起，安全生产形势基本稳定。</w:t>
      </w:r>
    </w:p>
    <w:p>
      <w:pPr>
        <w:keepNext w:val="0"/>
        <w:keepLines w:val="0"/>
        <w:pageBreakBefore w:val="0"/>
        <w:widowControl w:val="0"/>
        <w:numPr>
          <w:ilvl w:val="0"/>
          <w:numId w:val="0"/>
        </w:numPr>
        <w:tabs>
          <w:tab w:val="left" w:pos="666"/>
        </w:tabs>
        <w:kinsoku/>
        <w:wordWrap/>
        <w:overflowPunct/>
        <w:topLinePunct w:val="0"/>
        <w:autoSpaceDE/>
        <w:autoSpaceDN/>
        <w:bidi w:val="0"/>
        <w:adjustRightInd/>
        <w:snapToGrid/>
        <w:spacing w:before="157" w:beforeLines="50"/>
        <w:ind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十一、社会事业</w:t>
      </w:r>
    </w:p>
    <w:p>
      <w:pPr>
        <w:keepNext w:val="0"/>
        <w:keepLines w:val="0"/>
        <w:pageBreakBefore w:val="0"/>
        <w:widowControl w:val="0"/>
        <w:numPr>
          <w:ilvl w:val="0"/>
          <w:numId w:val="0"/>
        </w:numPr>
        <w:tabs>
          <w:tab w:val="left" w:pos="666"/>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教育事业稳步发展</w:t>
      </w:r>
      <w:r>
        <w:rPr>
          <w:rFonts w:hint="eastAsia" w:ascii="仿宋" w:hAnsi="仿宋" w:eastAsia="仿宋" w:cs="仿宋"/>
          <w:sz w:val="32"/>
          <w:szCs w:val="32"/>
          <w:lang w:val="en-US" w:eastAsia="zh-CN"/>
        </w:rPr>
        <w:t>。2019年义务教育满意度调查获全市第一。累计争取各级各类专项资金8019万元。区职业中专新校顺利通过省级规范化中职学校评估，投资5亿元的翔宇（翼云）中学4月30日正式启用，投资3000万元的智博阳光幼儿园主体完工。枣庄学院乡村振兴学院落户山亭区职业中专，填补了山亭区大学院校的空白。</w:t>
      </w:r>
    </w:p>
    <w:p>
      <w:pPr>
        <w:keepNext w:val="0"/>
        <w:keepLines w:val="0"/>
        <w:pageBreakBefore w:val="0"/>
        <w:widowControl w:val="0"/>
        <w:numPr>
          <w:ilvl w:val="0"/>
          <w:numId w:val="0"/>
        </w:numPr>
        <w:tabs>
          <w:tab w:val="left" w:pos="666"/>
        </w:tabs>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文化事业不断繁荣。</w:t>
      </w:r>
      <w:r>
        <w:rPr>
          <w:rFonts w:hint="eastAsia" w:ascii="仿宋" w:hAnsi="仿宋" w:eastAsia="仿宋" w:cs="仿宋"/>
          <w:sz w:val="32"/>
          <w:szCs w:val="32"/>
          <w:lang w:val="en-US" w:eastAsia="zh-CN"/>
        </w:rPr>
        <w:t> 海子遗址获得山东省五大考古新发现；选送的舞蹈类作品《八女投江》荣获第四届枣庄市群众文化艺术节舞蹈和广场舞大赛一等奖；编创柳琴戏《乡情》荣获山东省第二届农民戏剧展演月自创小戏一等奖；区级非遗项目鲁班木艺、野风烙画均入围山东省首届非遗+文创大赛。组建山亭区翼龙文化旅游投资发展有限公司，推动文旅市场化发展，打造山亭区文化旅游行业领头雁。启动区文化旅游服务中心（含档案馆）项目建设。举办新中国成立70周年系列文化活动，开展文化活动60余场次，开展“一年一村一场戏”送戏下乡276场，“一月一村一场电影”放映3336场。</w:t>
      </w:r>
    </w:p>
    <w:p>
      <w:pPr>
        <w:keepNext w:val="0"/>
        <w:keepLines w:val="0"/>
        <w:pageBreakBefore w:val="0"/>
        <w:widowControl w:val="0"/>
        <w:numPr>
          <w:ilvl w:val="0"/>
          <w:numId w:val="0"/>
        </w:numPr>
        <w:tabs>
          <w:tab w:val="left" w:pos="666"/>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体育事业不断发展</w:t>
      </w:r>
      <w:r>
        <w:rPr>
          <w:rFonts w:hint="eastAsia" w:ascii="仿宋" w:hAnsi="仿宋" w:eastAsia="仿宋" w:cs="仿宋"/>
          <w:sz w:val="32"/>
          <w:szCs w:val="32"/>
          <w:lang w:val="en-US" w:eastAsia="zh-CN"/>
        </w:rPr>
        <w:t>。承办山东省万人骑行活动（枣庄站）暨第八届中国·枣庄梅花山山地自行车公开赛，中国·枣庄环岩马湖半程马拉松比赛等省市级赛事5场次，荣获山东省第九届全民健身运动会先进单位。</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楷体" w:hAnsi="楷体" w:eastAsia="楷体" w:cs="楷体"/>
          <w:kern w:val="2"/>
          <w:sz w:val="32"/>
          <w:szCs w:val="32"/>
          <w:lang w:val="en-US" w:eastAsia="zh-CN" w:bidi="ar-SA"/>
        </w:rPr>
        <w:t>卫生服务水平持续提升。</w:t>
      </w:r>
      <w:r>
        <w:rPr>
          <w:rFonts w:hint="eastAsia"/>
          <w:lang w:val="en-US" w:eastAsia="zh-CN"/>
        </w:rPr>
        <w:t>成功创建国家卫生镇2个,省级卫生乡镇2个,省级卫生村31个，并提前完成全区十个镇街省级卫生乡镇全覆盖任务，也是全市唯一。组织医务人员免费开展义诊活动，推动四害防治，人居环境不断改善。</w:t>
      </w:r>
    </w:p>
    <w:p>
      <w:pPr>
        <w:keepNext w:val="0"/>
        <w:keepLines w:val="0"/>
        <w:pageBreakBefore w:val="0"/>
        <w:widowControl w:val="0"/>
        <w:numPr>
          <w:ilvl w:val="0"/>
          <w:numId w:val="0"/>
        </w:numPr>
        <w:tabs>
          <w:tab w:val="left" w:pos="666"/>
        </w:tabs>
        <w:kinsoku/>
        <w:wordWrap/>
        <w:overflowPunct/>
        <w:topLinePunct w:val="0"/>
        <w:autoSpaceDE/>
        <w:autoSpaceDN/>
        <w:bidi w:val="0"/>
        <w:adjustRightInd/>
        <w:snapToGrid/>
        <w:spacing w:before="157" w:beforeLines="50"/>
        <w:jc w:val="left"/>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before="157" w:beforeLines="50" w:after="157" w:afterLines="50" w:line="480" w:lineRule="exact"/>
        <w:ind w:right="0" w:rightChars="0"/>
        <w:textAlignment w:val="auto"/>
        <w:rPr>
          <w:rFonts w:eastAsia="仿宋"/>
          <w:b/>
          <w:bCs/>
          <w:color w:val="auto"/>
          <w:sz w:val="32"/>
          <w:szCs w:val="32"/>
        </w:rPr>
      </w:pPr>
    </w:p>
    <w:p>
      <w:pPr>
        <w:keepNext w:val="0"/>
        <w:keepLines w:val="0"/>
        <w:pageBreakBefore w:val="0"/>
        <w:kinsoku/>
        <w:wordWrap/>
        <w:overflowPunct/>
        <w:topLinePunct w:val="0"/>
        <w:autoSpaceDE/>
        <w:autoSpaceDN/>
        <w:bidi w:val="0"/>
        <w:adjustRightInd/>
        <w:snapToGrid/>
        <w:spacing w:before="157" w:beforeLines="50" w:after="157" w:afterLines="50" w:line="480" w:lineRule="exact"/>
        <w:ind w:right="0" w:rightChars="0"/>
        <w:textAlignment w:val="auto"/>
        <w:rPr>
          <w:rFonts w:eastAsia="仿宋"/>
          <w:b/>
          <w:bCs/>
          <w:color w:val="auto"/>
          <w:sz w:val="32"/>
          <w:szCs w:val="32"/>
        </w:rPr>
      </w:pPr>
    </w:p>
    <w:p>
      <w:pPr>
        <w:keepNext w:val="0"/>
        <w:keepLines w:val="0"/>
        <w:pageBreakBefore w:val="0"/>
        <w:kinsoku/>
        <w:wordWrap/>
        <w:overflowPunct/>
        <w:topLinePunct w:val="0"/>
        <w:autoSpaceDE/>
        <w:autoSpaceDN/>
        <w:bidi w:val="0"/>
        <w:adjustRightInd/>
        <w:snapToGrid/>
        <w:spacing w:before="157" w:beforeLines="50" w:after="157" w:afterLines="50" w:line="480" w:lineRule="exact"/>
        <w:ind w:right="0" w:rightChars="0"/>
        <w:textAlignment w:val="auto"/>
        <w:rPr>
          <w:rFonts w:eastAsia="仿宋"/>
          <w:b/>
          <w:bCs/>
          <w:color w:val="auto"/>
          <w:sz w:val="32"/>
          <w:szCs w:val="32"/>
        </w:rPr>
      </w:pPr>
    </w:p>
    <w:p>
      <w:pPr>
        <w:keepNext w:val="0"/>
        <w:keepLines w:val="0"/>
        <w:pageBreakBefore w:val="0"/>
        <w:kinsoku/>
        <w:wordWrap/>
        <w:overflowPunct/>
        <w:topLinePunct w:val="0"/>
        <w:autoSpaceDE/>
        <w:autoSpaceDN/>
        <w:bidi w:val="0"/>
        <w:adjustRightInd/>
        <w:snapToGrid/>
        <w:spacing w:before="157" w:beforeLines="50" w:after="157" w:afterLines="50" w:line="480" w:lineRule="exact"/>
        <w:ind w:right="0" w:rightChars="0"/>
        <w:textAlignment w:val="auto"/>
        <w:rPr>
          <w:rFonts w:eastAsia="仿宋"/>
          <w:b/>
          <w:bCs/>
          <w:color w:val="auto"/>
          <w:sz w:val="32"/>
          <w:szCs w:val="32"/>
        </w:rPr>
      </w:pPr>
      <w:r>
        <w:rPr>
          <w:rFonts w:eastAsia="仿宋"/>
          <w:b/>
          <w:bCs/>
          <w:color w:val="auto"/>
          <w:sz w:val="32"/>
          <w:szCs w:val="32"/>
        </w:rPr>
        <w:t>公报注释：</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本公报数据为初步统计数，最终核实数以《山亭统计年鉴》公布的数据为准</w:t>
      </w:r>
      <w:r>
        <w:rPr>
          <w:rFonts w:hint="eastAsia" w:ascii="仿宋" w:hAnsi="仿宋" w:eastAsia="仿宋" w:cs="仿宋"/>
          <w:color w:val="auto"/>
          <w:sz w:val="32"/>
          <w:szCs w:val="32"/>
          <w:lang w:eastAsia="zh-CN"/>
        </w:rPr>
        <w:t>。</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地区生产总值及其中各行业增加值绝对数按现价计算，增长速度按可比价计算。</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规模以上工业指年主营业务收入2000万元及以上</w:t>
      </w:r>
      <w:r>
        <w:rPr>
          <w:rFonts w:hint="eastAsia" w:ascii="仿宋" w:hAnsi="仿宋" w:eastAsia="仿宋" w:cs="仿宋"/>
          <w:color w:val="auto"/>
          <w:sz w:val="32"/>
          <w:szCs w:val="32"/>
          <w:shd w:val="clear" w:color="auto" w:fill="FFFFFF"/>
          <w:lang w:eastAsia="zh-CN"/>
        </w:rPr>
        <w:t>的工业法人单位</w:t>
      </w:r>
      <w:r>
        <w:rPr>
          <w:rFonts w:hint="eastAsia" w:ascii="仿宋" w:hAnsi="仿宋" w:eastAsia="仿宋" w:cs="仿宋"/>
          <w:color w:val="auto"/>
          <w:sz w:val="32"/>
          <w:szCs w:val="32"/>
          <w:shd w:val="clear" w:color="auto" w:fill="FFFFFF"/>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lang w:eastAsia="zh-CN"/>
        </w:rPr>
        <w:t>有资质的建筑业指有总承包、专业承包和劳务分包资质的建筑业法人单位。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lang w:eastAsia="zh-CN"/>
        </w:rPr>
        <w:t>限额以上批发业企业指年主营业务收入2000万元及以上的批发业企业，限额以上零售业企业指年主营业务收入500万元及以上的零售业企业，限额以上住宿和餐饮业企业指年主营业务收入200万元及以上的住宿和餐饮业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规模以上服务业企业，一是指辖区内年营业收入1000万元及以上或年末从业人员50人及以上服务业法人单位。包括：交通运输、仓储和邮政业，信息传输、软件和信息技术服务业，租赁和商务服务业，科学研究和技术服务业，水利、环境和公共设施管理业，教育，卫生和社会工作；以及物业管理、房地产中介服务、自有房地产经营活动和其他房地产业等行业。二是指辖区内年营业收入500万元及以上或年末从业人员50人及以上服务业法人单位。包括：居民服务、修理和其他服务业，文化、体育和娱乐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固定资产投资（不含农户）包括城镇和农村各种登记注册类型的企业、事业、行政单位以及城镇个体户计划总投资500万元及以上的建设项目投资，全部房地产开发经营业法人单位开发项目投资。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auto"/>
          <w:sz w:val="32"/>
          <w:szCs w:val="32"/>
          <w:shd w:val="clear" w:color="auto" w:fill="FFFFFF"/>
          <w:lang w:val="en-US" w:eastAsia="zh-CN"/>
        </w:rPr>
        <w:t>4、本公报中三次产业划分标准根据</w:t>
      </w:r>
      <w:bookmarkStart w:id="0" w:name="文号"/>
      <w:r>
        <w:rPr>
          <w:rFonts w:hint="eastAsia" w:ascii="仿宋" w:hAnsi="仿宋" w:eastAsia="仿宋" w:cs="仿宋"/>
          <w:color w:val="auto"/>
          <w:sz w:val="32"/>
          <w:szCs w:val="32"/>
          <w:shd w:val="clear" w:color="auto" w:fill="FFFFFF"/>
          <w:lang w:val="en-US" w:eastAsia="zh-CN"/>
        </w:rPr>
        <w:t>（国家统计局关于修订</w:t>
      </w:r>
      <w:bookmarkEnd w:id="0"/>
      <w:r>
        <w:rPr>
          <w:rFonts w:hint="eastAsia" w:ascii="仿宋" w:hAnsi="仿宋" w:eastAsia="仿宋" w:cs="仿宋"/>
          <w:color w:val="auto"/>
          <w:sz w:val="32"/>
          <w:szCs w:val="32"/>
          <w:shd w:val="clear" w:color="auto" w:fill="FFFFFF"/>
          <w:lang w:val="en-US" w:eastAsia="zh-CN"/>
        </w:rPr>
        <w:t>《三次产业划分规定（2012）》的通知</w:t>
      </w:r>
      <w:r>
        <w:rPr>
          <w:rFonts w:hint="eastAsia" w:ascii="宋体" w:hAnsi="宋体" w:eastAsia="仿宋" w:cs="宋体"/>
          <w:b/>
          <w:color w:val="333333"/>
          <w:kern w:val="0"/>
          <w:sz w:val="32"/>
          <w:szCs w:val="24"/>
          <w:lang w:val="en-US" w:eastAsia="zh-CN" w:bidi="ar"/>
        </w:rPr>
        <w:t>）</w:t>
      </w:r>
      <w:r>
        <w:rPr>
          <w:rFonts w:hint="eastAsia" w:ascii="仿宋" w:hAnsi="仿宋" w:eastAsia="仿宋" w:cs="仿宋"/>
          <w:color w:val="333333"/>
          <w:kern w:val="0"/>
          <w:sz w:val="32"/>
          <w:szCs w:val="32"/>
          <w:lang w:val="en-US" w:eastAsia="zh-CN" w:bidi="ar"/>
        </w:rPr>
        <w:t>国统设管函〔2018〕74号。</w:t>
      </w:r>
    </w:p>
    <w:p>
      <w:pPr>
        <w:keepNext w:val="0"/>
        <w:keepLines w:val="0"/>
        <w:pageBreakBefore w:val="0"/>
        <w:kinsoku/>
        <w:wordWrap/>
        <w:overflowPunct/>
        <w:topLinePunct w:val="0"/>
        <w:autoSpaceDE/>
        <w:autoSpaceDN/>
        <w:bidi w:val="0"/>
        <w:adjustRightInd/>
        <w:snapToGrid/>
        <w:spacing w:before="157" w:beforeLines="50" w:after="157" w:afterLines="50" w:line="480" w:lineRule="exact"/>
        <w:ind w:left="0" w:leftChars="0" w:right="0" w:rightChars="0" w:firstLine="643" w:firstLineChars="200"/>
        <w:textAlignment w:val="auto"/>
        <w:rPr>
          <w:rFonts w:hint="eastAsia" w:eastAsia="仿宋"/>
          <w:color w:val="auto"/>
          <w:sz w:val="32"/>
          <w:szCs w:val="32"/>
          <w:lang w:eastAsia="zh-CN"/>
        </w:rPr>
      </w:pPr>
      <w:r>
        <w:rPr>
          <w:rFonts w:eastAsia="仿宋"/>
          <w:b/>
          <w:color w:val="auto"/>
          <w:kern w:val="0"/>
          <w:sz w:val="32"/>
          <w:szCs w:val="32"/>
          <w:shd w:val="clear" w:color="auto" w:fill="FFFFFF"/>
        </w:rPr>
        <w:t>资料来源：</w:t>
      </w:r>
    </w:p>
    <w:p>
      <w:pPr>
        <w:keepNext w:val="0"/>
        <w:keepLines w:val="0"/>
        <w:pageBreakBefore w:val="0"/>
        <w:widowControl w:val="0"/>
        <w:numPr>
          <w:ilvl w:val="0"/>
          <w:numId w:val="0"/>
        </w:numPr>
        <w:tabs>
          <w:tab w:val="left" w:pos="666"/>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eastAsia="仿宋"/>
          <w:color w:val="auto"/>
          <w:kern w:val="0"/>
          <w:sz w:val="32"/>
          <w:szCs w:val="32"/>
          <w:shd w:val="clear" w:color="auto" w:fill="FFFFFF"/>
        </w:rPr>
        <w:t>本公报中</w:t>
      </w:r>
      <w:r>
        <w:rPr>
          <w:rFonts w:eastAsia="仿宋"/>
          <w:color w:val="auto"/>
          <w:sz w:val="32"/>
          <w:szCs w:val="32"/>
        </w:rPr>
        <w:t>公安户籍人口</w:t>
      </w:r>
      <w:r>
        <w:rPr>
          <w:rFonts w:eastAsia="仿宋"/>
          <w:color w:val="auto"/>
          <w:kern w:val="0"/>
          <w:sz w:val="32"/>
          <w:szCs w:val="32"/>
          <w:shd w:val="clear" w:color="auto" w:fill="FFFFFF"/>
        </w:rPr>
        <w:t>来自</w:t>
      </w:r>
      <w:r>
        <w:rPr>
          <w:rFonts w:hint="eastAsia" w:eastAsia="仿宋"/>
          <w:color w:val="auto"/>
          <w:kern w:val="0"/>
          <w:sz w:val="32"/>
          <w:szCs w:val="32"/>
          <w:shd w:val="clear" w:color="auto" w:fill="FFFFFF"/>
        </w:rPr>
        <w:t>区</w:t>
      </w:r>
      <w:r>
        <w:rPr>
          <w:rFonts w:eastAsia="仿宋"/>
          <w:color w:val="auto"/>
          <w:kern w:val="0"/>
          <w:sz w:val="32"/>
          <w:szCs w:val="32"/>
          <w:shd w:val="clear" w:color="auto" w:fill="FFFFFF"/>
        </w:rPr>
        <w:t>公安</w:t>
      </w:r>
      <w:r>
        <w:rPr>
          <w:rFonts w:hint="eastAsia" w:eastAsia="仿宋"/>
          <w:color w:val="auto"/>
          <w:kern w:val="0"/>
          <w:sz w:val="32"/>
          <w:szCs w:val="32"/>
          <w:shd w:val="clear" w:color="auto" w:fill="FFFFFF"/>
          <w:lang w:eastAsia="zh-CN"/>
        </w:rPr>
        <w:t>分</w:t>
      </w:r>
      <w:r>
        <w:rPr>
          <w:rFonts w:eastAsia="仿宋"/>
          <w:color w:val="auto"/>
          <w:kern w:val="0"/>
          <w:sz w:val="32"/>
          <w:szCs w:val="32"/>
          <w:shd w:val="clear" w:color="auto" w:fill="FFFFFF"/>
        </w:rPr>
        <w:t>局，</w:t>
      </w:r>
      <w:r>
        <w:rPr>
          <w:rFonts w:hint="eastAsia" w:eastAsia="仿宋"/>
          <w:color w:val="auto"/>
          <w:kern w:val="0"/>
          <w:sz w:val="32"/>
          <w:szCs w:val="32"/>
          <w:shd w:val="clear" w:color="auto" w:fill="FFFFFF"/>
          <w:lang w:eastAsia="zh-CN"/>
        </w:rPr>
        <w:t>计划生育有关数据、</w:t>
      </w:r>
      <w:r>
        <w:rPr>
          <w:rFonts w:eastAsia="仿宋"/>
          <w:color w:val="auto"/>
          <w:kern w:val="0"/>
          <w:sz w:val="32"/>
          <w:szCs w:val="32"/>
          <w:shd w:val="clear" w:color="auto" w:fill="FFFFFF"/>
        </w:rPr>
        <w:t>卫生数据来自</w:t>
      </w:r>
      <w:r>
        <w:rPr>
          <w:rFonts w:hint="eastAsia" w:eastAsia="仿宋"/>
          <w:color w:val="auto"/>
          <w:kern w:val="0"/>
          <w:sz w:val="32"/>
          <w:szCs w:val="32"/>
          <w:shd w:val="clear" w:color="auto" w:fill="FFFFFF"/>
        </w:rPr>
        <w:t>区</w:t>
      </w:r>
      <w:r>
        <w:rPr>
          <w:rFonts w:hint="eastAsia" w:eastAsia="仿宋"/>
          <w:color w:val="auto"/>
          <w:kern w:val="0"/>
          <w:sz w:val="32"/>
          <w:szCs w:val="32"/>
          <w:shd w:val="clear" w:color="auto" w:fill="FFFFFF"/>
          <w:lang w:eastAsia="zh-CN"/>
        </w:rPr>
        <w:t>卫生健康</w:t>
      </w:r>
      <w:r>
        <w:rPr>
          <w:rFonts w:hint="eastAsia" w:eastAsia="仿宋"/>
          <w:color w:val="auto"/>
          <w:kern w:val="0"/>
          <w:sz w:val="32"/>
          <w:szCs w:val="32"/>
          <w:shd w:val="clear" w:color="auto" w:fill="FFFFFF"/>
        </w:rPr>
        <w:t>局</w:t>
      </w:r>
      <w:r>
        <w:rPr>
          <w:rFonts w:eastAsia="仿宋"/>
          <w:color w:val="auto"/>
          <w:kern w:val="0"/>
          <w:sz w:val="32"/>
          <w:szCs w:val="32"/>
          <w:shd w:val="clear" w:color="auto" w:fill="FFFFFF"/>
        </w:rPr>
        <w:t>，进出口</w:t>
      </w:r>
      <w:r>
        <w:rPr>
          <w:rFonts w:hint="eastAsia" w:eastAsia="仿宋"/>
          <w:color w:val="auto"/>
          <w:kern w:val="0"/>
          <w:sz w:val="32"/>
          <w:szCs w:val="32"/>
          <w:shd w:val="clear" w:color="auto" w:fill="FFFFFF"/>
        </w:rPr>
        <w:t>、</w:t>
      </w:r>
      <w:r>
        <w:rPr>
          <w:rFonts w:eastAsia="仿宋"/>
          <w:color w:val="auto"/>
          <w:kern w:val="0"/>
          <w:sz w:val="32"/>
          <w:szCs w:val="32"/>
          <w:shd w:val="clear" w:color="auto" w:fill="FFFFFF"/>
        </w:rPr>
        <w:t>对外经济数据来自</w:t>
      </w:r>
      <w:r>
        <w:rPr>
          <w:rFonts w:hint="eastAsia" w:eastAsia="仿宋"/>
          <w:color w:val="auto"/>
          <w:kern w:val="0"/>
          <w:sz w:val="32"/>
          <w:szCs w:val="32"/>
          <w:shd w:val="clear" w:color="auto" w:fill="FFFFFF"/>
        </w:rPr>
        <w:t>区</w:t>
      </w:r>
      <w:r>
        <w:rPr>
          <w:rFonts w:eastAsia="仿宋"/>
          <w:color w:val="auto"/>
          <w:kern w:val="0"/>
          <w:sz w:val="32"/>
          <w:szCs w:val="32"/>
          <w:shd w:val="clear" w:color="auto" w:fill="FFFFFF"/>
        </w:rPr>
        <w:t>商务</w:t>
      </w:r>
      <w:r>
        <w:rPr>
          <w:rFonts w:hint="eastAsia" w:eastAsia="仿宋"/>
          <w:color w:val="auto"/>
          <w:kern w:val="0"/>
          <w:sz w:val="32"/>
          <w:szCs w:val="32"/>
          <w:shd w:val="clear" w:color="auto" w:fill="FFFFFF"/>
          <w:lang w:eastAsia="zh-CN"/>
        </w:rPr>
        <w:t>和投资促进</w:t>
      </w:r>
      <w:r>
        <w:rPr>
          <w:rFonts w:eastAsia="仿宋"/>
          <w:color w:val="auto"/>
          <w:kern w:val="0"/>
          <w:sz w:val="32"/>
          <w:szCs w:val="32"/>
          <w:shd w:val="clear" w:color="auto" w:fill="FFFFFF"/>
        </w:rPr>
        <w:t>局，货物、旅客运输及周转量数据来自</w:t>
      </w:r>
      <w:r>
        <w:rPr>
          <w:rFonts w:hint="eastAsia" w:eastAsia="仿宋"/>
          <w:color w:val="auto"/>
          <w:kern w:val="0"/>
          <w:sz w:val="32"/>
          <w:szCs w:val="32"/>
          <w:shd w:val="clear" w:color="auto" w:fill="FFFFFF"/>
        </w:rPr>
        <w:t>区</w:t>
      </w:r>
      <w:r>
        <w:rPr>
          <w:rFonts w:eastAsia="仿宋"/>
          <w:color w:val="auto"/>
          <w:kern w:val="0"/>
          <w:sz w:val="32"/>
          <w:szCs w:val="32"/>
          <w:shd w:val="clear" w:color="auto" w:fill="FFFFFF"/>
        </w:rPr>
        <w:t>交通</w:t>
      </w:r>
      <w:r>
        <w:rPr>
          <w:rFonts w:hint="eastAsia" w:eastAsia="仿宋"/>
          <w:color w:val="auto"/>
          <w:kern w:val="0"/>
          <w:sz w:val="32"/>
          <w:szCs w:val="32"/>
          <w:shd w:val="clear" w:color="auto" w:fill="FFFFFF"/>
          <w:lang w:eastAsia="zh-CN"/>
        </w:rPr>
        <w:t>运输</w:t>
      </w:r>
      <w:r>
        <w:rPr>
          <w:rFonts w:eastAsia="仿宋"/>
          <w:color w:val="auto"/>
          <w:kern w:val="0"/>
          <w:sz w:val="32"/>
          <w:szCs w:val="32"/>
          <w:shd w:val="clear" w:color="auto" w:fill="FFFFFF"/>
        </w:rPr>
        <w:t>局，邮电通信数据来自</w:t>
      </w:r>
      <w:r>
        <w:rPr>
          <w:rFonts w:hint="eastAsia" w:eastAsia="仿宋"/>
          <w:color w:val="auto"/>
          <w:kern w:val="0"/>
          <w:sz w:val="32"/>
          <w:szCs w:val="32"/>
          <w:shd w:val="clear" w:color="auto" w:fill="FFFFFF"/>
        </w:rPr>
        <w:t>区</w:t>
      </w:r>
      <w:r>
        <w:rPr>
          <w:rFonts w:eastAsia="仿宋"/>
          <w:color w:val="auto"/>
          <w:kern w:val="0"/>
          <w:sz w:val="32"/>
          <w:szCs w:val="32"/>
          <w:shd w:val="clear" w:color="auto" w:fill="FFFFFF"/>
        </w:rPr>
        <w:t>移动公司、</w:t>
      </w:r>
      <w:r>
        <w:rPr>
          <w:rFonts w:hint="eastAsia" w:eastAsia="仿宋"/>
          <w:color w:val="auto"/>
          <w:kern w:val="0"/>
          <w:sz w:val="32"/>
          <w:szCs w:val="32"/>
          <w:shd w:val="clear" w:color="auto" w:fill="FFFFFF"/>
        </w:rPr>
        <w:t>区</w:t>
      </w:r>
      <w:r>
        <w:rPr>
          <w:rFonts w:eastAsia="仿宋"/>
          <w:color w:val="auto"/>
          <w:kern w:val="0"/>
          <w:sz w:val="32"/>
          <w:szCs w:val="32"/>
          <w:shd w:val="clear" w:color="auto" w:fill="FFFFFF"/>
        </w:rPr>
        <w:t>联通公司、</w:t>
      </w:r>
      <w:r>
        <w:rPr>
          <w:rFonts w:hint="eastAsia" w:eastAsia="仿宋"/>
          <w:color w:val="auto"/>
          <w:kern w:val="0"/>
          <w:sz w:val="32"/>
          <w:szCs w:val="32"/>
          <w:shd w:val="clear" w:color="auto" w:fill="FFFFFF"/>
        </w:rPr>
        <w:t>区</w:t>
      </w:r>
      <w:r>
        <w:rPr>
          <w:rFonts w:eastAsia="仿宋"/>
          <w:color w:val="auto"/>
          <w:kern w:val="0"/>
          <w:sz w:val="32"/>
          <w:szCs w:val="32"/>
          <w:shd w:val="clear" w:color="auto" w:fill="FFFFFF"/>
        </w:rPr>
        <w:t>电信公司、</w:t>
      </w:r>
      <w:r>
        <w:rPr>
          <w:rFonts w:hint="eastAsia" w:eastAsia="仿宋"/>
          <w:color w:val="auto"/>
          <w:kern w:val="0"/>
          <w:sz w:val="32"/>
          <w:szCs w:val="32"/>
          <w:shd w:val="clear" w:color="auto" w:fill="FFFFFF"/>
        </w:rPr>
        <w:t>区</w:t>
      </w:r>
      <w:r>
        <w:rPr>
          <w:rFonts w:eastAsia="仿宋"/>
          <w:color w:val="auto"/>
          <w:kern w:val="0"/>
          <w:sz w:val="32"/>
          <w:szCs w:val="32"/>
          <w:shd w:val="clear" w:color="auto" w:fill="FFFFFF"/>
        </w:rPr>
        <w:t>邮政局，</w:t>
      </w:r>
      <w:r>
        <w:rPr>
          <w:rFonts w:hint="eastAsia" w:eastAsia="仿宋"/>
          <w:color w:val="auto"/>
          <w:kern w:val="0"/>
          <w:sz w:val="32"/>
          <w:szCs w:val="32"/>
          <w:shd w:val="clear" w:color="auto" w:fill="FFFFFF"/>
        </w:rPr>
        <w:t>旅游</w:t>
      </w:r>
      <w:r>
        <w:rPr>
          <w:rFonts w:hint="eastAsia" w:eastAsia="仿宋"/>
          <w:color w:val="auto"/>
          <w:kern w:val="0"/>
          <w:sz w:val="32"/>
          <w:szCs w:val="32"/>
          <w:shd w:val="clear" w:color="auto" w:fill="FFFFFF"/>
          <w:lang w:eastAsia="zh-CN"/>
        </w:rPr>
        <w:t>、</w:t>
      </w:r>
      <w:r>
        <w:rPr>
          <w:rFonts w:eastAsia="仿宋"/>
          <w:color w:val="auto"/>
          <w:kern w:val="0"/>
          <w:sz w:val="32"/>
          <w:szCs w:val="32"/>
          <w:shd w:val="clear" w:color="auto" w:fill="FFFFFF"/>
        </w:rPr>
        <w:t>文化</w:t>
      </w:r>
      <w:r>
        <w:rPr>
          <w:rFonts w:hint="eastAsia" w:eastAsia="仿宋"/>
          <w:color w:val="auto"/>
          <w:kern w:val="0"/>
          <w:sz w:val="32"/>
          <w:szCs w:val="32"/>
          <w:shd w:val="clear" w:color="auto" w:fill="FFFFFF"/>
        </w:rPr>
        <w:t>数据来自</w:t>
      </w:r>
      <w:r>
        <w:rPr>
          <w:rFonts w:hint="eastAsia" w:eastAsia="仿宋"/>
          <w:color w:val="auto"/>
          <w:kern w:val="0"/>
          <w:sz w:val="32"/>
          <w:szCs w:val="32"/>
          <w:shd w:val="clear" w:color="auto" w:fill="FFFFFF"/>
          <w:lang w:eastAsia="zh-CN"/>
        </w:rPr>
        <w:t>区文化和旅游</w:t>
      </w:r>
      <w:r>
        <w:rPr>
          <w:rFonts w:hint="eastAsia" w:eastAsia="仿宋"/>
          <w:color w:val="auto"/>
          <w:kern w:val="0"/>
          <w:sz w:val="32"/>
          <w:szCs w:val="32"/>
          <w:shd w:val="clear" w:color="auto" w:fill="FFFFFF"/>
        </w:rPr>
        <w:t>局，</w:t>
      </w:r>
      <w:r>
        <w:rPr>
          <w:rFonts w:eastAsia="仿宋"/>
          <w:color w:val="auto"/>
          <w:kern w:val="0"/>
          <w:sz w:val="32"/>
          <w:szCs w:val="32"/>
          <w:shd w:val="clear" w:color="auto" w:fill="FFFFFF"/>
        </w:rPr>
        <w:t>财政数据来自</w:t>
      </w:r>
      <w:r>
        <w:rPr>
          <w:rFonts w:hint="eastAsia" w:eastAsia="仿宋"/>
          <w:color w:val="auto"/>
          <w:kern w:val="0"/>
          <w:sz w:val="32"/>
          <w:szCs w:val="32"/>
          <w:shd w:val="clear" w:color="auto" w:fill="FFFFFF"/>
        </w:rPr>
        <w:t>区</w:t>
      </w:r>
      <w:r>
        <w:rPr>
          <w:rFonts w:eastAsia="仿宋"/>
          <w:color w:val="auto"/>
          <w:kern w:val="0"/>
          <w:sz w:val="32"/>
          <w:szCs w:val="32"/>
          <w:shd w:val="clear" w:color="auto" w:fill="FFFFFF"/>
        </w:rPr>
        <w:t>财政局，</w:t>
      </w:r>
      <w:r>
        <w:rPr>
          <w:rFonts w:hint="eastAsia" w:eastAsia="仿宋"/>
          <w:color w:val="auto"/>
          <w:kern w:val="0"/>
          <w:sz w:val="32"/>
          <w:szCs w:val="32"/>
          <w:shd w:val="clear" w:color="auto" w:fill="FFFFFF"/>
        </w:rPr>
        <w:t>税收数据来自</w:t>
      </w:r>
      <w:r>
        <w:rPr>
          <w:rFonts w:hint="eastAsia" w:eastAsia="仿宋"/>
          <w:color w:val="auto"/>
          <w:kern w:val="0"/>
          <w:sz w:val="32"/>
          <w:szCs w:val="32"/>
          <w:shd w:val="clear" w:color="auto" w:fill="FFFFFF"/>
          <w:lang w:eastAsia="zh-CN"/>
        </w:rPr>
        <w:t>区</w:t>
      </w:r>
      <w:r>
        <w:rPr>
          <w:rFonts w:hint="eastAsia" w:eastAsia="仿宋"/>
          <w:color w:val="auto"/>
          <w:kern w:val="0"/>
          <w:sz w:val="32"/>
          <w:szCs w:val="32"/>
          <w:shd w:val="clear" w:color="auto" w:fill="FFFFFF"/>
        </w:rPr>
        <w:t>税务局</w:t>
      </w:r>
      <w:r>
        <w:rPr>
          <w:rFonts w:hint="eastAsia" w:eastAsia="仿宋"/>
          <w:color w:val="auto"/>
          <w:kern w:val="0"/>
          <w:sz w:val="32"/>
          <w:szCs w:val="32"/>
          <w:shd w:val="clear" w:color="auto" w:fill="FFFFFF"/>
          <w:lang w:eastAsia="zh-CN"/>
        </w:rPr>
        <w:t>，金融机构</w:t>
      </w:r>
      <w:r>
        <w:rPr>
          <w:rFonts w:eastAsia="仿宋"/>
          <w:color w:val="auto"/>
          <w:kern w:val="0"/>
          <w:sz w:val="32"/>
          <w:szCs w:val="32"/>
          <w:shd w:val="clear" w:color="auto" w:fill="FFFFFF"/>
        </w:rPr>
        <w:t>存贷款数据来自</w:t>
      </w:r>
      <w:r>
        <w:rPr>
          <w:rFonts w:hint="eastAsia" w:eastAsia="仿宋"/>
          <w:color w:val="auto"/>
          <w:kern w:val="0"/>
          <w:sz w:val="32"/>
          <w:szCs w:val="32"/>
          <w:shd w:val="clear" w:color="auto" w:fill="FFFFFF"/>
        </w:rPr>
        <w:t>区金融</w:t>
      </w:r>
      <w:r>
        <w:rPr>
          <w:rFonts w:hint="eastAsia" w:eastAsia="仿宋"/>
          <w:color w:val="auto"/>
          <w:kern w:val="0"/>
          <w:sz w:val="32"/>
          <w:szCs w:val="32"/>
          <w:shd w:val="clear" w:color="auto" w:fill="FFFFFF"/>
          <w:lang w:eastAsia="zh-CN"/>
        </w:rPr>
        <w:t>服务中心</w:t>
      </w:r>
      <w:r>
        <w:rPr>
          <w:rFonts w:eastAsia="仿宋"/>
          <w:color w:val="auto"/>
          <w:kern w:val="0"/>
          <w:sz w:val="32"/>
          <w:szCs w:val="32"/>
          <w:shd w:val="clear" w:color="auto" w:fill="FFFFFF"/>
        </w:rPr>
        <w:t>，教育</w:t>
      </w:r>
      <w:r>
        <w:rPr>
          <w:rFonts w:hint="eastAsia" w:eastAsia="仿宋"/>
          <w:color w:val="auto"/>
          <w:kern w:val="0"/>
          <w:sz w:val="32"/>
          <w:szCs w:val="32"/>
          <w:shd w:val="clear" w:color="auto" w:fill="FFFFFF"/>
          <w:lang w:eastAsia="zh-CN"/>
        </w:rPr>
        <w:t>、</w:t>
      </w:r>
      <w:r>
        <w:rPr>
          <w:rFonts w:eastAsia="仿宋"/>
          <w:color w:val="auto"/>
          <w:kern w:val="0"/>
          <w:sz w:val="32"/>
          <w:szCs w:val="32"/>
          <w:shd w:val="clear" w:color="auto" w:fill="FFFFFF"/>
        </w:rPr>
        <w:t>体育数据来自</w:t>
      </w:r>
      <w:r>
        <w:rPr>
          <w:rFonts w:hint="eastAsia" w:eastAsia="仿宋"/>
          <w:color w:val="auto"/>
          <w:kern w:val="0"/>
          <w:sz w:val="32"/>
          <w:szCs w:val="32"/>
          <w:shd w:val="clear" w:color="auto" w:fill="FFFFFF"/>
        </w:rPr>
        <w:t>区</w:t>
      </w:r>
      <w:r>
        <w:rPr>
          <w:rFonts w:hint="eastAsia" w:eastAsia="仿宋"/>
          <w:color w:val="auto"/>
          <w:kern w:val="0"/>
          <w:sz w:val="32"/>
          <w:szCs w:val="32"/>
          <w:shd w:val="clear" w:color="auto" w:fill="FFFFFF"/>
          <w:lang w:eastAsia="zh-CN"/>
        </w:rPr>
        <w:t>教育和体育</w:t>
      </w:r>
      <w:r>
        <w:rPr>
          <w:rFonts w:eastAsia="仿宋"/>
          <w:color w:val="auto"/>
          <w:kern w:val="0"/>
          <w:sz w:val="32"/>
          <w:szCs w:val="32"/>
          <w:shd w:val="clear" w:color="auto" w:fill="FFFFFF"/>
        </w:rPr>
        <w:t>局，</w:t>
      </w:r>
      <w:r>
        <w:rPr>
          <w:rFonts w:eastAsia="仿宋"/>
          <w:color w:val="auto"/>
          <w:sz w:val="32"/>
          <w:szCs w:val="32"/>
        </w:rPr>
        <w:t>科技数据来自</w:t>
      </w:r>
      <w:r>
        <w:rPr>
          <w:rFonts w:hint="eastAsia" w:eastAsia="仿宋"/>
          <w:color w:val="auto"/>
          <w:sz w:val="32"/>
          <w:szCs w:val="32"/>
        </w:rPr>
        <w:t>区</w:t>
      </w:r>
      <w:r>
        <w:rPr>
          <w:rFonts w:eastAsia="仿宋"/>
          <w:color w:val="auto"/>
          <w:sz w:val="32"/>
          <w:szCs w:val="32"/>
        </w:rPr>
        <w:t>科技局</w:t>
      </w:r>
      <w:r>
        <w:rPr>
          <w:rFonts w:eastAsia="仿宋"/>
          <w:color w:val="auto"/>
          <w:kern w:val="0"/>
          <w:sz w:val="32"/>
          <w:szCs w:val="32"/>
          <w:shd w:val="clear" w:color="auto" w:fill="FFFFFF"/>
        </w:rPr>
        <w:t>，</w:t>
      </w:r>
      <w:r>
        <w:rPr>
          <w:rFonts w:hint="eastAsia" w:eastAsia="仿宋"/>
          <w:color w:val="auto"/>
          <w:kern w:val="0"/>
          <w:sz w:val="32"/>
          <w:szCs w:val="32"/>
          <w:shd w:val="clear" w:color="auto" w:fill="FFFFFF"/>
          <w:lang w:eastAsia="zh-CN"/>
        </w:rPr>
        <w:t>市场主体、</w:t>
      </w:r>
      <w:r>
        <w:rPr>
          <w:rFonts w:eastAsia="仿宋"/>
          <w:color w:val="auto"/>
          <w:kern w:val="0"/>
          <w:sz w:val="32"/>
          <w:szCs w:val="32"/>
          <w:shd w:val="clear" w:color="auto" w:fill="FFFFFF"/>
        </w:rPr>
        <w:t>专利数据来自</w:t>
      </w:r>
      <w:r>
        <w:rPr>
          <w:rFonts w:hint="eastAsia" w:eastAsia="仿宋"/>
          <w:color w:val="auto"/>
          <w:kern w:val="0"/>
          <w:sz w:val="32"/>
          <w:szCs w:val="32"/>
          <w:shd w:val="clear" w:color="auto" w:fill="FFFFFF"/>
          <w:lang w:eastAsia="zh-CN"/>
        </w:rPr>
        <w:t>区市场监管局</w:t>
      </w:r>
      <w:r>
        <w:rPr>
          <w:rFonts w:hint="eastAsia" w:eastAsia="仿宋"/>
          <w:color w:val="auto"/>
          <w:kern w:val="0"/>
          <w:sz w:val="32"/>
          <w:szCs w:val="32"/>
          <w:shd w:val="clear" w:color="auto" w:fill="FFFFFF"/>
          <w:lang w:val="en-US" w:eastAsia="zh-CN"/>
        </w:rPr>
        <w:t>,</w:t>
      </w:r>
      <w:r>
        <w:rPr>
          <w:rFonts w:eastAsia="仿宋"/>
          <w:color w:val="auto"/>
          <w:sz w:val="32"/>
          <w:szCs w:val="32"/>
        </w:rPr>
        <w:t>城市建设</w:t>
      </w:r>
      <w:r>
        <w:rPr>
          <w:rFonts w:eastAsia="仿宋"/>
          <w:color w:val="auto"/>
          <w:kern w:val="0"/>
          <w:sz w:val="32"/>
          <w:szCs w:val="32"/>
          <w:shd w:val="clear" w:color="auto" w:fill="FFFFFF"/>
        </w:rPr>
        <w:t>数据来自</w:t>
      </w:r>
      <w:r>
        <w:rPr>
          <w:rFonts w:hint="eastAsia" w:eastAsia="仿宋"/>
          <w:color w:val="auto"/>
          <w:kern w:val="0"/>
          <w:sz w:val="32"/>
          <w:szCs w:val="32"/>
          <w:shd w:val="clear" w:color="auto" w:fill="FFFFFF"/>
        </w:rPr>
        <w:t>区</w:t>
      </w:r>
      <w:r>
        <w:rPr>
          <w:rFonts w:eastAsia="仿宋"/>
          <w:color w:val="auto"/>
          <w:kern w:val="0"/>
          <w:sz w:val="32"/>
          <w:szCs w:val="32"/>
          <w:shd w:val="clear" w:color="auto" w:fill="FFFFFF"/>
        </w:rPr>
        <w:t>住建局，环境保护数据来自</w:t>
      </w:r>
      <w:r>
        <w:rPr>
          <w:rFonts w:hint="eastAsia" w:eastAsia="仿宋"/>
          <w:color w:val="auto"/>
          <w:kern w:val="0"/>
          <w:sz w:val="32"/>
          <w:szCs w:val="32"/>
          <w:shd w:val="clear" w:color="auto" w:fill="FFFFFF"/>
        </w:rPr>
        <w:t>区</w:t>
      </w:r>
      <w:r>
        <w:rPr>
          <w:rFonts w:eastAsia="仿宋"/>
          <w:color w:val="auto"/>
          <w:kern w:val="0"/>
          <w:sz w:val="32"/>
          <w:szCs w:val="32"/>
          <w:shd w:val="clear" w:color="auto" w:fill="FFFFFF"/>
        </w:rPr>
        <w:t>环保局，社会保险、就业数据来自</w:t>
      </w:r>
      <w:r>
        <w:rPr>
          <w:rFonts w:hint="eastAsia" w:eastAsia="仿宋"/>
          <w:color w:val="auto"/>
          <w:kern w:val="0"/>
          <w:sz w:val="32"/>
          <w:szCs w:val="32"/>
          <w:shd w:val="clear" w:color="auto" w:fill="FFFFFF"/>
        </w:rPr>
        <w:t>区</w:t>
      </w:r>
      <w:r>
        <w:rPr>
          <w:rFonts w:eastAsia="仿宋"/>
          <w:color w:val="auto"/>
          <w:kern w:val="0"/>
          <w:sz w:val="32"/>
          <w:szCs w:val="32"/>
          <w:shd w:val="clear" w:color="auto" w:fill="FFFFFF"/>
        </w:rPr>
        <w:t>人社局，林业数据来自</w:t>
      </w:r>
      <w:r>
        <w:rPr>
          <w:rFonts w:hint="eastAsia" w:eastAsia="仿宋"/>
          <w:color w:val="auto"/>
          <w:kern w:val="0"/>
          <w:sz w:val="32"/>
          <w:szCs w:val="32"/>
          <w:shd w:val="clear" w:color="auto" w:fill="FFFFFF"/>
          <w:lang w:eastAsia="zh-CN"/>
        </w:rPr>
        <w:t>区自然资源</w:t>
      </w:r>
      <w:r>
        <w:rPr>
          <w:rFonts w:eastAsia="仿宋"/>
          <w:color w:val="auto"/>
          <w:kern w:val="0"/>
          <w:sz w:val="32"/>
          <w:szCs w:val="32"/>
          <w:shd w:val="clear" w:color="auto" w:fill="FFFFFF"/>
        </w:rPr>
        <w:t>局，</w:t>
      </w:r>
      <w:r>
        <w:rPr>
          <w:rFonts w:hint="eastAsia" w:eastAsia="仿宋"/>
          <w:color w:val="auto"/>
          <w:kern w:val="0"/>
          <w:sz w:val="32"/>
          <w:szCs w:val="32"/>
          <w:shd w:val="clear" w:color="auto" w:fill="FFFFFF"/>
          <w:lang w:eastAsia="zh-CN"/>
        </w:rPr>
        <w:t>渔业数据、水务数据来自区城乡水务局，</w:t>
      </w:r>
      <w:r>
        <w:rPr>
          <w:rFonts w:eastAsia="仿宋"/>
          <w:color w:val="auto"/>
          <w:kern w:val="0"/>
          <w:sz w:val="32"/>
          <w:szCs w:val="32"/>
          <w:shd w:val="clear" w:color="auto" w:fill="FFFFFF"/>
        </w:rPr>
        <w:t>安全生产数据</w:t>
      </w:r>
      <w:r>
        <w:rPr>
          <w:rFonts w:hint="eastAsia" w:eastAsia="仿宋"/>
          <w:color w:val="auto"/>
          <w:kern w:val="0"/>
          <w:sz w:val="28"/>
          <w:szCs w:val="28"/>
          <w:shd w:val="clear" w:color="auto" w:fill="FFFFFF"/>
          <w:lang w:eastAsia="zh-CN"/>
        </w:rPr>
        <w:t>来自区应急管理局，</w:t>
      </w:r>
      <w:r>
        <w:rPr>
          <w:rFonts w:hint="eastAsia" w:eastAsia="仿宋"/>
          <w:color w:val="auto"/>
          <w:kern w:val="0"/>
          <w:sz w:val="32"/>
          <w:szCs w:val="32"/>
          <w:shd w:val="clear" w:color="auto" w:fill="FFFFFF"/>
          <w:lang w:eastAsia="zh-CN"/>
        </w:rPr>
        <w:t>部分农业数据来自区农业农村局，价格指数为全市数据，其他数据均来自统计局。</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C9AFD1"/>
    <w:multiLevelType w:val="singleLevel"/>
    <w:tmpl w:val="D7C9AFD1"/>
    <w:lvl w:ilvl="0" w:tentative="0">
      <w:start w:val="2"/>
      <w:numFmt w:val="chineseCounting"/>
      <w:suff w:val="nothing"/>
      <w:lvlText w:val="%1、"/>
      <w:lvlJc w:val="left"/>
      <w:rPr>
        <w:rFonts w:hint="eastAsia"/>
      </w:rPr>
    </w:lvl>
  </w:abstractNum>
  <w:abstractNum w:abstractNumId="1">
    <w:nsid w:val="6DF2A41D"/>
    <w:multiLevelType w:val="singleLevel"/>
    <w:tmpl w:val="6DF2A41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12BDA"/>
    <w:rsid w:val="00F3646A"/>
    <w:rsid w:val="033B274C"/>
    <w:rsid w:val="03E74898"/>
    <w:rsid w:val="04100A7A"/>
    <w:rsid w:val="046A0817"/>
    <w:rsid w:val="04CC58E4"/>
    <w:rsid w:val="059F5651"/>
    <w:rsid w:val="06B44728"/>
    <w:rsid w:val="06DA786B"/>
    <w:rsid w:val="07975DEC"/>
    <w:rsid w:val="07A00388"/>
    <w:rsid w:val="08163809"/>
    <w:rsid w:val="0876788D"/>
    <w:rsid w:val="087C5B35"/>
    <w:rsid w:val="092327C0"/>
    <w:rsid w:val="0ACA513A"/>
    <w:rsid w:val="0C48161C"/>
    <w:rsid w:val="0CF4439E"/>
    <w:rsid w:val="0EAD22DF"/>
    <w:rsid w:val="0FC77EE3"/>
    <w:rsid w:val="10AD75A7"/>
    <w:rsid w:val="1284440D"/>
    <w:rsid w:val="12B30BF4"/>
    <w:rsid w:val="13902534"/>
    <w:rsid w:val="146F01C6"/>
    <w:rsid w:val="1542237F"/>
    <w:rsid w:val="15F9338B"/>
    <w:rsid w:val="16312FB4"/>
    <w:rsid w:val="164F2E7A"/>
    <w:rsid w:val="173B5AFE"/>
    <w:rsid w:val="188D6B78"/>
    <w:rsid w:val="1A3F1187"/>
    <w:rsid w:val="1C30415C"/>
    <w:rsid w:val="1C6E558C"/>
    <w:rsid w:val="1D973BFB"/>
    <w:rsid w:val="1DF25A53"/>
    <w:rsid w:val="1F0255EE"/>
    <w:rsid w:val="1F763692"/>
    <w:rsid w:val="208363AB"/>
    <w:rsid w:val="21E93DF5"/>
    <w:rsid w:val="22000170"/>
    <w:rsid w:val="226F532B"/>
    <w:rsid w:val="240C2392"/>
    <w:rsid w:val="26F37CBE"/>
    <w:rsid w:val="29760BEE"/>
    <w:rsid w:val="2B9E67C2"/>
    <w:rsid w:val="2CEF1583"/>
    <w:rsid w:val="2D485FFC"/>
    <w:rsid w:val="2E350622"/>
    <w:rsid w:val="2EA1723D"/>
    <w:rsid w:val="2EC6516E"/>
    <w:rsid w:val="2EF73962"/>
    <w:rsid w:val="2F567859"/>
    <w:rsid w:val="2F72538B"/>
    <w:rsid w:val="306A4113"/>
    <w:rsid w:val="30A466CA"/>
    <w:rsid w:val="31FF37CC"/>
    <w:rsid w:val="344554D6"/>
    <w:rsid w:val="34E75041"/>
    <w:rsid w:val="353579BB"/>
    <w:rsid w:val="35B551C1"/>
    <w:rsid w:val="3787268B"/>
    <w:rsid w:val="37BD1433"/>
    <w:rsid w:val="38130BBC"/>
    <w:rsid w:val="38A903D8"/>
    <w:rsid w:val="39A27939"/>
    <w:rsid w:val="39E25674"/>
    <w:rsid w:val="3BDA1786"/>
    <w:rsid w:val="3ECC762F"/>
    <w:rsid w:val="3EDF3EB8"/>
    <w:rsid w:val="3F7D3E5E"/>
    <w:rsid w:val="3FEC4A22"/>
    <w:rsid w:val="40BB0159"/>
    <w:rsid w:val="412A63C9"/>
    <w:rsid w:val="419216BA"/>
    <w:rsid w:val="42122144"/>
    <w:rsid w:val="43CF007B"/>
    <w:rsid w:val="442354A7"/>
    <w:rsid w:val="454934D7"/>
    <w:rsid w:val="459E1A5A"/>
    <w:rsid w:val="46232ED6"/>
    <w:rsid w:val="46990857"/>
    <w:rsid w:val="469E4C96"/>
    <w:rsid w:val="46BE096B"/>
    <w:rsid w:val="4780652D"/>
    <w:rsid w:val="492672E9"/>
    <w:rsid w:val="4A9C49A0"/>
    <w:rsid w:val="4B1567C5"/>
    <w:rsid w:val="4B8E3546"/>
    <w:rsid w:val="4C6A3ADB"/>
    <w:rsid w:val="4F724C24"/>
    <w:rsid w:val="4FAD6C49"/>
    <w:rsid w:val="50735E15"/>
    <w:rsid w:val="528F2CAE"/>
    <w:rsid w:val="52C43DC8"/>
    <w:rsid w:val="52D00150"/>
    <w:rsid w:val="52D75BB7"/>
    <w:rsid w:val="53226F07"/>
    <w:rsid w:val="53732414"/>
    <w:rsid w:val="53C74EE4"/>
    <w:rsid w:val="53E40284"/>
    <w:rsid w:val="57CA34AD"/>
    <w:rsid w:val="58526F5A"/>
    <w:rsid w:val="59411DB6"/>
    <w:rsid w:val="5A716332"/>
    <w:rsid w:val="5A785072"/>
    <w:rsid w:val="5D0E33FA"/>
    <w:rsid w:val="5E2228BB"/>
    <w:rsid w:val="5EAB61D3"/>
    <w:rsid w:val="5EC34055"/>
    <w:rsid w:val="5EF6405F"/>
    <w:rsid w:val="5F9C4F99"/>
    <w:rsid w:val="60273C1B"/>
    <w:rsid w:val="608E740C"/>
    <w:rsid w:val="621D3E2F"/>
    <w:rsid w:val="62265976"/>
    <w:rsid w:val="635E47DB"/>
    <w:rsid w:val="65B61D0B"/>
    <w:rsid w:val="67B861BC"/>
    <w:rsid w:val="684D6847"/>
    <w:rsid w:val="68E51D0B"/>
    <w:rsid w:val="696244DC"/>
    <w:rsid w:val="6AA658D0"/>
    <w:rsid w:val="6C356FFD"/>
    <w:rsid w:val="6DB1180B"/>
    <w:rsid w:val="6E517E6E"/>
    <w:rsid w:val="6F0718CA"/>
    <w:rsid w:val="6F7859D9"/>
    <w:rsid w:val="71F919FB"/>
    <w:rsid w:val="725C0D0F"/>
    <w:rsid w:val="74323C88"/>
    <w:rsid w:val="74F46166"/>
    <w:rsid w:val="76DC4F3F"/>
    <w:rsid w:val="776F0982"/>
    <w:rsid w:val="78687EE4"/>
    <w:rsid w:val="7967388A"/>
    <w:rsid w:val="7A4435A6"/>
    <w:rsid w:val="7BEB38AC"/>
    <w:rsid w:val="7DC42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1"/>
    <w:rPr>
      <w:rFonts w:ascii="仿宋_GB2312" w:hAnsi="仿宋_GB2312" w:eastAsia="仿宋_GB2312"/>
      <w:sz w:val="32"/>
      <w:lang w:val="zh-CN" w:bidi="zh-CN"/>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FollowedHyperlink"/>
    <w:basedOn w:val="6"/>
    <w:qFormat/>
    <w:uiPriority w:val="0"/>
    <w:rPr>
      <w:rFonts w:hint="eastAsia" w:ascii="宋体" w:hAnsi="宋体" w:eastAsia="宋体" w:cs="宋体"/>
      <w:color w:val="3D3D3D"/>
      <w:u w:val="none"/>
    </w:rPr>
  </w:style>
  <w:style w:type="character" w:styleId="8">
    <w:name w:val="Emphasis"/>
    <w:basedOn w:val="6"/>
    <w:qFormat/>
    <w:uiPriority w:val="0"/>
  </w:style>
  <w:style w:type="character" w:styleId="9">
    <w:name w:val="HTML Definition"/>
    <w:basedOn w:val="6"/>
    <w:qFormat/>
    <w:uiPriority w:val="0"/>
  </w:style>
  <w:style w:type="character" w:styleId="10">
    <w:name w:val="HTML Acronym"/>
    <w:basedOn w:val="6"/>
    <w:qFormat/>
    <w:uiPriority w:val="0"/>
  </w:style>
  <w:style w:type="character" w:styleId="11">
    <w:name w:val="HTML Variable"/>
    <w:basedOn w:val="6"/>
    <w:uiPriority w:val="0"/>
  </w:style>
  <w:style w:type="character" w:styleId="12">
    <w:name w:val="Hyperlink"/>
    <w:basedOn w:val="6"/>
    <w:qFormat/>
    <w:uiPriority w:val="0"/>
    <w:rPr>
      <w:rFonts w:hint="eastAsia" w:ascii="宋体" w:hAnsi="宋体" w:eastAsia="宋体" w:cs="宋体"/>
      <w:color w:val="3D3D3D"/>
      <w:u w:val="none"/>
    </w:rPr>
  </w:style>
  <w:style w:type="character" w:styleId="13">
    <w:name w:val="HTML Code"/>
    <w:basedOn w:val="6"/>
    <w:qFormat/>
    <w:uiPriority w:val="0"/>
    <w:rPr>
      <w:rFonts w:ascii="Courier New" w:hAnsi="Courier New"/>
      <w:sz w:val="20"/>
    </w:rPr>
  </w:style>
  <w:style w:type="character" w:styleId="14">
    <w:name w:val="HTML Cit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4180;&#37492;\2019&#24180;&#37492;\&#32479;&#35745;&#20844;&#25253;\&#20135;&#19994;&#32467;&#2650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24180;&#37492;\2019&#24180;&#37492;\&#32479;&#35745;&#20844;&#25253;\&#20135;&#19994;&#32467;&#265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2018年三次产业结构</a:t>
            </a:r>
          </a:p>
        </c:rich>
      </c:tx>
      <c:layout/>
      <c:overlay val="0"/>
      <c:spPr>
        <a:noFill/>
        <a:ln>
          <a:noFill/>
        </a:ln>
        <a:effectLst/>
      </c:spPr>
    </c:title>
    <c:autoTitleDeleted val="0"/>
    <c:plotArea>
      <c:layout/>
      <c:pieChart>
        <c:varyColors val="1"/>
        <c:ser>
          <c:idx val="0"/>
          <c:order val="0"/>
          <c:tx>
            <c:strRef>
              <c:f>[产业结构.xlsx]Sheet1!$B$1</c:f>
              <c:strCache>
                <c:ptCount val="1"/>
                <c:pt idx="0">
                  <c:v>2018年</c:v>
                </c:pt>
              </c:strCache>
            </c:strRef>
          </c:tx>
          <c:spPr/>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[产业结构.xlsx]Sheet1!$A$2:$A$4</c:f>
              <c:strCache>
                <c:ptCount val="3"/>
                <c:pt idx="0">
                  <c:v>第一产业</c:v>
                </c:pt>
                <c:pt idx="1">
                  <c:v>第二产业</c:v>
                </c:pt>
                <c:pt idx="2">
                  <c:v>第三产业</c:v>
                </c:pt>
              </c:strCache>
            </c:strRef>
          </c:cat>
          <c:val>
            <c:numRef>
              <c:f>[产业结构.xlsx]Sheet1!$B$2:$B$4</c:f>
              <c:numCache>
                <c:formatCode>0.0%</c:formatCode>
                <c:ptCount val="3"/>
                <c:pt idx="0">
                  <c:v>0.158</c:v>
                </c:pt>
                <c:pt idx="1">
                  <c:v>0.387</c:v>
                </c:pt>
                <c:pt idx="2">
                  <c:v>0.455</c:v>
                </c:pt>
              </c:numCache>
            </c:numRef>
          </c:val>
        </c:ser>
        <c:ser>
          <c:idx val="1"/>
          <c:order val="1"/>
          <c:tx>
            <c:strRef>
              <c:f>[产业结构.xlsx]Sheet1!$C$1</c:f>
              <c:strCache>
                <c:ptCount val="1"/>
                <c:pt idx="0">
                  <c:v>2019年</c:v>
                </c:pt>
              </c:strCache>
            </c:strRef>
          </c:tx>
          <c:spPr/>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Lbls>
            <c:delete val="1"/>
          </c:dLbls>
          <c:cat>
            <c:strRef>
              <c:f>[产业结构.xlsx]Sheet1!$A$2:$A$4</c:f>
              <c:strCache>
                <c:ptCount val="3"/>
                <c:pt idx="0">
                  <c:v>第一产业</c:v>
                </c:pt>
                <c:pt idx="1">
                  <c:v>第二产业</c:v>
                </c:pt>
                <c:pt idx="2">
                  <c:v>第三产业</c:v>
                </c:pt>
              </c:strCache>
            </c:strRef>
          </c:cat>
          <c:val>
            <c:numRef>
              <c:f>[产业结构.xlsx]Sheet1!$C$2:$C$4</c:f>
              <c:numCache>
                <c:formatCode>0.0%</c:formatCode>
                <c:ptCount val="3"/>
                <c:pt idx="0">
                  <c:v>0.155</c:v>
                </c:pt>
                <c:pt idx="1">
                  <c:v>0.375</c:v>
                </c:pt>
                <c:pt idx="2">
                  <c:v>0.47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201</a:t>
            </a:r>
            <a:r>
              <a:rPr lang="en-US" altLang="zh-CN"/>
              <a:t>9</a:t>
            </a:r>
            <a:r>
              <a:t>年三次产业结构</a:t>
            </a:r>
          </a:p>
        </c:rich>
      </c:tx>
      <c:layout/>
      <c:overlay val="0"/>
      <c:spPr>
        <a:noFill/>
        <a:ln>
          <a:noFill/>
        </a:ln>
        <a:effectLst/>
      </c:spPr>
    </c:title>
    <c:autoTitleDeleted val="0"/>
    <c:plotArea>
      <c:layout/>
      <c:pieChart>
        <c:varyColors val="1"/>
        <c:ser>
          <c:idx val="1"/>
          <c:order val="1"/>
          <c:tx>
            <c:strRef>
              <c:f>[产业结构.xlsx]Sheet1!$C$1</c:f>
              <c:strCache>
                <c:ptCount val="1"/>
                <c:pt idx="0">
                  <c:v>2019年</c:v>
                </c:pt>
              </c:strCache>
            </c:strRef>
          </c:tx>
          <c:spPr/>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[产业结构.xlsx]Sheet1!$A$2:$A$4</c:f>
              <c:strCache>
                <c:ptCount val="3"/>
                <c:pt idx="0">
                  <c:v>第一产业</c:v>
                </c:pt>
                <c:pt idx="1">
                  <c:v>第二产业</c:v>
                </c:pt>
                <c:pt idx="2">
                  <c:v>第三产业</c:v>
                </c:pt>
              </c:strCache>
            </c:strRef>
          </c:cat>
          <c:val>
            <c:numRef>
              <c:f>[产业结构.xlsx]Sheet1!$C$2:$C$4</c:f>
              <c:numCache>
                <c:formatCode>0.0%</c:formatCode>
                <c:ptCount val="3"/>
                <c:pt idx="0">
                  <c:v>0.155</c:v>
                </c:pt>
                <c:pt idx="1">
                  <c:v>0.375</c:v>
                </c:pt>
                <c:pt idx="2">
                  <c:v>0.47</c:v>
                </c:pt>
              </c:numCache>
            </c:numRef>
          </c:val>
        </c:ser>
        <c:dLbls>
          <c:showLegendKey val="0"/>
          <c:showVal val="1"/>
          <c:showCatName val="0"/>
          <c:showSerName val="0"/>
          <c:showPercent val="0"/>
          <c:showBubbleSize val="0"/>
          <c:showLeaderLines val="1"/>
        </c:dLbls>
        <c:firstSliceAng val="0"/>
        <c:extLst>
          <c:ext xmlns:c15="http://schemas.microsoft.com/office/drawing/2012/chart" uri="{02D57815-91ED-43cb-92C2-25804820EDAC}">
            <c15:filteredPieSeries>
              <c15:ser>
                <c:idx val="0"/>
                <c:order val="0"/>
                <c:tx>
                  <c:strRef>
                    <c:extLst>
                      <c:ext uri="{02D57815-91ED-43cb-92C2-25804820EDAC}">
                        <c15:formulaRef>
                          <c15:sqref>[产业结构.xlsx]Sheet1!$B$1</c15:sqref>
                        </c15:formulaRef>
                      </c:ext>
                    </c:extLst>
                    <c:strCache>
                      <c:ptCount val="1"/>
                      <c:pt idx="0">
                        <c:v>2018年</c:v>
                      </c:pt>
                    </c:strCache>
                  </c:strRef>
                </c:tx>
                <c:spPr/>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[产业结构.xlsx]Sheet1!$A$2:$A$4</c15:sqref>
                        </c15:formulaRef>
                      </c:ext>
                    </c:extLst>
                    <c:strCache>
                      <c:ptCount val="3"/>
                      <c:pt idx="0">
                        <c:v>第一产业</c:v>
                      </c:pt>
                      <c:pt idx="1">
                        <c:v>第二产业</c:v>
                      </c:pt>
                      <c:pt idx="2">
                        <c:v>第三产业</c:v>
                      </c:pt>
                    </c:strCache>
                  </c:strRef>
                </c:cat>
                <c:val>
                  <c:numRef>
                    <c:extLst>
                      <c:ext uri="{02D57815-91ED-43cb-92C2-25804820EDAC}">
                        <c15:formulaRef>
                          <c15:sqref>{0.158,0.387,0.455}</c15:sqref>
                        </c15:formulaRef>
                      </c:ext>
                    </c:extLst>
                    <c:numCache>
                      <c:formatCode>0.0%</c:formatCode>
                      <c:ptCount val="3"/>
                      <c:pt idx="0">
                        <c:v>0.158</c:v>
                      </c:pt>
                      <c:pt idx="1">
                        <c:v>0.387</c:v>
                      </c:pt>
                      <c:pt idx="2">
                        <c:v>0.455</c:v>
                      </c:pt>
                    </c:numCache>
                  </c:numRef>
                </c:val>
              </c15:ser>
            </c15:filteredPieSeries>
          </c:ext>
        </c:extLst>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2020-03-19T01:17:00Z</dcterms:created>
  <dc:creator>Administrator</dc:creator>
  <cp:lastModifiedBy>Administrator</cp:lastModifiedBy>
  <cp:lastPrinted>2020-05-22T06:10:00Z</cp:lastPrinted>
  <dcterms:modified xsi:type="dcterms:W3CDTF">2020-05-25T07:17:50Z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