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年山亭区国民经济和社会</w:t>
      </w:r>
      <w:bookmarkStart w:id="0" w:name="_GoBack"/>
      <w:bookmarkEnd w:id="0"/>
      <w:r>
        <w:rPr>
          <w:rFonts w:hint="eastAsia" w:ascii="黑体" w:hAnsi="黑体" w:eastAsia="黑体" w:cs="黑体"/>
          <w:sz w:val="36"/>
          <w:szCs w:val="36"/>
        </w:rPr>
        <w:t>发展统计公报</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枣庄市山亭区统计局</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2021年4月20日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面对突如其来的新冠肺炎疫情严重冲击，在区委区政府坚强领导下，全区上下坚持以习近平新时代中国特色社会主义思想为指导，紧紧围绕“凝心聚力抓发展，先把经济搞上去”这一中心任务，坚持稳中求进，突出抓好“一守六保三促”，发扬“山亭精神”和“四千四万精神”，统筹做好稳增长、促改革、调结构、惠民生、防风险、保稳定各项工作，全区经济运行稳定恢复、好于预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宋体"/>
          <w:color w:val="000000"/>
          <w:kern w:val="0"/>
          <w:sz w:val="32"/>
          <w:szCs w:val="32"/>
          <w:lang w:val="en-US" w:eastAsia="zh-CN"/>
        </w:rPr>
        <w:t>经济运行好于预期。</w:t>
      </w:r>
      <w:r>
        <w:rPr>
          <w:rFonts w:hint="eastAsia" w:ascii="仿宋" w:hAnsi="仿宋" w:eastAsia="仿宋" w:cs="仿宋"/>
          <w:sz w:val="32"/>
          <w:szCs w:val="32"/>
          <w:lang w:val="en-US" w:eastAsia="zh-CN"/>
        </w:rPr>
        <w:t>经市统计局统一核算，2020年山亭区实现地区生产总值（GDP）119.82亿元，按可比价计算，比上年增长6.0%。其中，第一产业实现增加值18.60亿元，同比增长2.0%；第二产业实现增加值44.60亿元，同比增长6.1%；第三产业实现增加值56.62亿元，同比增长7.4%。三次产业结构由2019年的15.5:37.5:47.0调整为15.5:37.2:47.3，产业结构不断优化。</w:t>
      </w:r>
    </w:p>
    <w:p>
      <w:pPr>
        <w:pStyle w:val="2"/>
        <w:jc w:val="center"/>
        <w:rPr>
          <w:rFonts w:hint="default" w:eastAsia="仿宋_GB2312"/>
          <w:lang w:val="en-US" w:eastAsia="zh-CN"/>
        </w:rPr>
      </w:pPr>
      <w:r>
        <w:drawing>
          <wp:inline distT="0" distB="0" distL="114300" distR="114300">
            <wp:extent cx="2411730" cy="2160270"/>
            <wp:effectExtent l="4445" t="4445" r="6985" b="14605"/>
            <wp:docPr id="10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drawing>
          <wp:inline distT="0" distB="0" distL="114300" distR="114300">
            <wp:extent cx="2411730" cy="2160270"/>
            <wp:effectExtent l="4445" t="4445" r="6985" b="14605"/>
            <wp:docPr id="104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left"/>
        <w:textAlignment w:val="auto"/>
        <w:rPr>
          <w:rFonts w:hint="eastAsia" w:ascii="仿宋_GB2312" w:hAnsi="宋体" w:eastAsia="仿宋_GB2312" w:cs="宋体"/>
          <w:color w:val="000000"/>
          <w:kern w:val="0"/>
          <w:sz w:val="32"/>
          <w:szCs w:val="32"/>
        </w:rPr>
      </w:pPr>
      <w:r>
        <w:rPr>
          <w:rFonts w:hint="eastAsia" w:ascii="楷体" w:hAnsi="楷体" w:eastAsia="楷体" w:cs="宋体"/>
          <w:color w:val="000000"/>
          <w:kern w:val="0"/>
          <w:sz w:val="32"/>
          <w:szCs w:val="32"/>
        </w:rPr>
        <w:t>物价保持在合理区间。</w:t>
      </w:r>
      <w:r>
        <w:rPr>
          <w:rFonts w:hint="eastAsia" w:ascii="仿宋_GB2312" w:hAnsi="宋体" w:eastAsia="仿宋_GB2312" w:cs="宋体"/>
          <w:color w:val="000000"/>
          <w:kern w:val="0"/>
          <w:sz w:val="32"/>
          <w:szCs w:val="32"/>
        </w:rPr>
        <w:t>居民消费价格比</w:t>
      </w:r>
      <w:r>
        <w:rPr>
          <w:rFonts w:hint="eastAsia" w:ascii="仿宋_GB2312" w:hAnsi="宋体" w:eastAsia="仿宋_GB2312" w:cs="宋体"/>
          <w:color w:val="000000"/>
          <w:kern w:val="0"/>
          <w:sz w:val="32"/>
          <w:szCs w:val="32"/>
          <w:lang w:eastAsia="zh-CN"/>
        </w:rPr>
        <w:t>上</w:t>
      </w:r>
      <w:r>
        <w:rPr>
          <w:rFonts w:hint="eastAsia" w:ascii="仿宋_GB2312" w:hAnsi="宋体" w:eastAsia="仿宋_GB2312" w:cs="宋体"/>
          <w:color w:val="000000"/>
          <w:kern w:val="0"/>
          <w:sz w:val="32"/>
          <w:szCs w:val="32"/>
        </w:rPr>
        <w:t>年上涨2.2%。其中,消费品价格上涨4.8%，服务价格下降1.7%。</w:t>
      </w:r>
    </w:p>
    <w:p>
      <w:pPr>
        <w:widowControl/>
        <w:shd w:val="clear" w:color="auto" w:fill="FFFFFF"/>
        <w:spacing w:before="156" w:beforeLines="50" w:after="156" w:afterLines="50" w:line="58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表1：2020年居民消费价格指数（上年同期=100）</w:t>
      </w:r>
    </w:p>
    <w:tbl>
      <w:tblPr>
        <w:tblStyle w:val="9"/>
        <w:tblW w:w="4999" w:type="pct"/>
        <w:jc w:val="center"/>
        <w:tblLayout w:type="autofit"/>
        <w:tblCellMar>
          <w:top w:w="0" w:type="dxa"/>
          <w:left w:w="108" w:type="dxa"/>
          <w:bottom w:w="0" w:type="dxa"/>
          <w:right w:w="108" w:type="dxa"/>
        </w:tblCellMar>
      </w:tblPr>
      <w:tblGrid>
        <w:gridCol w:w="4963"/>
        <w:gridCol w:w="3557"/>
      </w:tblGrid>
      <w:tr>
        <w:tblPrEx>
          <w:tblCellMar>
            <w:top w:w="0" w:type="dxa"/>
            <w:left w:w="108" w:type="dxa"/>
            <w:bottom w:w="0" w:type="dxa"/>
            <w:right w:w="108" w:type="dxa"/>
          </w:tblCellMar>
        </w:tblPrEx>
        <w:trPr>
          <w:trHeight w:val="312" w:hRule="atLeast"/>
          <w:jc w:val="center"/>
        </w:trPr>
        <w:tc>
          <w:tcPr>
            <w:tcW w:w="2912" w:type="pct"/>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指标</w:t>
            </w:r>
          </w:p>
        </w:tc>
        <w:tc>
          <w:tcPr>
            <w:tcW w:w="2087" w:type="pct"/>
            <w:vMerge w:val="restar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2020年</w:t>
            </w:r>
          </w:p>
        </w:tc>
      </w:tr>
      <w:tr>
        <w:tblPrEx>
          <w:tblCellMar>
            <w:top w:w="0" w:type="dxa"/>
            <w:left w:w="108" w:type="dxa"/>
            <w:bottom w:w="0" w:type="dxa"/>
            <w:right w:w="108" w:type="dxa"/>
          </w:tblCellMar>
        </w:tblPrEx>
        <w:trPr>
          <w:trHeight w:val="312" w:hRule="atLeast"/>
          <w:jc w:val="center"/>
        </w:trPr>
        <w:tc>
          <w:tcPr>
            <w:tcW w:w="2912" w:type="pct"/>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rPr>
            </w:pPr>
          </w:p>
        </w:tc>
        <w:tc>
          <w:tcPr>
            <w:tcW w:w="2087" w:type="pct"/>
            <w:vMerge w:val="continue"/>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仿宋_GB2312" w:hAnsi="黑体" w:eastAsia="仿宋_GB2312" w:cs="宋体"/>
                <w:color w:val="000000"/>
                <w:kern w:val="0"/>
                <w:sz w:val="28"/>
                <w:szCs w:val="28"/>
              </w:rPr>
            </w:pPr>
            <w:r>
              <w:rPr>
                <w:rFonts w:hint="eastAsia" w:ascii="仿宋_GB2312" w:hAnsi="黑体" w:eastAsia="仿宋_GB2312" w:cs="宋体"/>
                <w:color w:val="000000"/>
                <w:kern w:val="0"/>
                <w:sz w:val="28"/>
                <w:szCs w:val="28"/>
              </w:rPr>
              <w:t>居民消费价格总指数</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b/>
                <w:bCs/>
                <w:color w:val="000000"/>
                <w:kern w:val="0"/>
                <w:sz w:val="28"/>
                <w:szCs w:val="28"/>
              </w:rPr>
            </w:pPr>
            <w:r>
              <w:rPr>
                <w:rFonts w:hint="eastAsia" w:ascii="仿宋_GB2312" w:hAnsi="宋体" w:eastAsia="仿宋_GB2312" w:cs="宋体"/>
                <w:b w:val="0"/>
                <w:bCs w:val="0"/>
                <w:color w:val="000000"/>
                <w:kern w:val="0"/>
                <w:sz w:val="28"/>
                <w:szCs w:val="28"/>
              </w:rPr>
              <w:t xml:space="preserve">102.2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食品烟酒</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109.5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衣着</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100.3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居住</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95.6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生活用品及服务</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100.3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交通和通信</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97.9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教育文化和娱乐</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101.2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医疗保健</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102.5 </w:t>
            </w:r>
          </w:p>
        </w:tc>
      </w:tr>
      <w:tr>
        <w:tblPrEx>
          <w:tblCellMar>
            <w:top w:w="0" w:type="dxa"/>
            <w:left w:w="108" w:type="dxa"/>
            <w:bottom w:w="0" w:type="dxa"/>
            <w:right w:w="108" w:type="dxa"/>
          </w:tblCellMar>
        </w:tblPrEx>
        <w:trPr>
          <w:trHeight w:val="227" w:hRule="atLeast"/>
          <w:jc w:val="center"/>
        </w:trPr>
        <w:tc>
          <w:tcPr>
            <w:tcW w:w="291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其他用品和服务</w:t>
            </w:r>
          </w:p>
        </w:tc>
        <w:tc>
          <w:tcPr>
            <w:tcW w:w="2087" w:type="pct"/>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righ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104.5 </w:t>
            </w:r>
          </w:p>
        </w:tc>
      </w:tr>
    </w:tbl>
    <w:p>
      <w:pPr>
        <w:keepNext w:val="0"/>
        <w:keepLines w:val="0"/>
        <w:pageBreakBefore w:val="0"/>
        <w:widowControl w:val="0"/>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楷体" w:hAnsi="楷体" w:eastAsia="楷体" w:cs="楷体"/>
          <w:sz w:val="32"/>
          <w:szCs w:val="32"/>
          <w:lang w:val="en-US" w:eastAsia="zh-CN"/>
        </w:rPr>
        <w:t>人口规模保持平稳</w:t>
      </w:r>
      <w:r>
        <w:rPr>
          <w:rFonts w:hint="eastAsia" w:ascii="仿宋" w:hAnsi="仿宋" w:eastAsia="仿宋" w:cs="仿宋"/>
          <w:sz w:val="32"/>
          <w:szCs w:val="32"/>
          <w:lang w:val="en-US" w:eastAsia="zh-CN"/>
        </w:rPr>
        <w:t>。年末全区公安户籍人口53.66万人，其中，乡村人口40.40万人，城镇人口13.26万人。</w:t>
      </w:r>
      <w:r>
        <w:rPr>
          <w:rFonts w:hint="eastAsia" w:eastAsia="仿宋"/>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重点战略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kern w:val="0"/>
          <w:sz w:val="32"/>
          <w:szCs w:val="32"/>
        </w:rPr>
      </w:pPr>
      <w:r>
        <w:rPr>
          <w:rFonts w:hint="eastAsia" w:ascii="楷体_GB2312" w:hAnsi="微软雅黑" w:eastAsia="楷体_GB2312" w:cs="宋体"/>
          <w:bCs/>
          <w:color w:val="000000"/>
          <w:kern w:val="0"/>
          <w:sz w:val="32"/>
          <w:szCs w:val="32"/>
        </w:rPr>
        <w:t>动能转换初见成效。</w:t>
      </w:r>
      <w:r>
        <w:rPr>
          <w:rFonts w:hint="eastAsia" w:ascii="仿宋_GB2312" w:hAnsi="微软雅黑" w:eastAsia="仿宋_GB2312" w:cs="宋体"/>
          <w:color w:val="000000"/>
          <w:kern w:val="0"/>
          <w:sz w:val="32"/>
          <w:szCs w:val="32"/>
        </w:rPr>
        <w:t>工业企业加快智能化改造升级，工业技改投资比</w:t>
      </w:r>
      <w:r>
        <w:rPr>
          <w:rFonts w:ascii="仿宋_GB2312" w:hAnsi="微软雅黑" w:eastAsia="仿宋_GB2312" w:cs="宋体"/>
          <w:color w:val="000000"/>
          <w:kern w:val="0"/>
          <w:sz w:val="32"/>
          <w:szCs w:val="32"/>
        </w:rPr>
        <w:t>上年</w:t>
      </w:r>
      <w:r>
        <w:rPr>
          <w:rFonts w:hint="eastAsia" w:ascii="仿宋_GB2312" w:hAnsi="微软雅黑" w:eastAsia="仿宋_GB2312" w:cs="宋体"/>
          <w:color w:val="000000"/>
          <w:kern w:val="0"/>
          <w:sz w:val="32"/>
          <w:szCs w:val="32"/>
        </w:rPr>
        <w:t>增长</w:t>
      </w:r>
      <w:r>
        <w:rPr>
          <w:rFonts w:hint="eastAsia" w:ascii="仿宋_GB2312" w:hAnsi="微软雅黑" w:eastAsia="仿宋_GB2312" w:cs="宋体"/>
          <w:color w:val="000000"/>
          <w:kern w:val="0"/>
          <w:sz w:val="32"/>
          <w:szCs w:val="32"/>
          <w:lang w:val="en-US" w:eastAsia="zh-CN"/>
        </w:rPr>
        <w:t>106.5</w:t>
      </w:r>
      <w:r>
        <w:rPr>
          <w:rFonts w:hint="eastAsia" w:ascii="仿宋_GB2312" w:hAnsi="微软雅黑" w:eastAsia="仿宋_GB2312" w:cs="宋体"/>
          <w:color w:val="000000"/>
          <w:kern w:val="0"/>
          <w:sz w:val="32"/>
          <w:szCs w:val="32"/>
        </w:rPr>
        <w:t>%。新动能培育壮大，“四新”投资占比为</w:t>
      </w:r>
      <w:r>
        <w:rPr>
          <w:rFonts w:hint="eastAsia" w:ascii="仿宋_GB2312" w:hAnsi="微软雅黑" w:eastAsia="仿宋_GB2312" w:cs="宋体"/>
          <w:color w:val="000000"/>
          <w:kern w:val="0"/>
          <w:sz w:val="32"/>
          <w:szCs w:val="32"/>
          <w:lang w:val="en-US" w:eastAsia="zh-CN"/>
        </w:rPr>
        <w:t>62.3</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，比上年提高</w:t>
      </w:r>
      <w:r>
        <w:rPr>
          <w:rFonts w:hint="eastAsia" w:ascii="仿宋_GB2312" w:hAnsi="微软雅黑" w:eastAsia="仿宋_GB2312" w:cs="宋体"/>
          <w:color w:val="000000"/>
          <w:kern w:val="0"/>
          <w:sz w:val="32"/>
          <w:szCs w:val="32"/>
          <w:lang w:val="en-US" w:eastAsia="zh-CN"/>
        </w:rPr>
        <w:t>15.8</w:t>
      </w:r>
      <w:r>
        <w:rPr>
          <w:rFonts w:hint="eastAsia" w:ascii="仿宋_GB2312" w:hAnsi="微软雅黑" w:eastAsia="仿宋_GB2312" w:cs="宋体"/>
          <w:color w:val="000000"/>
          <w:kern w:val="0"/>
          <w:sz w:val="32"/>
          <w:szCs w:val="32"/>
          <w:lang w:eastAsia="zh-CN"/>
        </w:rPr>
        <w:t>个百分点</w:t>
      </w:r>
      <w:r>
        <w:rPr>
          <w:rFonts w:hint="eastAsia" w:ascii="仿宋_GB2312" w:hAnsi="微软雅黑" w:eastAsia="仿宋_GB2312" w:cs="宋体"/>
          <w:color w:val="000000"/>
          <w:kern w:val="0"/>
          <w:sz w:val="32"/>
          <w:szCs w:val="32"/>
        </w:rPr>
        <w:t>。新增高新技术企业</w:t>
      </w:r>
      <w:r>
        <w:rPr>
          <w:rFonts w:hint="eastAsia" w:ascii="仿宋_GB2312" w:hAnsi="微软雅黑" w:eastAsia="仿宋_GB2312" w:cs="宋体"/>
          <w:color w:val="000000"/>
          <w:kern w:val="0"/>
          <w:sz w:val="32"/>
          <w:szCs w:val="32"/>
          <w:lang w:val="en-US" w:eastAsia="zh-CN"/>
        </w:rPr>
        <w:t>10</w:t>
      </w:r>
      <w:r>
        <w:rPr>
          <w:rFonts w:hint="eastAsia" w:ascii="仿宋_GB2312" w:hAnsi="微软雅黑" w:eastAsia="仿宋_GB2312" w:cs="宋体"/>
          <w:color w:val="000000"/>
          <w:kern w:val="0"/>
          <w:sz w:val="32"/>
          <w:szCs w:val="32"/>
        </w:rPr>
        <w:t>家，总数达到</w:t>
      </w:r>
      <w:r>
        <w:rPr>
          <w:rFonts w:hint="eastAsia" w:ascii="仿宋_GB2312" w:hAnsi="微软雅黑" w:eastAsia="仿宋_GB2312" w:cs="宋体"/>
          <w:color w:val="000000"/>
          <w:kern w:val="0"/>
          <w:sz w:val="32"/>
          <w:szCs w:val="32"/>
          <w:lang w:val="en-US" w:eastAsia="zh-CN"/>
        </w:rPr>
        <w:t>25</w:t>
      </w:r>
      <w:r>
        <w:rPr>
          <w:rFonts w:hint="eastAsia" w:ascii="仿宋_GB2312" w:hAnsi="微软雅黑" w:eastAsia="仿宋_GB2312" w:cs="宋体"/>
          <w:color w:val="000000"/>
          <w:kern w:val="0"/>
          <w:sz w:val="32"/>
          <w:szCs w:val="32"/>
        </w:rPr>
        <w:t>家。规模</w:t>
      </w:r>
      <w:r>
        <w:rPr>
          <w:rFonts w:ascii="仿宋_GB2312" w:hAnsi="微软雅黑" w:eastAsia="仿宋_GB2312" w:cs="宋体"/>
          <w:color w:val="000000"/>
          <w:kern w:val="0"/>
          <w:sz w:val="32"/>
          <w:szCs w:val="32"/>
        </w:rPr>
        <w:t>以上</w:t>
      </w:r>
      <w:r>
        <w:rPr>
          <w:rFonts w:hint="eastAsia" w:ascii="仿宋_GB2312" w:hAnsi="微软雅黑" w:eastAsia="仿宋_GB2312" w:cs="宋体"/>
          <w:color w:val="000000"/>
          <w:kern w:val="0"/>
          <w:sz w:val="32"/>
          <w:szCs w:val="32"/>
        </w:rPr>
        <w:t>高新技术产业产值占规模以上工业总产值比重为</w:t>
      </w:r>
      <w:r>
        <w:rPr>
          <w:rFonts w:hint="eastAsia" w:ascii="仿宋_GB2312" w:hAnsi="微软雅黑" w:eastAsia="仿宋_GB2312" w:cs="宋体"/>
          <w:color w:val="000000"/>
          <w:kern w:val="0"/>
          <w:sz w:val="32"/>
          <w:szCs w:val="32"/>
          <w:lang w:val="en-US" w:eastAsia="zh-CN"/>
        </w:rPr>
        <w:t>34.8</w:t>
      </w:r>
      <w:r>
        <w:rPr>
          <w:rFonts w:hint="eastAsia" w:ascii="仿宋_GB2312" w:hAnsi="微软雅黑" w:eastAsia="仿宋_GB2312" w:cs="宋体"/>
          <w:color w:val="000000"/>
          <w:kern w:val="0"/>
          <w:sz w:val="32"/>
          <w:szCs w:val="32"/>
        </w:rPr>
        <w:t>%，比</w:t>
      </w:r>
      <w:r>
        <w:rPr>
          <w:rFonts w:ascii="仿宋_GB2312" w:hAnsi="微软雅黑" w:eastAsia="仿宋_GB2312" w:cs="宋体"/>
          <w:color w:val="000000"/>
          <w:kern w:val="0"/>
          <w:sz w:val="32"/>
          <w:szCs w:val="32"/>
        </w:rPr>
        <w:t>上年</w:t>
      </w:r>
      <w:r>
        <w:rPr>
          <w:rFonts w:hint="eastAsia" w:ascii="仿宋_GB2312" w:hAnsi="微软雅黑" w:eastAsia="仿宋_GB2312" w:cs="宋体"/>
          <w:color w:val="000000"/>
          <w:kern w:val="0"/>
          <w:sz w:val="32"/>
          <w:szCs w:val="32"/>
        </w:rPr>
        <w:t>提高</w:t>
      </w:r>
      <w:r>
        <w:rPr>
          <w:rFonts w:hint="eastAsia" w:ascii="仿宋_GB2312" w:hAnsi="微软雅黑" w:eastAsia="仿宋_GB2312" w:cs="宋体"/>
          <w:color w:val="000000"/>
          <w:kern w:val="0"/>
          <w:sz w:val="32"/>
          <w:szCs w:val="32"/>
          <w:lang w:val="en-US" w:eastAsia="zh-CN"/>
        </w:rPr>
        <w:t>9.4</w:t>
      </w:r>
      <w:r>
        <w:rPr>
          <w:rFonts w:hint="eastAsia" w:ascii="仿宋_GB2312" w:hAnsi="微软雅黑" w:eastAsia="仿宋_GB2312" w:cs="宋体"/>
          <w:color w:val="000000"/>
          <w:kern w:val="0"/>
          <w:sz w:val="32"/>
          <w:szCs w:val="32"/>
        </w:rPr>
        <w:t>个百分点。</w:t>
      </w:r>
      <w:r>
        <w:rPr>
          <w:rFonts w:hint="eastAsia" w:ascii="仿宋" w:hAnsi="仿宋" w:eastAsia="仿宋"/>
          <w:sz w:val="32"/>
          <w:szCs w:val="32"/>
        </w:rPr>
        <w:t>现代服务业蓬勃兴起，2020年现代服务业增加值占服务业的比重达到47.3%，比</w:t>
      </w:r>
      <w:r>
        <w:rPr>
          <w:rFonts w:hint="eastAsia" w:ascii="仿宋" w:hAnsi="仿宋" w:eastAsia="仿宋"/>
          <w:sz w:val="32"/>
          <w:szCs w:val="32"/>
          <w:lang w:eastAsia="zh-CN"/>
        </w:rPr>
        <w:t>上</w:t>
      </w:r>
      <w:r>
        <w:rPr>
          <w:rFonts w:hint="eastAsia" w:ascii="仿宋" w:hAnsi="仿宋" w:eastAsia="仿宋"/>
          <w:sz w:val="32"/>
          <w:szCs w:val="32"/>
        </w:rPr>
        <w:t>年提高</w:t>
      </w:r>
      <w:r>
        <w:rPr>
          <w:rFonts w:hint="eastAsia" w:ascii="仿宋" w:hAnsi="仿宋" w:eastAsia="仿宋"/>
          <w:sz w:val="32"/>
          <w:szCs w:val="32"/>
          <w:lang w:val="en-US" w:eastAsia="zh-CN"/>
        </w:rPr>
        <w:t>2.2</w:t>
      </w:r>
      <w:r>
        <w:rPr>
          <w:rFonts w:hint="eastAsia" w:ascii="仿宋" w:hAnsi="仿宋" w:eastAsia="仿宋"/>
          <w:sz w:val="32"/>
          <w:szCs w:val="32"/>
        </w:rPr>
        <w:t>个百分点</w:t>
      </w:r>
      <w:r>
        <w:rPr>
          <w:rFonts w:hint="eastAsia" w:ascii="仿宋" w:hAnsi="仿宋" w:eastAsia="仿宋"/>
          <w:sz w:val="32"/>
          <w:szCs w:val="32"/>
          <w:lang w:val="en-US" w:eastAsia="zh-CN"/>
        </w:rPr>
        <w:t>。</w:t>
      </w:r>
      <w:r>
        <w:rPr>
          <w:rFonts w:hint="eastAsia" w:ascii="仿宋_GB2312" w:hAnsi="微软雅黑" w:eastAsia="仿宋_GB2312" w:cs="宋体"/>
          <w:color w:val="000000"/>
          <w:kern w:val="0"/>
          <w:sz w:val="32"/>
          <w:szCs w:val="32"/>
        </w:rPr>
        <w:t>“十强”产业中，现代高效农业、</w:t>
      </w:r>
      <w:r>
        <w:rPr>
          <w:rFonts w:hint="eastAsia" w:ascii="仿宋_GB2312" w:hAnsi="微软雅黑" w:eastAsia="仿宋_GB2312" w:cs="宋体"/>
          <w:color w:val="000000"/>
          <w:kern w:val="0"/>
          <w:sz w:val="32"/>
          <w:szCs w:val="32"/>
          <w:lang w:eastAsia="zh-CN"/>
        </w:rPr>
        <w:t>高端化工、</w:t>
      </w:r>
      <w:r>
        <w:rPr>
          <w:rFonts w:hint="eastAsia" w:ascii="仿宋_GB2312" w:hAnsi="微软雅黑" w:eastAsia="仿宋_GB2312" w:cs="宋体"/>
          <w:color w:val="000000"/>
          <w:kern w:val="0"/>
          <w:sz w:val="32"/>
          <w:szCs w:val="32"/>
        </w:rPr>
        <w:t>高端装备增加值分别</w:t>
      </w:r>
      <w:r>
        <w:rPr>
          <w:rFonts w:hint="eastAsia" w:ascii="仿宋_GB2312" w:hAnsi="微软雅黑" w:eastAsia="仿宋_GB2312" w:cs="宋体"/>
          <w:color w:val="000000"/>
          <w:kern w:val="0"/>
          <w:sz w:val="32"/>
          <w:szCs w:val="32"/>
          <w:lang w:eastAsia="zh-CN"/>
        </w:rPr>
        <w:t>比上年</w:t>
      </w:r>
      <w:r>
        <w:rPr>
          <w:rFonts w:hint="eastAsia" w:ascii="仿宋_GB2312" w:hAnsi="微软雅黑" w:eastAsia="仿宋_GB2312" w:cs="宋体"/>
          <w:color w:val="000000"/>
          <w:kern w:val="0"/>
          <w:sz w:val="32"/>
          <w:szCs w:val="32"/>
        </w:rPr>
        <w:t>增长</w:t>
      </w:r>
      <w:r>
        <w:rPr>
          <w:rFonts w:hint="eastAsia" w:ascii="仿宋_GB2312" w:hAnsi="微软雅黑" w:eastAsia="仿宋_GB2312" w:cs="宋体"/>
          <w:color w:val="000000"/>
          <w:kern w:val="0"/>
          <w:sz w:val="32"/>
          <w:szCs w:val="32"/>
          <w:lang w:val="en-US" w:eastAsia="zh-CN"/>
        </w:rPr>
        <w:t>26.4</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23.5</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36.9</w:t>
      </w:r>
      <w:r>
        <w:rPr>
          <w:rFonts w:hint="eastAsia" w:ascii="仿宋_GB2312" w:hAnsi="微软雅黑"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扎实推进乡村振兴。</w:t>
      </w:r>
      <w:r>
        <w:rPr>
          <w:rFonts w:hint="eastAsia" w:ascii="仿宋_GB2312" w:hAnsi="仿宋_GB2312" w:eastAsia="仿宋_GB2312" w:cs="仿宋_GB2312"/>
          <w:color w:val="auto"/>
          <w:sz w:val="32"/>
          <w:szCs w:val="32"/>
        </w:rPr>
        <w:t>实施“双百工程”，</w:t>
      </w:r>
      <w:r>
        <w:rPr>
          <w:rFonts w:hint="eastAsia" w:ascii="仿宋_GB2312" w:hAnsi="仿宋_GB2312" w:eastAsia="仿宋_GB2312" w:cs="仿宋_GB2312"/>
          <w:color w:val="auto"/>
          <w:sz w:val="32"/>
          <w:szCs w:val="32"/>
          <w:lang w:val="en-US" w:eastAsia="zh-CN"/>
        </w:rPr>
        <w:t>新增</w:t>
      </w:r>
      <w:r>
        <w:rPr>
          <w:rFonts w:hint="eastAsia" w:ascii="仿宋_GB2312" w:hAnsi="仿宋_GB2312" w:eastAsia="仿宋_GB2312" w:cs="仿宋_GB2312"/>
          <w:color w:val="auto"/>
          <w:sz w:val="32"/>
          <w:szCs w:val="32"/>
          <w:lang w:eastAsia="zh-CN"/>
        </w:rPr>
        <w:t>甘薯、谷子、高粱等小杂粮</w:t>
      </w:r>
      <w:r>
        <w:rPr>
          <w:rFonts w:hint="eastAsia" w:ascii="仿宋_GB2312" w:hAnsi="仿宋_GB2312" w:eastAsia="仿宋_GB2312" w:cs="仿宋_GB2312"/>
          <w:color w:val="auto"/>
          <w:sz w:val="32"/>
          <w:szCs w:val="32"/>
          <w:lang w:val="en-US" w:eastAsia="zh-CN"/>
        </w:rPr>
        <w:t>1万亩，新发展、改造特色果品1万亩，建设甘薯脱毒种薯种苗繁育基地1处，花椒、枣、樱桃、桃、板栗等标准化示范园8处。新增国家级农产品仓储保鲜设施建设补贴项目6个，市级智慧农业试点项目1个、智慧农业应用基地2个，信息进村入户工程完成254个益农社建设。134个村达到农村污水治理建设标准要求，300户以上的自然村建成公厕60个。</w:t>
      </w:r>
      <w:r>
        <w:rPr>
          <w:rFonts w:hint="eastAsia" w:ascii="仿宋_GB2312" w:hAnsi="仿宋_GB2312" w:eastAsia="仿宋_GB2312" w:cs="仿宋_GB2312"/>
          <w:color w:val="auto"/>
          <w:sz w:val="32"/>
          <w:szCs w:val="32"/>
          <w:lang w:eastAsia="zh-CN"/>
        </w:rPr>
        <w:t>新创建美丽乡村示范村</w:t>
      </w:r>
      <w:r>
        <w:rPr>
          <w:rFonts w:hint="eastAsia" w:ascii="仿宋_GB2312" w:hAnsi="仿宋_GB2312" w:eastAsia="仿宋_GB2312" w:cs="仿宋_GB2312"/>
          <w:color w:val="auto"/>
          <w:sz w:val="32"/>
          <w:szCs w:val="32"/>
          <w:lang w:val="en-US" w:eastAsia="zh-CN"/>
        </w:rPr>
        <w:t>49个，其中新创建省级示范村2个，市级示范村15个。</w:t>
      </w:r>
      <w:r>
        <w:rPr>
          <w:rFonts w:hint="eastAsia" w:ascii="仿宋_GB2312" w:hAnsi="仿宋_GB2312" w:eastAsia="仿宋_GB2312" w:cs="仿宋_GB2312"/>
          <w:sz w:val="32"/>
          <w:szCs w:val="32"/>
          <w:lang w:val="en-US" w:eastAsia="zh-CN"/>
        </w:rPr>
        <w:t>鼓励新型农业经营主体流转农户的土地经营权进行规模化生产经营，累计发展农民合作社884家、家庭农场399家、种养大户及农业企业300余家，规模经营土地面积27万亩，规模经营率48%。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Cs/>
          <w:color w:val="000000"/>
          <w:sz w:val="32"/>
          <w:szCs w:val="32"/>
        </w:rPr>
      </w:pPr>
      <w:r>
        <w:rPr>
          <w:rFonts w:hint="eastAsia" w:ascii="仿宋" w:hAnsi="仿宋" w:eastAsia="仿宋"/>
          <w:sz w:val="32"/>
          <w:szCs w:val="32"/>
        </w:rPr>
        <w:t xml:space="preserve"> </w:t>
      </w:r>
      <w:r>
        <w:rPr>
          <w:rFonts w:hint="eastAsia" w:ascii="楷体_GB2312" w:hAnsi="微软雅黑" w:eastAsia="楷体_GB2312" w:cs="宋体"/>
          <w:bCs/>
          <w:color w:val="000000"/>
          <w:kern w:val="0"/>
          <w:sz w:val="32"/>
          <w:szCs w:val="32"/>
        </w:rPr>
        <w:t>三大攻坚取得显著成效。</w:t>
      </w:r>
      <w:r>
        <w:rPr>
          <w:rFonts w:hint="eastAsia" w:ascii="仿宋_GB2312" w:hAnsi="仿宋_GB2312" w:eastAsia="仿宋_GB2312"/>
          <w:spacing w:val="0"/>
          <w:sz w:val="32"/>
          <w:szCs w:val="32"/>
          <w:lang w:val="en-US" w:eastAsia="zh-CN"/>
        </w:rPr>
        <w:t>防范化解金融风险攻坚战取得重大进展,全区银行机构清收处置不良贷款2.35亿元，年末全区银行机构不良贷款余额0.47亿元,较年初下降28%，不良贷款率0.59%，较年初下降36.6%,被评为全省“打好防范化解重大风险攻坚战”先进区。脱贫攻坚取得决定性成就，23622名享受政策建档立卡贫困人口实现稳定脱贫，“三保障”和饮水安全等问题全面解决，86个省定贫困村全部摘帽退出，以零差错代表枣庄市通过省评估验收。</w:t>
      </w:r>
      <w:r>
        <w:rPr>
          <w:rFonts w:hint="eastAsia" w:ascii="仿宋_GB2312" w:hAnsi="仿宋_GB2312" w:eastAsia="仿宋_GB2312" w:cs="仿宋_GB2312"/>
          <w:color w:val="000000"/>
          <w:kern w:val="0"/>
          <w:sz w:val="32"/>
          <w:szCs w:val="32"/>
        </w:rPr>
        <w:t>环境质量持续改善，</w:t>
      </w:r>
      <w:r>
        <w:rPr>
          <w:rFonts w:hint="eastAsia" w:ascii="仿宋" w:hAnsi="仿宋" w:eastAsia="仿宋" w:cs="仿宋"/>
          <w:color w:val="auto"/>
          <w:kern w:val="0"/>
          <w:sz w:val="32"/>
          <w:szCs w:val="32"/>
          <w:lang w:val="en-US" w:eastAsia="zh-CN"/>
        </w:rPr>
        <w:t>在已建设10处镇街空气自动监测站标准站的基础上，新建空气质量微观站19</w:t>
      </w:r>
      <w:r>
        <w:rPr>
          <w:rFonts w:hint="eastAsia" w:ascii="仿宋" w:hAnsi="仿宋" w:eastAsia="仿宋" w:cs="仿宋"/>
          <w:b w:val="0"/>
          <w:bCs w:val="0"/>
          <w:color w:val="auto"/>
          <w:kern w:val="2"/>
          <w:sz w:val="32"/>
          <w:szCs w:val="32"/>
          <w:lang w:val="en-US" w:eastAsia="zh-CN" w:bidi="ar-SA"/>
        </w:rPr>
        <w:t>处，</w:t>
      </w:r>
      <w:r>
        <w:rPr>
          <w:rFonts w:hint="eastAsia" w:ascii="仿宋_GB2312" w:hAnsi="仿宋_GB2312" w:eastAsia="仿宋_GB2312" w:cs="仿宋_GB2312"/>
          <w:color w:val="000000"/>
          <w:kern w:val="0"/>
          <w:sz w:val="32"/>
          <w:szCs w:val="32"/>
        </w:rPr>
        <w:t>环境空气中细颗粒物</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b w:val="0"/>
          <w:bCs/>
          <w:i w:val="0"/>
          <w:caps w:val="0"/>
          <w:color w:val="000000"/>
          <w:spacing w:val="0"/>
          <w:sz w:val="32"/>
          <w:szCs w:val="32"/>
          <w:lang w:eastAsia="zh-CN"/>
        </w:rPr>
        <w:t>PM</w:t>
      </w:r>
      <w:r>
        <w:rPr>
          <w:rFonts w:hint="eastAsia" w:ascii="仿宋" w:hAnsi="仿宋" w:eastAsia="仿宋" w:cs="仿宋"/>
          <w:b w:val="0"/>
          <w:bCs/>
          <w:i w:val="0"/>
          <w:caps w:val="0"/>
          <w:color w:val="000000"/>
          <w:spacing w:val="0"/>
          <w:sz w:val="32"/>
          <w:szCs w:val="32"/>
          <w:vertAlign w:val="subscript"/>
          <w:lang w:eastAsia="zh-CN"/>
        </w:rPr>
        <w:t>2.5</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lang w:eastAsia="zh-CN"/>
        </w:rPr>
        <w:t>浓度</w:t>
      </w:r>
      <w:r>
        <w:rPr>
          <w:rFonts w:hint="eastAsia" w:ascii="仿宋" w:hAnsi="仿宋" w:eastAsia="仿宋" w:cs="仿宋"/>
          <w:b w:val="0"/>
          <w:bCs/>
          <w:i w:val="0"/>
          <w:caps w:val="0"/>
          <w:color w:val="000000"/>
          <w:spacing w:val="0"/>
          <w:sz w:val="32"/>
          <w:szCs w:val="32"/>
          <w:lang w:val="en-US" w:eastAsia="zh-CN"/>
        </w:rPr>
        <w:t>达到51</w:t>
      </w:r>
      <w:r>
        <w:rPr>
          <w:rFonts w:hint="eastAsia" w:ascii="仿宋" w:hAnsi="仿宋" w:eastAsia="仿宋" w:cs="仿宋"/>
          <w:b w:val="0"/>
          <w:bCs/>
          <w:i w:val="0"/>
          <w:caps w:val="0"/>
          <w:color w:val="000000"/>
          <w:spacing w:val="0"/>
          <w:sz w:val="32"/>
          <w:szCs w:val="32"/>
          <w:lang w:eastAsia="zh-CN"/>
        </w:rPr>
        <w:t>ug/m</w:t>
      </w:r>
      <w:r>
        <w:rPr>
          <w:rFonts w:hint="eastAsia" w:ascii="仿宋" w:hAnsi="仿宋" w:eastAsia="仿宋" w:cs="仿宋"/>
          <w:b w:val="0"/>
          <w:bCs/>
          <w:i w:val="0"/>
          <w:caps w:val="0"/>
          <w:color w:val="000000"/>
          <w:spacing w:val="0"/>
          <w:sz w:val="32"/>
          <w:szCs w:val="32"/>
          <w:vertAlign w:val="superscript"/>
          <w:lang w:eastAsia="zh-CN"/>
        </w:rPr>
        <w:t>3</w:t>
      </w:r>
      <w:r>
        <w:rPr>
          <w:rFonts w:hint="eastAsia" w:ascii="仿宋" w:hAnsi="仿宋" w:eastAsia="仿宋" w:cs="仿宋"/>
          <w:b w:val="0"/>
          <w:bCs/>
          <w:i w:val="0"/>
          <w:caps w:val="0"/>
          <w:color w:val="000000"/>
          <w:spacing w:val="0"/>
          <w:sz w:val="32"/>
          <w:szCs w:val="32"/>
          <w:vertAlign w:val="baseline"/>
          <w:lang w:eastAsia="zh-CN"/>
        </w:rPr>
        <w:t>，</w:t>
      </w:r>
      <w:r>
        <w:rPr>
          <w:rFonts w:hint="eastAsia" w:ascii="仿宋" w:hAnsi="仿宋" w:eastAsia="仿宋" w:cs="仿宋"/>
          <w:b w:val="0"/>
          <w:bCs/>
          <w:i w:val="0"/>
          <w:caps w:val="0"/>
          <w:color w:val="000000"/>
          <w:spacing w:val="0"/>
          <w:sz w:val="32"/>
          <w:szCs w:val="32"/>
          <w:vertAlign w:val="baseline"/>
          <w:lang w:val="en-US" w:eastAsia="zh-CN"/>
        </w:rPr>
        <w:t>同比改善8.9%；</w:t>
      </w:r>
      <w:r>
        <w:rPr>
          <w:rFonts w:hint="eastAsia" w:ascii="仿宋_GB2312" w:hAnsi="仿宋_GB2312" w:eastAsia="仿宋_GB2312" w:cs="仿宋_GB2312"/>
          <w:color w:val="000000"/>
          <w:kern w:val="0"/>
          <w:sz w:val="32"/>
          <w:szCs w:val="32"/>
        </w:rPr>
        <w:t>可吸入颗粒物</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b w:val="0"/>
          <w:bCs/>
          <w:i w:val="0"/>
          <w:caps w:val="0"/>
          <w:color w:val="000000"/>
          <w:spacing w:val="0"/>
          <w:sz w:val="32"/>
          <w:szCs w:val="32"/>
          <w:lang w:eastAsia="zh-CN"/>
        </w:rPr>
        <w:t>PM</w:t>
      </w:r>
      <w:r>
        <w:rPr>
          <w:rFonts w:hint="eastAsia" w:ascii="仿宋" w:hAnsi="仿宋" w:eastAsia="仿宋" w:cs="仿宋"/>
          <w:b w:val="0"/>
          <w:bCs/>
          <w:i w:val="0"/>
          <w:caps w:val="0"/>
          <w:color w:val="000000"/>
          <w:spacing w:val="0"/>
          <w:sz w:val="32"/>
          <w:szCs w:val="32"/>
          <w:vertAlign w:val="subscript"/>
          <w:lang w:eastAsia="zh-CN"/>
        </w:rPr>
        <w:t>10</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lang w:eastAsia="zh-CN"/>
        </w:rPr>
        <w:t>浓度</w:t>
      </w:r>
      <w:r>
        <w:rPr>
          <w:rFonts w:hint="eastAsia" w:ascii="仿宋" w:hAnsi="仿宋" w:eastAsia="仿宋" w:cs="仿宋"/>
          <w:b w:val="0"/>
          <w:bCs/>
          <w:i w:val="0"/>
          <w:caps w:val="0"/>
          <w:color w:val="000000"/>
          <w:spacing w:val="0"/>
          <w:sz w:val="32"/>
          <w:szCs w:val="32"/>
          <w:lang w:val="en-US" w:eastAsia="zh-CN"/>
        </w:rPr>
        <w:t>达到82</w:t>
      </w:r>
      <w:r>
        <w:rPr>
          <w:rFonts w:hint="eastAsia" w:ascii="仿宋" w:hAnsi="仿宋" w:eastAsia="仿宋" w:cs="仿宋"/>
          <w:b w:val="0"/>
          <w:bCs/>
          <w:i w:val="0"/>
          <w:caps w:val="0"/>
          <w:color w:val="000000"/>
          <w:spacing w:val="0"/>
          <w:sz w:val="32"/>
          <w:szCs w:val="32"/>
          <w:lang w:eastAsia="zh-CN"/>
        </w:rPr>
        <w:t>ug/m</w:t>
      </w:r>
      <w:r>
        <w:rPr>
          <w:rFonts w:hint="eastAsia" w:ascii="仿宋" w:hAnsi="仿宋" w:eastAsia="仿宋" w:cs="仿宋"/>
          <w:b w:val="0"/>
          <w:bCs/>
          <w:i w:val="0"/>
          <w:caps w:val="0"/>
          <w:color w:val="000000"/>
          <w:spacing w:val="0"/>
          <w:sz w:val="32"/>
          <w:szCs w:val="32"/>
          <w:vertAlign w:val="superscript"/>
          <w:lang w:eastAsia="zh-CN"/>
        </w:rPr>
        <w:t>3</w:t>
      </w:r>
      <w:r>
        <w:rPr>
          <w:rFonts w:hint="eastAsia" w:ascii="仿宋" w:hAnsi="仿宋" w:eastAsia="仿宋" w:cs="仿宋"/>
          <w:b w:val="0"/>
          <w:bCs/>
          <w:i w:val="0"/>
          <w:caps w:val="0"/>
          <w:color w:val="000000"/>
          <w:spacing w:val="0"/>
          <w:sz w:val="32"/>
          <w:szCs w:val="32"/>
          <w:lang w:eastAsia="zh-CN"/>
        </w:rPr>
        <w:t>，</w:t>
      </w:r>
      <w:r>
        <w:rPr>
          <w:rFonts w:hint="eastAsia" w:ascii="仿宋" w:hAnsi="仿宋" w:eastAsia="仿宋" w:cs="仿宋"/>
          <w:b w:val="0"/>
          <w:bCs/>
          <w:i w:val="0"/>
          <w:caps w:val="0"/>
          <w:color w:val="000000"/>
          <w:spacing w:val="0"/>
          <w:sz w:val="32"/>
          <w:szCs w:val="32"/>
          <w:vertAlign w:val="baseline"/>
          <w:lang w:val="en-US" w:eastAsia="zh-CN"/>
        </w:rPr>
        <w:t>同比改善14.6%；</w:t>
      </w:r>
      <w:r>
        <w:rPr>
          <w:rFonts w:hint="eastAsia" w:ascii="仿宋_GB2312" w:hAnsi="仿宋_GB2312" w:eastAsia="仿宋_GB2312" w:cs="仿宋_GB2312"/>
          <w:color w:val="000000"/>
          <w:kern w:val="0"/>
          <w:sz w:val="32"/>
          <w:szCs w:val="32"/>
        </w:rPr>
        <w:t>二氧化硫</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vertAlign w:val="baseline"/>
          <w:lang w:val="en-US" w:eastAsia="zh-CN"/>
        </w:rPr>
        <w:t>SO</w:t>
      </w:r>
      <w:r>
        <w:rPr>
          <w:rFonts w:hint="eastAsia" w:ascii="仿宋" w:hAnsi="仿宋" w:eastAsia="仿宋" w:cs="仿宋"/>
          <w:b w:val="0"/>
          <w:bCs/>
          <w:i w:val="0"/>
          <w:caps w:val="0"/>
          <w:color w:val="000000"/>
          <w:spacing w:val="0"/>
          <w:sz w:val="32"/>
          <w:szCs w:val="32"/>
          <w:vertAlign w:val="subscript"/>
          <w:lang w:val="en-US" w:eastAsia="zh-CN"/>
        </w:rPr>
        <w:t>2</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lang w:eastAsia="zh-CN"/>
        </w:rPr>
        <w:t>浓度</w:t>
      </w:r>
      <w:r>
        <w:rPr>
          <w:rFonts w:hint="eastAsia" w:ascii="仿宋" w:hAnsi="仿宋" w:eastAsia="仿宋" w:cs="仿宋"/>
          <w:b w:val="0"/>
          <w:bCs/>
          <w:i w:val="0"/>
          <w:caps w:val="0"/>
          <w:color w:val="000000"/>
          <w:spacing w:val="0"/>
          <w:sz w:val="32"/>
          <w:szCs w:val="32"/>
          <w:lang w:val="en-US" w:eastAsia="zh-CN"/>
        </w:rPr>
        <w:t>达到14</w:t>
      </w:r>
      <w:r>
        <w:rPr>
          <w:rFonts w:hint="eastAsia" w:ascii="仿宋" w:hAnsi="仿宋" w:eastAsia="仿宋" w:cs="仿宋"/>
          <w:b w:val="0"/>
          <w:bCs/>
          <w:i w:val="0"/>
          <w:caps w:val="0"/>
          <w:color w:val="000000"/>
          <w:spacing w:val="0"/>
          <w:sz w:val="32"/>
          <w:szCs w:val="32"/>
          <w:lang w:eastAsia="zh-CN"/>
        </w:rPr>
        <w:t>ug/m</w:t>
      </w:r>
      <w:r>
        <w:rPr>
          <w:rFonts w:hint="eastAsia" w:ascii="仿宋" w:hAnsi="仿宋" w:eastAsia="仿宋" w:cs="仿宋"/>
          <w:b w:val="0"/>
          <w:bCs/>
          <w:i w:val="0"/>
          <w:caps w:val="0"/>
          <w:color w:val="000000"/>
          <w:spacing w:val="0"/>
          <w:sz w:val="32"/>
          <w:szCs w:val="32"/>
          <w:vertAlign w:val="superscript"/>
          <w:lang w:eastAsia="zh-CN"/>
        </w:rPr>
        <w:t>3</w:t>
      </w:r>
      <w:r>
        <w:rPr>
          <w:rFonts w:hint="eastAsia" w:ascii="仿宋" w:hAnsi="仿宋" w:eastAsia="仿宋" w:cs="仿宋"/>
          <w:b w:val="0"/>
          <w:bCs/>
          <w:i w:val="0"/>
          <w:caps w:val="0"/>
          <w:color w:val="000000"/>
          <w:spacing w:val="0"/>
          <w:sz w:val="32"/>
          <w:szCs w:val="32"/>
          <w:vertAlign w:val="baseline"/>
          <w:lang w:eastAsia="zh-CN"/>
        </w:rPr>
        <w:t>，</w:t>
      </w:r>
      <w:r>
        <w:rPr>
          <w:rFonts w:hint="eastAsia" w:ascii="仿宋" w:hAnsi="仿宋" w:eastAsia="仿宋" w:cs="仿宋"/>
          <w:b w:val="0"/>
          <w:bCs/>
          <w:i w:val="0"/>
          <w:caps w:val="0"/>
          <w:color w:val="000000"/>
          <w:spacing w:val="0"/>
          <w:sz w:val="32"/>
          <w:szCs w:val="32"/>
          <w:vertAlign w:val="baseline"/>
          <w:lang w:val="en-US" w:eastAsia="zh-CN"/>
        </w:rPr>
        <w:t>同比改善6.7%；</w:t>
      </w:r>
      <w:r>
        <w:rPr>
          <w:rFonts w:hint="eastAsia" w:ascii="仿宋_GB2312" w:hAnsi="仿宋_GB2312" w:eastAsia="仿宋_GB2312" w:cs="仿宋_GB2312"/>
          <w:color w:val="000000"/>
          <w:kern w:val="0"/>
          <w:sz w:val="32"/>
          <w:szCs w:val="32"/>
        </w:rPr>
        <w:t>二氧化氮</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lang w:val="en-US" w:eastAsia="zh-CN"/>
        </w:rPr>
        <w:t>NO</w:t>
      </w:r>
      <w:r>
        <w:rPr>
          <w:rFonts w:hint="eastAsia" w:ascii="仿宋" w:hAnsi="仿宋" w:eastAsia="仿宋" w:cs="仿宋"/>
          <w:b w:val="0"/>
          <w:bCs/>
          <w:i w:val="0"/>
          <w:caps w:val="0"/>
          <w:color w:val="000000"/>
          <w:spacing w:val="0"/>
          <w:sz w:val="32"/>
          <w:szCs w:val="32"/>
          <w:vertAlign w:val="subscript"/>
          <w:lang w:val="en-US" w:eastAsia="zh-CN"/>
        </w:rPr>
        <w:t>2</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aps w:val="0"/>
          <w:color w:val="000000"/>
          <w:spacing w:val="0"/>
          <w:sz w:val="32"/>
          <w:szCs w:val="32"/>
          <w:lang w:eastAsia="zh-CN"/>
        </w:rPr>
        <w:t>浓度</w:t>
      </w:r>
      <w:r>
        <w:rPr>
          <w:rFonts w:hint="eastAsia" w:ascii="仿宋" w:hAnsi="仿宋" w:eastAsia="仿宋" w:cs="仿宋"/>
          <w:b w:val="0"/>
          <w:bCs/>
          <w:i w:val="0"/>
          <w:caps w:val="0"/>
          <w:color w:val="000000"/>
          <w:spacing w:val="0"/>
          <w:sz w:val="32"/>
          <w:szCs w:val="32"/>
          <w:lang w:val="en-US" w:eastAsia="zh-CN"/>
        </w:rPr>
        <w:t>达到22</w:t>
      </w:r>
      <w:r>
        <w:rPr>
          <w:rFonts w:hint="eastAsia" w:ascii="仿宋" w:hAnsi="仿宋" w:eastAsia="仿宋" w:cs="仿宋"/>
          <w:b w:val="0"/>
          <w:bCs/>
          <w:i w:val="0"/>
          <w:caps w:val="0"/>
          <w:color w:val="000000"/>
          <w:spacing w:val="0"/>
          <w:sz w:val="32"/>
          <w:szCs w:val="32"/>
          <w:lang w:eastAsia="zh-CN"/>
        </w:rPr>
        <w:t>ug/m</w:t>
      </w:r>
      <w:r>
        <w:rPr>
          <w:rFonts w:hint="eastAsia" w:ascii="仿宋" w:hAnsi="仿宋" w:eastAsia="仿宋" w:cs="仿宋"/>
          <w:b w:val="0"/>
          <w:bCs/>
          <w:i w:val="0"/>
          <w:caps w:val="0"/>
          <w:color w:val="000000"/>
          <w:spacing w:val="0"/>
          <w:sz w:val="32"/>
          <w:szCs w:val="32"/>
          <w:vertAlign w:val="superscript"/>
          <w:lang w:eastAsia="zh-CN"/>
        </w:rPr>
        <w:t>3</w:t>
      </w:r>
      <w:r>
        <w:rPr>
          <w:rFonts w:hint="eastAsia" w:ascii="仿宋" w:hAnsi="仿宋" w:eastAsia="仿宋" w:cs="仿宋"/>
          <w:b w:val="0"/>
          <w:bCs/>
          <w:i w:val="0"/>
          <w:caps w:val="0"/>
          <w:color w:val="000000"/>
          <w:spacing w:val="0"/>
          <w:sz w:val="32"/>
          <w:szCs w:val="32"/>
          <w:vertAlign w:val="baseline"/>
          <w:lang w:eastAsia="zh-CN"/>
        </w:rPr>
        <w:t>，</w:t>
      </w:r>
      <w:r>
        <w:rPr>
          <w:rFonts w:hint="eastAsia" w:ascii="仿宋" w:hAnsi="仿宋" w:eastAsia="仿宋" w:cs="仿宋"/>
          <w:b w:val="0"/>
          <w:bCs/>
          <w:i w:val="0"/>
          <w:caps w:val="0"/>
          <w:color w:val="000000"/>
          <w:spacing w:val="0"/>
          <w:sz w:val="32"/>
          <w:szCs w:val="32"/>
          <w:vertAlign w:val="baseline"/>
          <w:lang w:val="en-US" w:eastAsia="zh-CN"/>
        </w:rPr>
        <w:t>同比改善8.3%；</w:t>
      </w:r>
      <w:r>
        <w:rPr>
          <w:rFonts w:hint="eastAsia" w:ascii="仿宋" w:hAnsi="仿宋" w:eastAsia="仿宋" w:cs="仿宋"/>
          <w:b w:val="0"/>
          <w:bCs/>
          <w:i w:val="0"/>
          <w:caps w:val="0"/>
          <w:color w:val="000000"/>
          <w:spacing w:val="0"/>
          <w:sz w:val="32"/>
          <w:szCs w:val="32"/>
          <w:lang w:val="en-US" w:eastAsia="zh-CN"/>
        </w:rPr>
        <w:t>臭氧</w:t>
      </w:r>
      <w:r>
        <w:rPr>
          <w:rFonts w:hint="eastAsia" w:ascii="仿宋" w:hAnsi="仿宋" w:eastAsia="仿宋" w:cs="仿宋"/>
          <w:b w:val="0"/>
          <w:bCs/>
          <w:i w:val="0"/>
          <w:caps w:val="0"/>
          <w:color w:val="000000"/>
          <w:spacing w:val="0"/>
          <w:sz w:val="32"/>
          <w:szCs w:val="32"/>
          <w:lang w:eastAsia="zh-CN"/>
        </w:rPr>
        <w:t>浓度</w:t>
      </w:r>
      <w:r>
        <w:rPr>
          <w:rFonts w:hint="eastAsia" w:ascii="仿宋" w:hAnsi="仿宋" w:eastAsia="仿宋" w:cs="仿宋"/>
          <w:b w:val="0"/>
          <w:bCs/>
          <w:i w:val="0"/>
          <w:caps w:val="0"/>
          <w:color w:val="000000"/>
          <w:spacing w:val="0"/>
          <w:sz w:val="32"/>
          <w:szCs w:val="32"/>
          <w:lang w:val="en-US" w:eastAsia="zh-CN"/>
        </w:rPr>
        <w:t>达到179</w:t>
      </w:r>
      <w:r>
        <w:rPr>
          <w:rFonts w:hint="eastAsia" w:ascii="仿宋" w:hAnsi="仿宋" w:eastAsia="仿宋" w:cs="仿宋"/>
          <w:b w:val="0"/>
          <w:bCs/>
          <w:i w:val="0"/>
          <w:caps w:val="0"/>
          <w:color w:val="000000"/>
          <w:spacing w:val="0"/>
          <w:sz w:val="32"/>
          <w:szCs w:val="32"/>
          <w:lang w:eastAsia="zh-CN"/>
        </w:rPr>
        <w:t>ug/m</w:t>
      </w:r>
      <w:r>
        <w:rPr>
          <w:rFonts w:hint="eastAsia" w:ascii="仿宋" w:hAnsi="仿宋" w:eastAsia="仿宋" w:cs="仿宋"/>
          <w:b w:val="0"/>
          <w:bCs/>
          <w:i w:val="0"/>
          <w:caps w:val="0"/>
          <w:color w:val="000000"/>
          <w:spacing w:val="0"/>
          <w:sz w:val="32"/>
          <w:szCs w:val="32"/>
          <w:vertAlign w:val="superscript"/>
          <w:lang w:eastAsia="zh-CN"/>
        </w:rPr>
        <w:t>3</w:t>
      </w:r>
      <w:r>
        <w:rPr>
          <w:rFonts w:hint="eastAsia" w:ascii="仿宋" w:hAnsi="仿宋" w:eastAsia="仿宋" w:cs="仿宋"/>
          <w:b w:val="0"/>
          <w:bCs/>
          <w:i w:val="0"/>
          <w:caps w:val="0"/>
          <w:color w:val="000000"/>
          <w:spacing w:val="0"/>
          <w:sz w:val="32"/>
          <w:szCs w:val="32"/>
          <w:vertAlign w:val="baseline"/>
          <w:lang w:eastAsia="zh-CN"/>
        </w:rPr>
        <w:t>，</w:t>
      </w:r>
      <w:r>
        <w:rPr>
          <w:rFonts w:hint="eastAsia" w:ascii="仿宋" w:hAnsi="仿宋" w:eastAsia="仿宋" w:cs="仿宋"/>
          <w:b w:val="0"/>
          <w:bCs/>
          <w:i w:val="0"/>
          <w:caps w:val="0"/>
          <w:color w:val="000000"/>
          <w:spacing w:val="0"/>
          <w:sz w:val="32"/>
          <w:szCs w:val="32"/>
          <w:vertAlign w:val="baseline"/>
          <w:lang w:val="en-US" w:eastAsia="zh-CN"/>
        </w:rPr>
        <w:t>同比改善5.8%。</w:t>
      </w:r>
      <w:r>
        <w:rPr>
          <w:rFonts w:hint="eastAsia" w:ascii="仿宋" w:hAnsi="仿宋" w:eastAsia="仿宋" w:cs="仿宋"/>
          <w:b w:val="0"/>
          <w:bCs w:val="0"/>
          <w:sz w:val="32"/>
          <w:szCs w:val="32"/>
          <w:lang w:val="en-US" w:eastAsia="zh-CN"/>
        </w:rPr>
        <w:t>蓝天白云已成为常态，人民群众的获得感和幸福感明显增强，污染防治攻坚战圆满收官。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三、改革创新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微软雅黑" w:hAnsi="微软雅黑" w:eastAsia="微软雅黑" w:cs="宋体"/>
          <w:color w:val="000000"/>
          <w:kern w:val="0"/>
          <w:sz w:val="23"/>
          <w:szCs w:val="23"/>
        </w:rPr>
      </w:pPr>
      <w:r>
        <w:rPr>
          <w:rFonts w:hint="eastAsia" w:ascii="楷体_GB2312" w:hAnsi="微软雅黑" w:eastAsia="楷体_GB2312" w:cs="宋体"/>
          <w:bCs/>
          <w:color w:val="000000"/>
          <w:kern w:val="0"/>
          <w:sz w:val="32"/>
          <w:szCs w:val="32"/>
        </w:rPr>
        <w:t>重点</w:t>
      </w:r>
      <w:r>
        <w:rPr>
          <w:rFonts w:ascii="楷体_GB2312" w:hAnsi="微软雅黑" w:eastAsia="楷体_GB2312" w:cs="宋体"/>
          <w:bCs/>
          <w:color w:val="000000"/>
          <w:kern w:val="0"/>
          <w:sz w:val="32"/>
          <w:szCs w:val="32"/>
        </w:rPr>
        <w:t>领域改革成效显著。</w:t>
      </w:r>
      <w:r>
        <w:rPr>
          <w:rFonts w:ascii="仿宋_GB2312" w:hAnsi="仿宋_GB2312" w:eastAsia="仿宋_GB2312" w:cs="仿宋_GB2312"/>
          <w:color w:val="000000"/>
          <w:sz w:val="32"/>
          <w:szCs w:val="40"/>
        </w:rPr>
        <w:t>大力</w:t>
      </w:r>
      <w:r>
        <w:rPr>
          <w:rFonts w:hint="eastAsia" w:ascii="仿宋_GB2312" w:hAnsi="仿宋_GB2312" w:eastAsia="仿宋_GB2312" w:cs="仿宋_GB2312"/>
          <w:color w:val="000000"/>
          <w:sz w:val="32"/>
          <w:szCs w:val="40"/>
        </w:rPr>
        <w:t>深化</w:t>
      </w:r>
      <w:r>
        <w:rPr>
          <w:rFonts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rPr>
        <w:t>放</w:t>
      </w:r>
      <w:r>
        <w:rPr>
          <w:rFonts w:ascii="仿宋_GB2312" w:hAnsi="仿宋_GB2312" w:eastAsia="仿宋_GB2312" w:cs="仿宋_GB2312"/>
          <w:color w:val="000000"/>
          <w:sz w:val="32"/>
          <w:szCs w:val="40"/>
        </w:rPr>
        <w:t>管服”</w:t>
      </w:r>
      <w:r>
        <w:rPr>
          <w:rFonts w:hint="eastAsia" w:ascii="仿宋_GB2312" w:hAnsi="仿宋_GB2312" w:eastAsia="仿宋_GB2312" w:cs="仿宋_GB2312"/>
          <w:color w:val="000000"/>
          <w:sz w:val="32"/>
          <w:szCs w:val="40"/>
        </w:rPr>
        <w:t>改革</w:t>
      </w:r>
      <w:r>
        <w:rPr>
          <w:rFonts w:ascii="仿宋_GB2312" w:hAnsi="仿宋_GB2312" w:eastAsia="仿宋_GB2312" w:cs="仿宋_GB2312"/>
          <w:color w:val="000000"/>
          <w:sz w:val="32"/>
          <w:szCs w:val="40"/>
        </w:rPr>
        <w:t>，实现</w:t>
      </w:r>
      <w:r>
        <w:rPr>
          <w:rFonts w:hint="eastAsia" w:ascii="仿宋_GB2312" w:hAnsi="仿宋_GB2312" w:eastAsia="仿宋_GB2312" w:cs="仿宋_GB2312"/>
          <w:color w:val="000000"/>
          <w:sz w:val="32"/>
          <w:szCs w:val="40"/>
          <w:lang w:val="en-US" w:eastAsia="zh-CN"/>
        </w:rPr>
        <w:t>1043</w:t>
      </w:r>
      <w:r>
        <w:rPr>
          <w:rFonts w:hint="eastAsia" w:ascii="仿宋_GB2312" w:hAnsi="仿宋_GB2312" w:eastAsia="仿宋_GB2312" w:cs="仿宋_GB2312"/>
          <w:color w:val="000000"/>
          <w:sz w:val="32"/>
          <w:szCs w:val="40"/>
        </w:rPr>
        <w:t>个</w:t>
      </w:r>
      <w:r>
        <w:rPr>
          <w:rFonts w:ascii="仿宋_GB2312" w:hAnsi="仿宋_GB2312" w:eastAsia="仿宋_GB2312" w:cs="仿宋_GB2312"/>
          <w:color w:val="000000"/>
          <w:sz w:val="32"/>
          <w:szCs w:val="40"/>
        </w:rPr>
        <w:t>事项“</w:t>
      </w:r>
      <w:r>
        <w:rPr>
          <w:rFonts w:hint="eastAsia" w:ascii="仿宋_GB2312" w:hAnsi="仿宋_GB2312" w:eastAsia="仿宋_GB2312" w:cs="仿宋_GB2312"/>
          <w:color w:val="000000"/>
          <w:sz w:val="32"/>
          <w:szCs w:val="40"/>
        </w:rPr>
        <w:t>一次办好</w:t>
      </w:r>
      <w:r>
        <w:rPr>
          <w:rFonts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lang w:val="en-US" w:eastAsia="zh-CN"/>
        </w:rPr>
        <w:t>668</w:t>
      </w:r>
      <w:r>
        <w:rPr>
          <w:rFonts w:hint="eastAsia" w:ascii="仿宋_GB2312" w:hAnsi="仿宋_GB2312" w:eastAsia="仿宋_GB2312" w:cs="仿宋_GB2312"/>
          <w:color w:val="000000"/>
          <w:sz w:val="32"/>
          <w:szCs w:val="40"/>
        </w:rPr>
        <w:t>个</w:t>
      </w:r>
      <w:r>
        <w:rPr>
          <w:rFonts w:ascii="仿宋_GB2312" w:hAnsi="仿宋_GB2312" w:eastAsia="仿宋_GB2312" w:cs="仿宋_GB2312"/>
          <w:color w:val="000000"/>
          <w:sz w:val="32"/>
          <w:szCs w:val="40"/>
        </w:rPr>
        <w:t>事项“</w:t>
      </w:r>
      <w:r>
        <w:rPr>
          <w:rFonts w:hint="eastAsia" w:ascii="仿宋_GB2312" w:hAnsi="仿宋_GB2312" w:eastAsia="仿宋_GB2312" w:cs="仿宋_GB2312"/>
          <w:color w:val="000000"/>
          <w:sz w:val="32"/>
          <w:szCs w:val="40"/>
        </w:rPr>
        <w:t>零跑</w:t>
      </w:r>
      <w:r>
        <w:rPr>
          <w:rFonts w:ascii="仿宋_GB2312" w:hAnsi="仿宋_GB2312" w:eastAsia="仿宋_GB2312" w:cs="仿宋_GB2312"/>
          <w:color w:val="000000"/>
          <w:sz w:val="32"/>
          <w:szCs w:val="40"/>
        </w:rPr>
        <w:t>腿”</w:t>
      </w:r>
      <w:r>
        <w:rPr>
          <w:rFonts w:hint="eastAsia"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lang w:val="en-US" w:eastAsia="zh-CN"/>
        </w:rPr>
        <w:t>96</w:t>
      </w:r>
      <w:r>
        <w:rPr>
          <w:rFonts w:hint="eastAsia" w:ascii="仿宋_GB2312" w:hAnsi="仿宋_GB2312" w:eastAsia="仿宋_GB2312" w:cs="仿宋_GB2312"/>
          <w:color w:val="000000"/>
          <w:sz w:val="32"/>
          <w:szCs w:val="40"/>
        </w:rPr>
        <w:t>个</w:t>
      </w:r>
      <w:r>
        <w:rPr>
          <w:rFonts w:ascii="仿宋_GB2312" w:hAnsi="仿宋_GB2312" w:eastAsia="仿宋_GB2312" w:cs="仿宋_GB2312"/>
          <w:color w:val="000000"/>
          <w:sz w:val="32"/>
          <w:szCs w:val="40"/>
        </w:rPr>
        <w:t>事项“</w:t>
      </w:r>
      <w:r>
        <w:rPr>
          <w:rFonts w:hint="eastAsia" w:ascii="仿宋_GB2312" w:hAnsi="仿宋_GB2312" w:eastAsia="仿宋_GB2312" w:cs="仿宋_GB2312"/>
          <w:color w:val="000000"/>
          <w:sz w:val="32"/>
          <w:szCs w:val="40"/>
        </w:rPr>
        <w:t>秒批</w:t>
      </w:r>
      <w:r>
        <w:rPr>
          <w:rFonts w:ascii="仿宋_GB2312" w:hAnsi="仿宋_GB2312" w:eastAsia="仿宋_GB2312" w:cs="仿宋_GB2312"/>
          <w:color w:val="000000"/>
          <w:sz w:val="32"/>
          <w:szCs w:val="40"/>
        </w:rPr>
        <w:t>秒办”</w:t>
      </w:r>
      <w:r>
        <w:rPr>
          <w:rFonts w:hint="eastAsia" w:ascii="仿宋_GB2312" w:hAnsi="仿宋_GB2312" w:eastAsia="仿宋_GB2312" w:cs="仿宋_GB2312"/>
          <w:color w:val="000000"/>
          <w:sz w:val="32"/>
          <w:szCs w:val="40"/>
        </w:rPr>
        <w:t>。58家区属企业全部完成产权划转，在全省率先实现经营性国有资产统一监管</w:t>
      </w:r>
      <w:r>
        <w:rPr>
          <w:rFonts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rPr>
        <w:t>企业活力稳步增强，新增规</w:t>
      </w:r>
      <w:r>
        <w:rPr>
          <w:rFonts w:hint="eastAsia" w:ascii="仿宋_GB2312" w:hAnsi="仿宋_GB2312" w:eastAsia="仿宋_GB2312" w:cs="仿宋_GB2312"/>
          <w:color w:val="000000"/>
          <w:sz w:val="32"/>
          <w:szCs w:val="40"/>
          <w:lang w:eastAsia="zh-CN"/>
        </w:rPr>
        <w:t>模以</w:t>
      </w:r>
      <w:r>
        <w:rPr>
          <w:rFonts w:hint="eastAsia" w:ascii="仿宋_GB2312" w:hAnsi="仿宋_GB2312" w:eastAsia="仿宋_GB2312" w:cs="仿宋_GB2312"/>
          <w:color w:val="000000"/>
          <w:sz w:val="32"/>
          <w:szCs w:val="40"/>
        </w:rPr>
        <w:t>上工业企业17家</w:t>
      </w:r>
      <w:r>
        <w:rPr>
          <w:rFonts w:hint="eastAsia" w:ascii="仿宋_GB2312" w:hAnsi="仿宋_GB2312" w:eastAsia="仿宋_GB2312" w:cs="仿宋_GB2312"/>
          <w:color w:val="000000"/>
          <w:sz w:val="32"/>
          <w:szCs w:val="40"/>
          <w:lang w:val="en-US" w:eastAsia="zh-CN"/>
        </w:rPr>
        <w:t>,</w:t>
      </w:r>
      <w:r>
        <w:rPr>
          <w:rFonts w:hint="eastAsia" w:ascii="仿宋_GB2312" w:hAnsi="仿宋_GB2312" w:eastAsia="仿宋_GB2312" w:cs="仿宋_GB2312"/>
          <w:color w:val="000000"/>
          <w:sz w:val="32"/>
          <w:szCs w:val="40"/>
          <w:lang w:eastAsia="zh-CN"/>
        </w:rPr>
        <w:t>新登记各类市场主体4663户，比上年增长7.59%。民营市场主体培育良好，新登记民营市场主体4636户，比上年增长7.36%</w:t>
      </w:r>
      <w:r>
        <w:rPr>
          <w:rFonts w:hint="eastAsia" w:ascii="仿宋_GB2312" w:hAnsi="仿宋_GB2312" w:eastAsia="仿宋_GB2312" w:cs="仿宋_GB2312"/>
          <w:color w:val="000000"/>
          <w:sz w:val="32"/>
          <w:szCs w:val="40"/>
        </w:rPr>
        <w:t>。</w:t>
      </w:r>
      <w:r>
        <w:rPr>
          <w:rFonts w:hint="eastAsia" w:ascii="仿宋_GB2312" w:hAnsi="仿宋_GB2312" w:eastAsia="仿宋_GB2312" w:cs="仿宋_GB2312"/>
          <w:color w:val="000000"/>
          <w:sz w:val="32"/>
          <w:szCs w:val="40"/>
          <w:lang w:val="en-US" w:eastAsia="zh-CN"/>
        </w:rPr>
        <w:t>农村集体产权股份制改革覆盖率达100%。</w:t>
      </w:r>
      <w:r>
        <w:rPr>
          <w:rFonts w:hint="eastAsia" w:ascii="仿宋_GB2312" w:hAnsi="仿宋_GB2312" w:eastAsia="仿宋_GB2312" w:cs="仿宋_GB2312"/>
          <w:sz w:val="32"/>
          <w:szCs w:val="32"/>
          <w:lang w:val="en-US" w:eastAsia="zh-CN"/>
        </w:rPr>
        <w:t>完成农村土地确权登记颁证工作，36.5万亩承包耕地确权登记签订合同、颁发证书、明晰产权。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楷体" w:hAnsi="楷体" w:eastAsia="楷体" w:cs="楷体"/>
          <w:sz w:val="32"/>
          <w:szCs w:val="32"/>
          <w:lang w:val="en-US" w:eastAsia="zh-CN"/>
        </w:rPr>
        <w:t>创新战略全面实施。</w:t>
      </w:r>
      <w:r>
        <w:rPr>
          <w:rFonts w:hint="eastAsia" w:ascii="仿宋_GB2312" w:hAnsi="仿宋_GB2312" w:eastAsia="仿宋_GB2312" w:cs="仿宋_GB2312"/>
          <w:sz w:val="32"/>
          <w:szCs w:val="32"/>
          <w:lang w:val="en-US" w:eastAsia="zh-CN"/>
        </w:rPr>
        <w:t>获批35家国家级科技中小型企业，1家市级科技企业孵化器，2家市级新型研发机构，3家市级重点实验室，4家市级科技中小型企业，5家市科技小巨人企业。认定5家市级技术创新中心，5家市级协同创新中心。核芯光电</w:t>
      </w:r>
      <w:r>
        <w:rPr>
          <w:rFonts w:hint="default" w:ascii="仿宋_GB2312" w:hAnsi="仿宋_GB2312" w:eastAsia="仿宋_GB2312" w:cs="仿宋_GB2312"/>
          <w:sz w:val="32"/>
          <w:szCs w:val="32"/>
          <w:lang w:val="en-US" w:eastAsia="zh-CN"/>
        </w:rPr>
        <w:t>承担的“高速3D彩色X射线成像仪关键技术研究”项目</w:t>
      </w:r>
      <w:r>
        <w:rPr>
          <w:rFonts w:hint="eastAsia" w:ascii="仿宋_GB2312" w:hAnsi="仿宋_GB2312" w:eastAsia="仿宋_GB2312" w:cs="仿宋_GB2312"/>
          <w:sz w:val="32"/>
          <w:szCs w:val="32"/>
          <w:lang w:val="en-US" w:eastAsia="zh-CN"/>
        </w:rPr>
        <w:t>入选</w:t>
      </w:r>
      <w:r>
        <w:rPr>
          <w:rFonts w:hint="default" w:ascii="仿宋_GB2312" w:hAnsi="仿宋_GB2312" w:eastAsia="仿宋_GB2312" w:cs="仿宋_GB2312"/>
          <w:sz w:val="32"/>
          <w:szCs w:val="32"/>
          <w:lang w:val="en-US" w:eastAsia="zh-CN"/>
        </w:rPr>
        <w:t>省重</w:t>
      </w:r>
      <w:r>
        <w:rPr>
          <w:rFonts w:hint="eastAsia" w:ascii="仿宋_GB2312" w:hAnsi="仿宋_GB2312" w:eastAsia="仿宋_GB2312" w:cs="仿宋_GB2312"/>
          <w:sz w:val="32"/>
          <w:szCs w:val="32"/>
          <w:lang w:val="en-US" w:eastAsia="zh-CN"/>
        </w:rPr>
        <w:t>点研发计划（重大科技创新工程）指南，为全区科技型企业树立了科技导向。打磨品牌，</w:t>
      </w:r>
      <w:r>
        <w:rPr>
          <w:rFonts w:hint="eastAsia" w:ascii="仿宋_GB2312" w:hAnsi="仿宋_GB2312" w:eastAsia="仿宋_GB2312" w:cs="仿宋_GB2312"/>
          <w:kern w:val="2"/>
          <w:sz w:val="32"/>
          <w:szCs w:val="32"/>
          <w:lang w:val="en-US" w:eastAsia="zh-CN" w:bidi="ar-SA"/>
        </w:rPr>
        <w:t>成为全市唯一首批“山东省技术转移先进县（市、区）”。</w:t>
      </w:r>
      <w:r>
        <w:rPr>
          <w:rFonts w:hint="eastAsia" w:ascii="仿宋_GB2312" w:eastAsia="仿宋_GB2312"/>
          <w:sz w:val="32"/>
          <w:szCs w:val="32"/>
        </w:rPr>
        <w:t>城头豆制品基地办被认定为第五批国家知识产权保护规范化市场。发明专利授权27件，拥有有效发明专利137件，</w:t>
      </w:r>
      <w:r>
        <w:rPr>
          <w:rFonts w:hint="eastAsia" w:ascii="仿宋_GB2312" w:eastAsia="仿宋_GB2312"/>
          <w:sz w:val="32"/>
          <w:szCs w:val="32"/>
          <w:lang w:eastAsia="zh-CN"/>
        </w:rPr>
        <w:t>同比</w:t>
      </w:r>
      <w:r>
        <w:rPr>
          <w:rFonts w:hint="eastAsia" w:ascii="仿宋_GB2312" w:eastAsia="仿宋_GB2312"/>
          <w:sz w:val="32"/>
          <w:szCs w:val="32"/>
        </w:rPr>
        <w:t>增长17.1%。</w:t>
      </w:r>
      <w:r>
        <w:rPr>
          <w:rFonts w:hint="eastAsia" w:ascii="仿宋_GB2312" w:hAnsi="仿宋_GB2312" w:eastAsia="仿宋_GB2312" w:cs="仿宋_GB2312"/>
          <w:sz w:val="32"/>
          <w:szCs w:val="32"/>
          <w:lang w:val="en-US" w:eastAsia="zh-CN"/>
        </w:rPr>
        <w:t>柔性引进4名国家级高层次人才入库，成功引进一名巴基斯坦博士、一名韩国专家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auto"/>
          <w:sz w:val="32"/>
          <w:szCs w:val="32"/>
          <w:u w:val="none"/>
          <w:lang w:val="en-US" w:eastAsia="zh-CN"/>
        </w:rPr>
        <w:t>组织申报的高层次人才专家工作站通过审核，实现山亭历史“零突破”；丰谷种业高庆荣教授成功获批泰山产业领军人才。</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四、农业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楷体" w:hAnsi="楷体" w:eastAsia="楷体" w:cs="楷体"/>
          <w:sz w:val="32"/>
          <w:szCs w:val="32"/>
          <w:lang w:val="en-US" w:eastAsia="zh-CN"/>
        </w:rPr>
        <w:t>农林牧渔业稳步发展。</w:t>
      </w:r>
      <w:r>
        <w:rPr>
          <w:rFonts w:hint="eastAsia" w:ascii="仿宋_GB2312" w:hAnsi="仿宋_GB2312" w:eastAsia="仿宋_GB2312" w:cs="仿宋_GB2312"/>
          <w:color w:val="000000"/>
          <w:sz w:val="32"/>
          <w:szCs w:val="40"/>
          <w:lang w:val="en-US" w:eastAsia="zh-CN"/>
        </w:rPr>
        <w:t>2020年全区实现农林牧渔业增加值20.3亿元，按可比价计算，比上年增长2.6%。其中，农业增加值实现13.9亿元，同比增长8.4%；林业增加值实现0.2亿元，同比下降24.4%；牧业增加值实现4.1亿元，同比下降14.1%；渔业增加值实现0.5亿元，同比增长2.4%；农林牧渔服务业增加值实现1.7亿元，同比增长9.6%。全年粮食播种面积2.4万公顷，比上年增长0.6%。粮食总产量14.6万吨，同比增长3.9%。其中，夏粮总产量5.7万吨，同比增长15.4%；秋粮总产量8.9万吨，同比下降2.3%。水果总产量12.5万吨。水产品总产量0.5万吨，与去年持平。设施农业占地面积发展到2189.7公顷，畜牧养殖大户发展到21家。</w:t>
      </w:r>
    </w:p>
    <w:p>
      <w:pPr>
        <w:pStyle w:val="2"/>
        <w:rPr>
          <w:rFonts w:hint="eastAsia" w:ascii="仿宋_GB2312" w:hAnsi="仿宋_GB2312" w:eastAsia="仿宋_GB2312" w:cs="仿宋_GB2312"/>
          <w:color w:val="000000"/>
          <w:sz w:val="32"/>
          <w:szCs w:val="40"/>
          <w:lang w:val="en-US" w:eastAsia="zh-CN"/>
        </w:rPr>
      </w:pPr>
    </w:p>
    <w:p>
      <w:pPr>
        <w:pStyle w:val="2"/>
        <w:rPr>
          <w:rFonts w:hint="eastAsia" w:ascii="仿宋_GB2312" w:hAnsi="仿宋_GB2312" w:eastAsia="仿宋_GB2312" w:cs="仿宋_GB2312"/>
          <w:color w:val="000000"/>
          <w:sz w:val="32"/>
          <w:szCs w:val="40"/>
          <w:lang w:val="en-US" w:eastAsia="zh-CN"/>
        </w:rPr>
      </w:pPr>
    </w:p>
    <w:p>
      <w:pPr>
        <w:pStyle w:val="2"/>
        <w:rPr>
          <w:rFonts w:hint="eastAsia" w:ascii="仿宋_GB2312" w:hAnsi="仿宋_GB2312" w:eastAsia="仿宋_GB2312" w:cs="仿宋_GB2312"/>
          <w:color w:val="000000"/>
          <w:sz w:val="32"/>
          <w:szCs w:val="40"/>
          <w:lang w:val="en-US" w:eastAsia="zh-CN"/>
        </w:rPr>
      </w:pPr>
    </w:p>
    <w:p>
      <w:pPr>
        <w:widowControl/>
        <w:shd w:val="clear" w:color="auto" w:fill="FFFFFF"/>
        <w:spacing w:before="156" w:beforeLines="50" w:after="156" w:afterLines="50" w:line="58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表</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主要农产品产量</w:t>
      </w:r>
    </w:p>
    <w:tbl>
      <w:tblPr>
        <w:tblStyle w:val="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1998"/>
        <w:gridCol w:w="1770"/>
        <w:gridCol w:w="25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rPr>
              <w:t>产    品</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rPr>
              <w:t>单  位</w:t>
            </w:r>
          </w:p>
        </w:tc>
        <w:tc>
          <w:tcPr>
            <w:tcW w:w="1038"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rPr>
              <w:t>产  量</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比上年</w:t>
            </w:r>
            <w:r>
              <w:rPr>
                <w:rFonts w:hint="default" w:ascii="仿宋_GB2312" w:hAnsi="宋体" w:eastAsia="仿宋_GB2312" w:cs="宋体"/>
                <w:color w:val="000000"/>
                <w:kern w:val="0"/>
                <w:sz w:val="28"/>
                <w:szCs w:val="28"/>
              </w:rPr>
              <w:t>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粮食</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w:t>
            </w:r>
            <w:r>
              <w:rPr>
                <w:rFonts w:hint="eastAsia" w:ascii="仿宋_GB2312" w:hAnsi="宋体" w:eastAsia="仿宋_GB2312" w:cs="宋体"/>
                <w:color w:val="000000"/>
                <w:kern w:val="0"/>
                <w:sz w:val="28"/>
                <w:szCs w:val="28"/>
                <w:lang w:val="en-US" w:eastAsia="zh-CN"/>
              </w:rPr>
              <w:t>6</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棉花</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785.0</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油料</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1</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蔬菜</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20.2</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瓜类</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3</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水果</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12.5</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305" w:type="pct"/>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rPr>
              <w:t>水产品</w:t>
            </w:r>
          </w:p>
        </w:tc>
        <w:tc>
          <w:tcPr>
            <w:tcW w:w="117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firstLine="560" w:firstLineChars="200"/>
              <w:jc w:val="left"/>
              <w:rPr>
                <w:rFonts w:hint="default"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万吨</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0.</w:t>
            </w:r>
            <w:r>
              <w:rPr>
                <w:rFonts w:hint="eastAsia" w:ascii="仿宋_GB2312" w:hAnsi="宋体" w:eastAsia="仿宋_GB2312" w:cs="宋体"/>
                <w:color w:val="000000"/>
                <w:kern w:val="0"/>
                <w:sz w:val="28"/>
                <w:szCs w:val="28"/>
                <w:lang w:val="en-US" w:eastAsia="zh-CN"/>
              </w:rPr>
              <w:t>5</w:t>
            </w:r>
          </w:p>
        </w:tc>
        <w:tc>
          <w:tcPr>
            <w:tcW w:w="148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560" w:firstLineChars="200"/>
              <w:jc w:val="righ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0.0</w:t>
            </w:r>
          </w:p>
        </w:tc>
      </w:tr>
    </w:tbl>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五、工业和建筑业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楷体" w:hAnsi="楷体" w:eastAsia="楷体" w:cs="楷体"/>
          <w:sz w:val="32"/>
          <w:szCs w:val="32"/>
          <w:lang w:val="en-US" w:eastAsia="zh-CN"/>
        </w:rPr>
        <w:t>工业经济稳中有升。</w:t>
      </w:r>
      <w:r>
        <w:rPr>
          <w:rFonts w:hint="eastAsia" w:ascii="仿宋_GB2312" w:hAnsi="仿宋_GB2312" w:eastAsia="仿宋_GB2312" w:cs="仿宋_GB2312"/>
          <w:color w:val="000000"/>
          <w:sz w:val="32"/>
          <w:szCs w:val="40"/>
          <w:lang w:val="en-US" w:eastAsia="zh-CN"/>
        </w:rPr>
        <w:t>2020年全区实现全部工业增加值34.9亿元，按可比价计算，比上年增长2.9%。规模以上工业增加值同比增长15.2%。其中，轻工业同比增长0.6%，重工业同比增长28.8%，重工业快于轻工业28.2个百分点。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楷体" w:hAnsi="楷体" w:eastAsia="楷体" w:cs="楷体"/>
          <w:sz w:val="32"/>
          <w:szCs w:val="32"/>
          <w:lang w:val="en-US" w:eastAsia="zh-CN"/>
        </w:rPr>
        <w:t>重点行业增长较快。</w:t>
      </w:r>
      <w:r>
        <w:rPr>
          <w:rFonts w:hint="eastAsia" w:ascii="仿宋_GB2312" w:hAnsi="仿宋_GB2312" w:eastAsia="仿宋_GB2312" w:cs="仿宋_GB2312"/>
          <w:color w:val="000000"/>
          <w:sz w:val="32"/>
          <w:szCs w:val="40"/>
          <w:lang w:val="en-US" w:eastAsia="zh-CN"/>
        </w:rPr>
        <w:t>在统的19个行业大类中10个行业增加值实现增长，增长面为52.6%。非金属矿物制品业、农副食品加工业、食品制造业三行业增加值分别比上年增长37.1%、37.8%、25.2%。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楷体" w:hAnsi="楷体" w:eastAsia="楷体" w:cs="楷体"/>
          <w:sz w:val="32"/>
          <w:szCs w:val="32"/>
          <w:lang w:val="en-US" w:eastAsia="zh-CN"/>
        </w:rPr>
        <w:t>制造业拉动贡献突出。</w:t>
      </w:r>
      <w:r>
        <w:rPr>
          <w:rFonts w:hint="eastAsia" w:ascii="仿宋_GB2312" w:hAnsi="仿宋_GB2312" w:eastAsia="仿宋_GB2312" w:cs="仿宋_GB2312"/>
          <w:color w:val="000000"/>
          <w:sz w:val="32"/>
          <w:szCs w:val="40"/>
          <w:lang w:val="en-US" w:eastAsia="zh-CN"/>
        </w:rPr>
        <w:t>规模以上制造业及电力、热力、燃气及水生产和供应业二大门类增加值增速呈现“一增一降”，其中规模以上电力、热力、燃气及水生产和供应业增加值同比下降6.9%，而规模以上制造业增加值同比增长17.0%，高于全区规模以上工业增加值增速1.8个百分点，拉动全区规模以上工业增加值增长15.7个百分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40"/>
          <w:lang w:val="en-US" w:eastAsia="zh-CN"/>
        </w:rPr>
      </w:pPr>
      <w:r>
        <w:rPr>
          <w:rFonts w:hint="eastAsia" w:ascii="楷体" w:hAnsi="楷体" w:eastAsia="楷体" w:cs="楷体"/>
          <w:sz w:val="32"/>
          <w:szCs w:val="32"/>
          <w:lang w:val="en-US" w:eastAsia="zh-CN"/>
        </w:rPr>
        <w:t>主要产品生产稳定。</w:t>
      </w:r>
      <w:r>
        <w:rPr>
          <w:rFonts w:hint="eastAsia" w:ascii="仿宋_GB2312" w:hAnsi="仿宋_GB2312" w:eastAsia="仿宋_GB2312" w:cs="仿宋_GB2312"/>
          <w:color w:val="000000"/>
          <w:sz w:val="32"/>
          <w:szCs w:val="40"/>
          <w:lang w:val="en-US" w:eastAsia="zh-CN"/>
        </w:rPr>
        <w:t>规模以上工业产品产量增长面为85.7%。（见表3）其中，机制纸及纸板、水泥、罐头、商品混凝土四种主要产品产量分别比上年增长5.2%、9.5%、44.0%、8.2%。</w:t>
      </w:r>
    </w:p>
    <w:tbl>
      <w:tblPr>
        <w:tblStyle w:val="9"/>
        <w:tblW w:w="5000" w:type="pct"/>
        <w:jc w:val="center"/>
        <w:tblLayout w:type="autofit"/>
        <w:tblCellMar>
          <w:top w:w="0" w:type="dxa"/>
          <w:left w:w="108" w:type="dxa"/>
          <w:bottom w:w="0" w:type="dxa"/>
          <w:right w:w="108" w:type="dxa"/>
        </w:tblCellMar>
      </w:tblPr>
      <w:tblGrid>
        <w:gridCol w:w="3742"/>
        <w:gridCol w:w="1439"/>
        <w:gridCol w:w="1710"/>
        <w:gridCol w:w="1631"/>
      </w:tblGrid>
      <w:tr>
        <w:tblPrEx>
          <w:tblCellMar>
            <w:top w:w="0" w:type="dxa"/>
            <w:left w:w="108" w:type="dxa"/>
            <w:bottom w:w="0" w:type="dxa"/>
            <w:right w:w="108" w:type="dxa"/>
          </w:tblCellMar>
        </w:tblPrEx>
        <w:trPr>
          <w:trHeight w:val="510" w:hRule="atLeast"/>
          <w:jc w:val="center"/>
        </w:trPr>
        <w:tc>
          <w:tcPr>
            <w:tcW w:w="5000" w:type="pct"/>
            <w:gridSpan w:val="4"/>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kern w:val="0"/>
                <w:sz w:val="32"/>
                <w:szCs w:val="32"/>
              </w:rPr>
            </w:pPr>
            <w:r>
              <w:rPr>
                <w:rFonts w:hint="eastAsia" w:ascii="仿宋_GB2312" w:eastAsia="仿宋_GB2312"/>
                <w:color w:val="000000"/>
                <w:kern w:val="0"/>
                <w:sz w:val="32"/>
                <w:szCs w:val="32"/>
              </w:rPr>
              <w:t>表3：主要工业产品产量</w:t>
            </w:r>
          </w:p>
        </w:tc>
      </w:tr>
      <w:tr>
        <w:tblPrEx>
          <w:tblCellMar>
            <w:top w:w="0" w:type="dxa"/>
            <w:left w:w="108" w:type="dxa"/>
            <w:bottom w:w="0" w:type="dxa"/>
            <w:right w:w="108" w:type="dxa"/>
          </w:tblCellMar>
        </w:tblPrEx>
        <w:trPr>
          <w:trHeight w:val="983" w:hRule="atLeast"/>
          <w:jc w:val="center"/>
        </w:trPr>
        <w:tc>
          <w:tcPr>
            <w:tcW w:w="219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产品名称</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单位</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产量</w:t>
            </w:r>
          </w:p>
        </w:tc>
        <w:tc>
          <w:tcPr>
            <w:tcW w:w="955" w:type="pct"/>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比上年增长（%）</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商品混凝土</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万立方米</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144.57 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8.19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饲料</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14.99 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149.07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水泥</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181.49 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9.51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小麦粉</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6840.00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-91.64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发酵酒精（折96度，商品量）</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千升</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121.76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纱</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3660.00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-13.86 </w:t>
            </w:r>
          </w:p>
        </w:tc>
      </w:tr>
      <w:tr>
        <w:tblPrEx>
          <w:tblCellMar>
            <w:top w:w="0" w:type="dxa"/>
            <w:left w:w="108" w:type="dxa"/>
            <w:bottom w:w="0" w:type="dxa"/>
            <w:right w:w="108" w:type="dxa"/>
          </w:tblCellMar>
        </w:tblPrEx>
        <w:trPr>
          <w:trHeight w:val="562"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冻肉</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10721.16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罐头</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20062.00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44.04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食品添加剂</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9224.05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23.30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表面活性剂</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20512.00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35.21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纤维增强塑料制品</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4192.00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53.78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硅酸盐水泥熟料</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162.59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35.09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机制纸及纸板（外购原纸加工除外）</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45.32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5.24 </w:t>
            </w:r>
          </w:p>
        </w:tc>
      </w:tr>
      <w:tr>
        <w:tblPrEx>
          <w:tblCellMar>
            <w:top w:w="0" w:type="dxa"/>
            <w:left w:w="108" w:type="dxa"/>
            <w:bottom w:w="0" w:type="dxa"/>
            <w:right w:w="108" w:type="dxa"/>
          </w:tblCellMar>
        </w:tblPrEx>
        <w:trPr>
          <w:trHeight w:val="637"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服装</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万件</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227.90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-27.19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鲜、冷藏肉</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万吨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6.15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33.43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人造板</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立方米</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11960.00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18.89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塑料制品</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5030.85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49.68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隔热、隔音人造矿物材料及其制品</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9751.00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改装汽车</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辆</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494.00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42.36 </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焙烤松脆食品</w:t>
            </w:r>
          </w:p>
        </w:tc>
        <w:tc>
          <w:tcPr>
            <w:tcW w:w="84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吨</w:t>
            </w:r>
          </w:p>
        </w:tc>
        <w:tc>
          <w:tcPr>
            <w:tcW w:w="10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2102.00 </w:t>
            </w:r>
          </w:p>
        </w:tc>
        <w:tc>
          <w:tcPr>
            <w:tcW w:w="955" w:type="pct"/>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w:t>
            </w:r>
          </w:p>
        </w:tc>
      </w:tr>
      <w:tr>
        <w:tblPrEx>
          <w:tblCellMar>
            <w:top w:w="0" w:type="dxa"/>
            <w:left w:w="108" w:type="dxa"/>
            <w:bottom w:w="0" w:type="dxa"/>
            <w:right w:w="108" w:type="dxa"/>
          </w:tblCellMar>
        </w:tblPrEx>
        <w:trPr>
          <w:trHeight w:val="510" w:hRule="atLeast"/>
          <w:jc w:val="center"/>
        </w:trPr>
        <w:tc>
          <w:tcPr>
            <w:tcW w:w="219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汽车</w:t>
            </w:r>
          </w:p>
        </w:tc>
        <w:tc>
          <w:tcPr>
            <w:tcW w:w="8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辆</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64</w:t>
            </w:r>
            <w:r>
              <w:rPr>
                <w:rFonts w:hint="eastAsia" w:ascii="仿宋_GB2312" w:hAnsi="仿宋_GB2312" w:eastAsia="仿宋_GB2312" w:cs="仿宋_GB2312"/>
                <w:color w:val="000000"/>
                <w:sz w:val="28"/>
                <w:szCs w:val="28"/>
                <w:lang w:val="en-US" w:eastAsia="zh-CN"/>
              </w:rPr>
              <w:t>.00</w:t>
            </w:r>
            <w:r>
              <w:rPr>
                <w:rFonts w:hint="default" w:ascii="仿宋_GB2312" w:hAnsi="仿宋_GB2312" w:eastAsia="仿宋_GB2312" w:cs="仿宋_GB2312"/>
                <w:color w:val="000000"/>
                <w:sz w:val="28"/>
                <w:szCs w:val="28"/>
                <w:lang w:val="en-US" w:eastAsia="zh-CN"/>
              </w:rPr>
              <w:t xml:space="preserve">    </w:t>
            </w:r>
          </w:p>
        </w:tc>
        <w:tc>
          <w:tcPr>
            <w:tcW w:w="955"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 </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default" w:ascii="仿宋_GB2312" w:eastAsia="仿宋_GB2312"/>
          <w:color w:val="000000"/>
          <w:sz w:val="32"/>
          <w:szCs w:val="32"/>
          <w:lang w:val="en-US" w:eastAsia="zh-CN"/>
        </w:rPr>
      </w:pPr>
      <w:r>
        <w:rPr>
          <w:rFonts w:hint="eastAsia" w:ascii="楷体_GB2312" w:eastAsia="楷体_GB2312"/>
          <w:color w:val="000000"/>
          <w:sz w:val="32"/>
          <w:szCs w:val="32"/>
        </w:rPr>
        <w:t>建筑业</w:t>
      </w:r>
      <w:r>
        <w:rPr>
          <w:rFonts w:hint="eastAsia" w:ascii="楷体_GB2312" w:eastAsia="楷体_GB2312"/>
          <w:color w:val="000000"/>
          <w:sz w:val="32"/>
          <w:szCs w:val="32"/>
          <w:lang w:eastAsia="zh-CN"/>
        </w:rPr>
        <w:t>增势强劲</w:t>
      </w:r>
      <w:r>
        <w:rPr>
          <w:rFonts w:ascii="楷体_GB2312" w:eastAsia="楷体_GB2312"/>
          <w:color w:val="000000"/>
          <w:sz w:val="32"/>
          <w:szCs w:val="32"/>
        </w:rPr>
        <w:t>。</w:t>
      </w:r>
      <w:r>
        <w:rPr>
          <w:rFonts w:hint="eastAsia" w:ascii="仿宋_GB2312" w:eastAsia="仿宋_GB2312"/>
          <w:color w:val="000000"/>
          <w:sz w:val="32"/>
          <w:szCs w:val="32"/>
          <w:lang w:val="en-US" w:eastAsia="zh-CN"/>
        </w:rPr>
        <w:t>2020年全区实现</w:t>
      </w:r>
      <w:r>
        <w:rPr>
          <w:rFonts w:hint="eastAsia" w:ascii="仿宋_GB2312" w:eastAsia="仿宋_GB2312"/>
          <w:color w:val="000000"/>
          <w:sz w:val="32"/>
          <w:szCs w:val="32"/>
          <w:lang w:eastAsia="zh-CN"/>
        </w:rPr>
        <w:t>建筑业增加值</w:t>
      </w:r>
      <w:r>
        <w:rPr>
          <w:rFonts w:hint="eastAsia" w:ascii="仿宋_GB2312" w:eastAsia="仿宋_GB2312"/>
          <w:color w:val="000000"/>
          <w:sz w:val="32"/>
          <w:szCs w:val="32"/>
          <w:lang w:val="en-US" w:eastAsia="zh-CN"/>
        </w:rPr>
        <w:t>9.80亿元，按可比价计算，比上年增长23.1%，拉动全区地区生产总值增长1.3个百分点。</w:t>
      </w:r>
      <w:r>
        <w:rPr>
          <w:rFonts w:hint="eastAsia" w:ascii="仿宋_GB2312" w:eastAsia="仿宋_GB2312"/>
          <w:color w:val="000000"/>
          <w:sz w:val="32"/>
          <w:szCs w:val="32"/>
        </w:rPr>
        <w:t>具有总承包和专业承包资质的有工作量建筑业企业</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家</w:t>
      </w:r>
      <w:r>
        <w:rPr>
          <w:rFonts w:hint="eastAsia" w:ascii="仿宋_GB2312" w:eastAsia="仿宋_GB2312"/>
          <w:color w:val="000000"/>
          <w:sz w:val="32"/>
          <w:szCs w:val="32"/>
          <w:lang w:eastAsia="zh-CN"/>
        </w:rPr>
        <w:t>，实现</w:t>
      </w:r>
      <w:r>
        <w:rPr>
          <w:rFonts w:hint="eastAsia" w:ascii="仿宋_GB2312" w:eastAsia="仿宋_GB2312"/>
          <w:color w:val="000000"/>
          <w:sz w:val="32"/>
          <w:szCs w:val="32"/>
        </w:rPr>
        <w:t>建筑业</w:t>
      </w:r>
      <w:r>
        <w:rPr>
          <w:rFonts w:hint="eastAsia" w:ascii="仿宋_GB2312" w:eastAsia="仿宋_GB2312"/>
          <w:color w:val="000000"/>
          <w:sz w:val="32"/>
          <w:szCs w:val="32"/>
          <w:lang w:val="en-US" w:eastAsia="zh-CN"/>
        </w:rPr>
        <w:t>总产值6.57</w:t>
      </w:r>
      <w:r>
        <w:rPr>
          <w:rFonts w:hint="eastAsia" w:ascii="仿宋_GB2312" w:eastAsia="仿宋_GB2312"/>
          <w:color w:val="000000"/>
          <w:sz w:val="32"/>
          <w:szCs w:val="32"/>
        </w:rPr>
        <w:t>亿元</w:t>
      </w:r>
      <w:r>
        <w:rPr>
          <w:rFonts w:ascii="仿宋_GB2312" w:eastAsia="仿宋_GB2312"/>
          <w:color w:val="000000"/>
          <w:sz w:val="32"/>
          <w:szCs w:val="32"/>
        </w:rPr>
        <w:t>，比上年增长</w:t>
      </w:r>
      <w:r>
        <w:rPr>
          <w:rFonts w:hint="eastAsia" w:ascii="仿宋_GB2312" w:eastAsia="仿宋_GB2312"/>
          <w:color w:val="000000"/>
          <w:sz w:val="32"/>
          <w:szCs w:val="32"/>
          <w:lang w:val="en-US" w:eastAsia="zh-CN"/>
        </w:rPr>
        <w:t>100.9</w:t>
      </w:r>
      <w:r>
        <w:rPr>
          <w:rFonts w:ascii="仿宋_GB2312" w:eastAsia="仿宋_GB2312"/>
          <w:color w:val="000000"/>
          <w:sz w:val="32"/>
          <w:szCs w:val="32"/>
        </w:rPr>
        <w:t>%</w:t>
      </w:r>
      <w:r>
        <w:rPr>
          <w:rFonts w:hint="eastAsia" w:ascii="仿宋_GB2312" w:eastAsia="仿宋_GB2312"/>
          <w:color w:val="000000"/>
          <w:sz w:val="32"/>
          <w:szCs w:val="32"/>
        </w:rPr>
        <w:t>。</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六、固定资产投资</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投资平稳增长。</w:t>
      </w:r>
      <w:r>
        <w:rPr>
          <w:rFonts w:hint="eastAsia" w:ascii="仿宋_GB2312" w:eastAsia="仿宋_GB2312"/>
          <w:color w:val="000000"/>
          <w:sz w:val="32"/>
          <w:szCs w:val="32"/>
          <w:lang w:val="en-US" w:eastAsia="zh-CN"/>
        </w:rPr>
        <w:t>新能源汽车设备智造产业园基础设施建设项目、高性能硅基辐射探测器及核心部件项目、翼云科创园及开发区基础设施建设项目等一批重大项目落地建设。固定资产投资比上年增长1.0%，三次产业投资构成为0.2：27.7：72.1。重点领域中，民间投资占全部投资的比重达39.1%；制造业技改投资比上年增长32.4%。新兴产业投资加速，“四新”经济投资同比增长35.4%，占全部投资的比重为62.3%，比上年提高15.8个百分点。</w:t>
      </w:r>
    </w:p>
    <w:p>
      <w:pPr>
        <w:pStyle w:val="2"/>
        <w:rPr>
          <w:rFonts w:hint="eastAsia"/>
          <w:lang w:val="en-US" w:eastAsia="zh-CN"/>
        </w:rPr>
      </w:pPr>
      <w:r>
        <w:drawing>
          <wp:inline distT="0" distB="0" distL="114300" distR="114300">
            <wp:extent cx="4874895" cy="3126740"/>
            <wp:effectExtent l="4445" t="4445" r="16510" b="12065"/>
            <wp:docPr id="205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房地产增长较快。</w:t>
      </w:r>
      <w:r>
        <w:rPr>
          <w:rFonts w:hint="eastAsia" w:ascii="仿宋_GB2312" w:eastAsia="仿宋_GB2312"/>
          <w:color w:val="000000"/>
          <w:sz w:val="32"/>
          <w:szCs w:val="32"/>
          <w:lang w:val="en-US" w:eastAsia="zh-CN"/>
        </w:rPr>
        <w:t>2020年全区房地产开发完成投资额14.21亿元，比上年增长23.12%。其中，住宅投资11.34亿元，同比增长13.92%。房屋施工面积107.37万平方米，同比增长9.31%。商品房销售面积15.55万平方米，同比增长68.71%。商品房销售额9.69亿元，同比增长90.64%。</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b w:val="0"/>
          <w:kern w:val="2"/>
          <w:sz w:val="32"/>
          <w:szCs w:val="32"/>
          <w:lang w:val="en-US" w:eastAsia="zh-CN" w:bidi="ar-SA"/>
        </w:rPr>
        <w:t>全域旅游发展取得创新突破。</w:t>
      </w:r>
      <w:r>
        <w:rPr>
          <w:rFonts w:hint="eastAsia" w:ascii="仿宋_GB2312" w:eastAsia="仿宋_GB2312"/>
          <w:color w:val="000000"/>
          <w:sz w:val="32"/>
          <w:szCs w:val="32"/>
          <w:lang w:val="en-US" w:eastAsia="zh-CN"/>
        </w:rPr>
        <w:t>2020年山亭区成功创建第二批山东省全域旅游示范区。山亭区文化旅游服务中心项目入选全省新旧动能转换优选项目，葫芦套村入选第二批全国乡村旅游重点村，并被评为全省乡村旅游重点村（精品旅游特色村）。新建旅游厕所14座，已发展4A级景区5处、3A级景区4处，国家和省级乡村旅游示范点25处、省级旅游强镇10个、旅游特色村36个。申报省级村庄景区化创建村22个，争取到省级资金75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hAnsiTheme="minorHAnsi" w:cstheme="minorBidi"/>
          <w:b w:val="0"/>
          <w:color w:val="000000"/>
          <w:kern w:val="2"/>
          <w:sz w:val="32"/>
          <w:szCs w:val="32"/>
          <w:lang w:val="en-US" w:eastAsia="zh-CN" w:bidi="ar-SA"/>
        </w:rPr>
      </w:pPr>
      <w:r>
        <w:rPr>
          <w:rFonts w:hint="eastAsia" w:ascii="楷体" w:hAnsi="楷体" w:eastAsia="楷体" w:cs="楷体"/>
          <w:b w:val="0"/>
          <w:kern w:val="2"/>
          <w:sz w:val="32"/>
          <w:szCs w:val="32"/>
          <w:lang w:val="en-US" w:eastAsia="zh-CN" w:bidi="ar-SA"/>
        </w:rPr>
        <w:t>交通运输体系更加健全。</w:t>
      </w:r>
      <w:r>
        <w:rPr>
          <w:rFonts w:hint="eastAsia" w:ascii="仿宋_GB2312" w:eastAsia="仿宋_GB2312" w:hAnsiTheme="minorHAnsi" w:cstheme="minorBidi"/>
          <w:b w:val="0"/>
          <w:color w:val="000000"/>
          <w:kern w:val="2"/>
          <w:sz w:val="32"/>
          <w:szCs w:val="32"/>
          <w:lang w:val="en-US" w:eastAsia="zh-CN" w:bidi="ar-SA"/>
        </w:rPr>
        <w:t>2020年末全区公路通车总里程为1668.9公里，密度为163.8公里/百平方公里。其中，高速路1条29.8公里，国道1条55.9公里，省道7条127.2公里，县道15条179.5公里，乡道37条226.5公里，专用路４条10公里，村道1920条1069.7公里。投资1.2亿元,新改建农村公路139公里，实现通户道路29个行政村居，打造美丽环线137公里，改造危桥18座，创建市级“四好农村路”示范镇6个。新台高速公路的建成通车，结束了建区近40年无高速的历史，加快形成了东新台、西京台、南枣木、北临滕的“高速绕城”交通新格局。开通、调整公交线路6条，争取K109城际公交50%的经营权，首批5部公交车投入运营。在全市率先实现IC卡、微信、支付宝多渠道电子支付方式。</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b w:val="0"/>
          <w:kern w:val="2"/>
          <w:sz w:val="32"/>
          <w:szCs w:val="32"/>
          <w:lang w:val="en-US" w:eastAsia="zh-CN" w:bidi="ar-SA"/>
        </w:rPr>
        <w:t>邮政业务加快发展。</w:t>
      </w:r>
      <w:r>
        <w:rPr>
          <w:rFonts w:hint="eastAsia" w:ascii="仿宋_GB2312" w:eastAsia="仿宋_GB2312"/>
          <w:color w:val="000000"/>
          <w:sz w:val="32"/>
          <w:szCs w:val="32"/>
          <w:lang w:val="en-US" w:eastAsia="zh-CN"/>
        </w:rPr>
        <w:t>2020年全区实现邮政行业业务总量7115.54万元，同比增长22.41%。其中，国内函件1.11万件，同比下降26.86%；国内包件129.76万件，同比增长53.01%。</w:t>
      </w:r>
      <w:r>
        <w:rPr>
          <w:rFonts w:hint="eastAsia" w:ascii="仿宋_GB2312" w:eastAsia="仿宋_GB2312"/>
          <w:color w:val="000000"/>
          <w:sz w:val="32"/>
          <w:szCs w:val="32"/>
        </w:rPr>
        <w:t>邮政行业业务收入</w:t>
      </w:r>
      <w:r>
        <w:rPr>
          <w:rFonts w:hint="eastAsia" w:ascii="仿宋_GB2312" w:eastAsia="仿宋_GB2312"/>
          <w:color w:val="000000"/>
          <w:sz w:val="32"/>
          <w:szCs w:val="32"/>
          <w:lang w:val="en-US" w:eastAsia="zh-CN"/>
        </w:rPr>
        <w:t>6370.35万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同比</w:t>
      </w:r>
      <w:r>
        <w:rPr>
          <w:rFonts w:hint="eastAsia" w:ascii="仿宋_GB2312" w:eastAsia="仿宋_GB2312"/>
          <w:color w:val="000000"/>
          <w:sz w:val="32"/>
          <w:szCs w:val="32"/>
        </w:rPr>
        <w:t>增长</w:t>
      </w:r>
      <w:r>
        <w:rPr>
          <w:rFonts w:hint="eastAsia" w:ascii="仿宋_GB2312" w:eastAsia="仿宋_GB2312"/>
          <w:color w:val="000000"/>
          <w:sz w:val="32"/>
          <w:szCs w:val="32"/>
          <w:lang w:val="en-US" w:eastAsia="zh-CN"/>
        </w:rPr>
        <w:t>12.43</w:t>
      </w:r>
      <w:r>
        <w:rPr>
          <w:rFonts w:hint="eastAsia" w:ascii="仿宋_GB2312" w:eastAsia="仿宋_GB2312"/>
          <w:color w:val="000000"/>
          <w:sz w:val="32"/>
          <w:szCs w:val="32"/>
        </w:rPr>
        <w:t>%。</w:t>
      </w:r>
    </w:p>
    <w:p>
      <w:pPr>
        <w:keepNext w:val="0"/>
        <w:keepLines w:val="0"/>
        <w:pageBreakBefore w:val="0"/>
        <w:widowControl w:val="0"/>
        <w:numPr>
          <w:ilvl w:val="0"/>
          <w:numId w:val="2"/>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国内外贸易</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b w:val="0"/>
          <w:kern w:val="2"/>
          <w:sz w:val="32"/>
          <w:szCs w:val="32"/>
          <w:lang w:val="en-US" w:eastAsia="zh-CN" w:bidi="ar-SA"/>
        </w:rPr>
        <w:t>消费市场稳步复苏。</w:t>
      </w:r>
      <w:r>
        <w:rPr>
          <w:rFonts w:hint="eastAsia" w:ascii="仿宋_GB2312" w:eastAsia="仿宋_GB2312"/>
          <w:color w:val="000000"/>
          <w:sz w:val="32"/>
          <w:szCs w:val="32"/>
          <w:lang w:val="en-US" w:eastAsia="zh-CN"/>
        </w:rPr>
        <w:t>2020年全区实现社会消费品零售总额同比下降3.6%。其中实现限额以上单位零售额同比下降1.7%。限额以上批发业销售额同比增长16.4%；限额以上零售业销售额同比下降8.3%；限额以上住宿业营业额同比下降19.6%；限额以上餐饮业营业额同比增长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楷体_GB2312" w:eastAsia="楷体_GB2312"/>
          <w:color w:val="000000"/>
          <w:sz w:val="32"/>
          <w:szCs w:val="32"/>
        </w:rPr>
        <w:t>货物进出口快速增长。</w:t>
      </w:r>
      <w:r>
        <w:rPr>
          <w:rFonts w:hint="eastAsia" w:ascii="仿宋_GB2312" w:eastAsia="仿宋_GB2312"/>
          <w:color w:val="000000"/>
          <w:sz w:val="32"/>
          <w:szCs w:val="32"/>
          <w:lang w:val="en-US" w:eastAsia="zh-CN"/>
        </w:rPr>
        <w:t>货物进出口总额实现29.2亿元，比上年增长57.6%。其中，出口总额实现27.1亿元，同比增长51.8%；进口总额实现2.0亿元，同比增长216.8%。实际利用外资1655万美元，比上年增长28.9%。</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九、财政金融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财政收支运行稳健。</w:t>
      </w:r>
      <w:r>
        <w:rPr>
          <w:rFonts w:hint="eastAsia" w:ascii="仿宋_GB2312" w:eastAsia="仿宋_GB2312"/>
          <w:color w:val="000000"/>
          <w:sz w:val="32"/>
          <w:szCs w:val="32"/>
          <w:lang w:val="en-US" w:eastAsia="zh-CN"/>
        </w:rPr>
        <w:t>2020年全区实现一般公共预算收入6.2亿元，较上年增长20.8%。其中税收收入完成5.7亿元，税收收入占一般公共预算收入的比重为92.0%。一般公共预算支出完成26.5亿元，较上年增长7.8%。其中民生支出合计完成21.9亿元，比上年增长7.8%，民生支出占一般公共预算支出的比重为82.6%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税费收入质优量增。</w:t>
      </w:r>
      <w:r>
        <w:rPr>
          <w:rFonts w:hint="eastAsia" w:ascii="仿宋_GB2312" w:eastAsia="仿宋_GB2312"/>
          <w:color w:val="000000"/>
          <w:sz w:val="32"/>
          <w:szCs w:val="32"/>
          <w:lang w:val="en-US" w:eastAsia="zh-CN"/>
        </w:rPr>
        <w:t>2020年全区税务系统完成税费收入8.69亿元，同比增收0.92亿元，同比增长11.81%。其中，税收收入8.43亿元，同比增长11.87%；</w:t>
      </w:r>
      <w:r>
        <w:rPr>
          <w:rFonts w:hint="eastAsia" w:ascii="仿宋_GB2312" w:eastAsia="仿宋_GB2312"/>
          <w:color w:val="000000"/>
          <w:sz w:val="32"/>
          <w:szCs w:val="32"/>
          <w:lang w:val="zh-CN" w:eastAsia="zh-CN"/>
        </w:rPr>
        <w:t>土地增值税、资源税收入分别同比增长291.10%、90.74%。</w:t>
      </w:r>
      <w:r>
        <w:rPr>
          <w:rFonts w:hint="eastAsia" w:ascii="仿宋_GB2312" w:eastAsia="仿宋_GB2312"/>
          <w:color w:val="000000"/>
          <w:sz w:val="32"/>
          <w:szCs w:val="32"/>
          <w:lang w:val="en-US" w:eastAsia="zh-CN"/>
        </w:rPr>
        <w:t>全区纳税百强企业（集团）共入库税费收入7.17亿元，占总收入的82.50%，同比提高16.07个百分点。全面落实助企纾困政策，</w:t>
      </w:r>
      <w:r>
        <w:rPr>
          <w:rFonts w:hint="eastAsia" w:ascii="仿宋_GB2312" w:eastAsia="仿宋_GB2312"/>
          <w:color w:val="000000"/>
          <w:sz w:val="32"/>
          <w:szCs w:val="32"/>
          <w:lang w:val="zh-CN" w:eastAsia="zh-CN"/>
        </w:rPr>
        <w:t>减免各项税费</w:t>
      </w:r>
      <w:r>
        <w:rPr>
          <w:rFonts w:hint="eastAsia" w:ascii="仿宋_GB2312" w:eastAsia="仿宋_GB2312"/>
          <w:color w:val="000000"/>
          <w:sz w:val="32"/>
          <w:szCs w:val="32"/>
          <w:lang w:val="en-US" w:eastAsia="zh-CN"/>
        </w:rPr>
        <w:t>3.27亿</w:t>
      </w:r>
      <w:r>
        <w:rPr>
          <w:rFonts w:hint="eastAsia" w:ascii="仿宋_GB2312" w:eastAsia="仿宋_GB2312"/>
          <w:color w:val="000000"/>
          <w:sz w:val="32"/>
          <w:szCs w:val="32"/>
          <w:lang w:val="zh-CN" w:eastAsia="zh-CN"/>
        </w:rPr>
        <w:t>元。</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楷体" w:hAnsi="楷体" w:eastAsia="楷体" w:cs="楷体"/>
          <w:sz w:val="32"/>
          <w:szCs w:val="32"/>
          <w:lang w:val="en-US" w:eastAsia="zh-CN"/>
        </w:rPr>
        <w:t>信贷规模持续扩大。</w:t>
      </w:r>
      <w:r>
        <w:rPr>
          <w:rFonts w:hint="eastAsia" w:ascii="仿宋_GB2312" w:eastAsia="仿宋_GB2312"/>
          <w:color w:val="000000"/>
          <w:sz w:val="32"/>
          <w:szCs w:val="32"/>
          <w:lang w:val="en-US" w:eastAsia="zh-CN"/>
        </w:rPr>
        <w:t>2020年末全区金融机构各项存款余额150.5亿元，同比增长7.2%，较年初增加10.1亿元；年末金融机构各项贷款余额87.8亿元，同比增长11.9%，较年初增加9.3亿元。存贷比58.34%,同比提高2.4个百分点。建立企业金融辅导制度，辅导企业累计受信3.89亿元。</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十、民生保障</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居民生活水平不断提高。</w:t>
      </w:r>
      <w:r>
        <w:rPr>
          <w:rFonts w:hint="eastAsia" w:ascii="仿宋_GB2312" w:eastAsia="仿宋_GB2312"/>
          <w:color w:val="000000"/>
          <w:sz w:val="32"/>
          <w:szCs w:val="32"/>
          <w:lang w:val="en-US" w:eastAsia="zh-CN"/>
        </w:rPr>
        <w:t>2020年全区实现居民人均可支配收入18204元，同比增长4.5%。其中，城镇居民人均可支配收入24192元，同比增长2.7%；农村居民人均可支配收入15180元，同比增长5.8%。</w:t>
      </w:r>
    </w:p>
    <w:p>
      <w:pPr>
        <w:pStyle w:val="2"/>
        <w:jc w:val="center"/>
        <w:rPr>
          <w:rFonts w:hint="eastAsia"/>
          <w:lang w:val="en-US" w:eastAsia="zh-CN"/>
        </w:rPr>
      </w:pPr>
      <w:r>
        <w:drawing>
          <wp:inline distT="0" distB="0" distL="114300" distR="114300">
            <wp:extent cx="5274310" cy="3676650"/>
            <wp:effectExtent l="4445" t="4445" r="17145" b="14605"/>
            <wp:docPr id="307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就业和社会保障更加完善。</w:t>
      </w:r>
      <w:r>
        <w:rPr>
          <w:rFonts w:hint="eastAsia" w:ascii="仿宋" w:hAnsi="仿宋" w:eastAsia="仿宋" w:cs="仿宋"/>
          <w:sz w:val="32"/>
          <w:szCs w:val="32"/>
          <w:lang w:val="en-US" w:eastAsia="zh-CN"/>
        </w:rPr>
        <w:t>全年实现农村劳动力转移就业7085人，新增城镇就业5045人，城镇登记失业率控制在3.5%以内。开展各类就业创业培训129期4238人，为96户个体工商户发放小额担保贷款1427万元，为10家</w:t>
      </w:r>
      <w:r>
        <w:rPr>
          <w:rFonts w:hint="eastAsia" w:ascii="仿宋_GB2312" w:hAnsi="仿宋_GB2312" w:eastAsia="仿宋_GB2312" w:cs="仿宋_GB2312"/>
          <w:b w:val="0"/>
          <w:bCs w:val="0"/>
          <w:color w:val="000000"/>
          <w:kern w:val="0"/>
          <w:sz w:val="32"/>
          <w:szCs w:val="32"/>
          <w:highlight w:val="none"/>
        </w:rPr>
        <w:t>小微企业发放小额担保贷款</w:t>
      </w:r>
      <w:r>
        <w:rPr>
          <w:rFonts w:hint="eastAsia" w:ascii="仿宋_GB2312" w:hAnsi="仿宋_GB2312" w:eastAsia="仿宋_GB2312" w:cs="仿宋_GB2312"/>
          <w:b w:val="0"/>
          <w:bCs w:val="0"/>
          <w:color w:val="000000"/>
          <w:kern w:val="0"/>
          <w:sz w:val="32"/>
          <w:szCs w:val="32"/>
          <w:highlight w:val="none"/>
          <w:lang w:val="en-US" w:eastAsia="zh-CN"/>
        </w:rPr>
        <w:t>2200</w:t>
      </w:r>
      <w:r>
        <w:rPr>
          <w:rFonts w:hint="eastAsia" w:ascii="仿宋_GB2312" w:hAnsi="仿宋_GB2312" w:eastAsia="仿宋_GB2312" w:cs="仿宋_GB2312"/>
          <w:b w:val="0"/>
          <w:bCs w:val="0"/>
          <w:color w:val="000000"/>
          <w:kern w:val="0"/>
          <w:sz w:val="32"/>
          <w:szCs w:val="32"/>
          <w:highlight w:val="none"/>
        </w:rPr>
        <w:t>万</w:t>
      </w:r>
      <w:r>
        <w:rPr>
          <w:rFonts w:hint="eastAsia" w:ascii="仿宋_GB2312" w:hAnsi="仿宋_GB2312" w:eastAsia="仿宋_GB2312" w:cs="仿宋_GB2312"/>
          <w:b w:val="0"/>
          <w:bCs w:val="0"/>
          <w:color w:val="000000"/>
          <w:kern w:val="0"/>
          <w:sz w:val="32"/>
          <w:szCs w:val="32"/>
          <w:highlight w:val="none"/>
          <w:lang w:eastAsia="zh-CN"/>
        </w:rPr>
        <w:t>元。</w:t>
      </w:r>
      <w:r>
        <w:rPr>
          <w:rFonts w:hint="eastAsia" w:ascii="仿宋_GB2312" w:hAnsi="仿宋_GB2312" w:eastAsia="仿宋_GB2312" w:cs="仿宋_GB2312"/>
          <w:sz w:val="32"/>
          <w:szCs w:val="32"/>
          <w:lang w:val="en-US" w:eastAsia="zh-CN"/>
        </w:rPr>
        <w:t>打出“援企稳岗”组合拳，为13家民营企业兑现补助6.59万元，为417家企业减免养老、失业、工伤保险9900万元，为51家企业发放稳岗补贴104.46万元，惠及职工2569人。</w:t>
      </w:r>
      <w:r>
        <w:rPr>
          <w:rFonts w:hint="eastAsia" w:ascii="仿宋" w:hAnsi="仿宋" w:eastAsia="仿宋" w:cs="仿宋"/>
          <w:sz w:val="32"/>
          <w:szCs w:val="32"/>
          <w:lang w:val="en-US" w:eastAsia="zh-CN"/>
        </w:rPr>
        <w:t>新增就业参保人员</w:t>
      </w:r>
      <w:r>
        <w:rPr>
          <w:rFonts w:hint="eastAsia" w:ascii="仿宋_GB2312" w:hAnsi="仿宋_GB2312" w:eastAsia="仿宋_GB2312" w:cs="仿宋_GB2312"/>
          <w:sz w:val="32"/>
          <w:szCs w:val="32"/>
          <w:lang w:val="en-US" w:eastAsia="zh-CN"/>
        </w:rPr>
        <w:t>4701</w:t>
      </w:r>
      <w:r>
        <w:rPr>
          <w:rFonts w:hint="eastAsia" w:ascii="仿宋" w:hAnsi="仿宋" w:eastAsia="仿宋" w:cs="仿宋"/>
          <w:sz w:val="32"/>
          <w:szCs w:val="32"/>
          <w:lang w:val="en-US" w:eastAsia="zh-CN"/>
        </w:rPr>
        <w:t>人，</w:t>
      </w:r>
      <w:r>
        <w:rPr>
          <w:rFonts w:hint="eastAsia" w:ascii="仿宋_GB2312" w:hAnsi="仿宋_GB2312" w:eastAsia="仿宋_GB2312" w:cs="仿宋_GB2312"/>
          <w:sz w:val="32"/>
          <w:szCs w:val="32"/>
          <w:lang w:val="en-US" w:eastAsia="zh-CN"/>
        </w:rPr>
        <w:t>为困难群体代缴居民养老保险11630人、116.3万元，</w:t>
      </w:r>
      <w:r>
        <w:rPr>
          <w:rFonts w:hint="eastAsia" w:ascii="仿宋" w:hAnsi="仿宋" w:eastAsia="仿宋" w:cs="仿宋"/>
          <w:sz w:val="32"/>
          <w:szCs w:val="32"/>
          <w:lang w:val="en-US" w:eastAsia="zh-CN"/>
        </w:rPr>
        <w:t>征缴各项社会保险费</w:t>
      </w:r>
      <w:r>
        <w:rPr>
          <w:rFonts w:hint="eastAsia" w:ascii="仿宋_GB2312" w:hAnsi="仿宋_GB2312" w:eastAsia="仿宋_GB2312" w:cs="仿宋_GB2312"/>
          <w:sz w:val="32"/>
          <w:szCs w:val="32"/>
          <w:lang w:val="en-US" w:eastAsia="zh-CN"/>
        </w:rPr>
        <w:t>36952万</w:t>
      </w:r>
      <w:r>
        <w:rPr>
          <w:rFonts w:hint="eastAsia" w:ascii="仿宋" w:hAnsi="仿宋" w:eastAsia="仿宋" w:cs="仿宋"/>
          <w:sz w:val="32"/>
          <w:szCs w:val="32"/>
          <w:lang w:val="en-US" w:eastAsia="zh-CN"/>
        </w:rPr>
        <w:t>元，拨付各类社保待遇67826万元。</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sz w:val="32"/>
          <w:szCs w:val="32"/>
          <w:lang w:val="en-US" w:eastAsia="zh-CN"/>
        </w:rPr>
        <w:t>城市设施不断提升。</w:t>
      </w:r>
      <w:r>
        <w:rPr>
          <w:rFonts w:hint="eastAsia" w:ascii="仿宋_GB2312" w:eastAsia="仿宋_GB2312"/>
          <w:color w:val="000000"/>
          <w:sz w:val="32"/>
          <w:szCs w:val="32"/>
          <w:lang w:val="en-US" w:eastAsia="zh-CN"/>
        </w:rPr>
        <w:t>年度内新建、改造北京西路、新源路、北外环、南京路4条道路，进一步扩大城市规模。新装北京西路及南京路路灯100余基，路灯完好率达100%，主干道灯明率达到100%。积极推进供热管网建设改造工程，投资1.78亿元实施山亭城区供热改造，实现“汽改水”供暖；完成牡丹花园老旧小区供暖改造城市清洁取暖改造项目、紫锦山庄供热工程及海洋公寓老旧小区改造工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 w:hAnsi="楷体" w:eastAsia="楷体" w:cs="楷体"/>
          <w:lang w:val="en-US" w:eastAsia="zh-CN"/>
        </w:rPr>
        <w:t>安全生产事故下降</w:t>
      </w:r>
      <w:r>
        <w:rPr>
          <w:rFonts w:hint="eastAsia"/>
          <w:lang w:val="en-US" w:eastAsia="zh-CN"/>
        </w:rPr>
        <w:t>。全年发生生产安全事故1起、死亡1人，分别比上年下降80%、80%。在发生事故的行业（领域）中，交通运输业事故1起、死亡1人。</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十一、社会事业</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heme="minorBidi"/>
          <w:kern w:val="2"/>
          <w:sz w:val="32"/>
          <w:szCs w:val="24"/>
          <w:lang w:val="en-US" w:eastAsia="zh-CN" w:bidi="zh-CN"/>
        </w:rPr>
      </w:pPr>
      <w:r>
        <w:rPr>
          <w:rFonts w:hint="eastAsia" w:ascii="楷体" w:hAnsi="楷体" w:eastAsia="楷体" w:cs="楷体"/>
          <w:sz w:val="32"/>
          <w:szCs w:val="32"/>
          <w:lang w:val="en-US" w:eastAsia="zh-CN"/>
        </w:rPr>
        <w:t>教育事业稳步发展</w:t>
      </w:r>
      <w:r>
        <w:rPr>
          <w:rFonts w:hint="eastAsia" w:ascii="仿宋" w:hAnsi="仿宋" w:eastAsia="仿宋" w:cs="仿宋"/>
          <w:sz w:val="32"/>
          <w:szCs w:val="32"/>
          <w:lang w:val="en-US" w:eastAsia="zh-CN"/>
        </w:rPr>
        <w:t>。全区共有</w:t>
      </w:r>
      <w:r>
        <w:rPr>
          <w:rFonts w:hint="eastAsia" w:ascii="仿宋_GB2312" w:hAnsi="仿宋_GB2312" w:eastAsia="仿宋_GB2312" w:cstheme="minorBidi"/>
          <w:kern w:val="2"/>
          <w:sz w:val="32"/>
          <w:szCs w:val="24"/>
          <w:lang w:val="en-US" w:eastAsia="zh-CN" w:bidi="zh-CN"/>
        </w:rPr>
        <w:t>中等职业学校1所，在校学生959人；普通高中1所，在校生3985人；普通初中15所，在校生15064人；普通小学121所（其中完全小学83所），在校生36629人。义务教育在校生达51693人，义务教育普及率100%，巩固率始终保持在98%以上。现有注册幼儿园172所，在园幼儿12691人，学前三年毛入园率为88.19%，普惠性学前教育资源覆盖率提高到88.19%。全区新开工建设学校6处。</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文化事业蓬勃发展。</w:t>
      </w:r>
      <w:r>
        <w:rPr>
          <w:rFonts w:hint="eastAsia" w:ascii="仿宋" w:hAnsi="仿宋" w:eastAsia="仿宋" w:cs="仿宋"/>
          <w:sz w:val="32"/>
          <w:szCs w:val="32"/>
          <w:lang w:val="en-US" w:eastAsia="zh-CN"/>
        </w:rPr>
        <w:t> 山亭区文化馆通过国家一级馆复评，枣庄泥塑被列入省级非遗保护名录，青龙山古陶博物馆被评为国家三级博物馆。区级非遗项目如意布锦、烙画、鲁班木艺、剪纸、王氏传统铁艺、野风烙画在第十二届中国（山东）工艺美术博览会中均获展演金奖；枣庄泥塑在第六届中国非遗博览会传统工艺大赛荣获山东省唯一项目优秀奖；孙华烙画作品“枣庄八景”在枣庄市文创产品大赛荣获铜奖；皮影戏荣获枣庄“好声”荣誉称号；枣庄泥塑传承人刘进潮成功入选全国乡村文化和旅游能人。组织创作正能量战疫文艺作品25件，选送的诗朗诵作品《我想知道你的样子—写给战“疫”中的每一个你》荣获枣庄市读书朗诵大赛一等奖。开展数字文化服务200余场次，各类群众性文化活动300余场次，开展“一年一村一场戏”送戏下乡演出276场，“一月一村一场电影”放映3312场。在全省2020年度民生工作群众满意度调查中，我区文化生活满意度荣获全市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楷体" w:hAnsi="楷体" w:eastAsia="楷体" w:cs="楷体"/>
          <w:sz w:val="32"/>
          <w:szCs w:val="32"/>
          <w:lang w:val="en-US" w:eastAsia="zh-CN"/>
        </w:rPr>
        <w:t>体育事业不断发展</w:t>
      </w:r>
      <w:r>
        <w:rPr>
          <w:rFonts w:hint="eastAsia" w:ascii="仿宋" w:hAnsi="仿宋" w:eastAsia="仿宋" w:cs="仿宋"/>
          <w:sz w:val="32"/>
          <w:szCs w:val="32"/>
          <w:lang w:val="en-US" w:eastAsia="zh-CN"/>
        </w:rPr>
        <w:t>。</w:t>
      </w:r>
      <w:r>
        <w:rPr>
          <w:rFonts w:hint="eastAsia" w:ascii="仿宋" w:hAnsi="仿宋" w:eastAsia="仿宋"/>
          <w:sz w:val="32"/>
          <w:szCs w:val="32"/>
        </w:rPr>
        <w:t>环岩马湖绿道休闲线路</w:t>
      </w:r>
      <w:r>
        <w:rPr>
          <w:rFonts w:hint="eastAsia" w:ascii="仿宋" w:hAnsi="仿宋" w:eastAsia="仿宋"/>
          <w:sz w:val="32"/>
          <w:szCs w:val="32"/>
          <w:lang w:eastAsia="zh-CN"/>
        </w:rPr>
        <w:t>被</w:t>
      </w:r>
      <w:r>
        <w:rPr>
          <w:rFonts w:hint="eastAsia" w:ascii="仿宋" w:hAnsi="仿宋" w:eastAsia="仿宋"/>
          <w:sz w:val="32"/>
          <w:szCs w:val="32"/>
        </w:rPr>
        <w:t>评为“2020年春节、十一黄金周山东省体育旅游精品线路”</w:t>
      </w:r>
      <w:r>
        <w:rPr>
          <w:rFonts w:hint="eastAsia" w:ascii="仿宋" w:hAnsi="仿宋" w:eastAsia="仿宋"/>
          <w:sz w:val="32"/>
          <w:szCs w:val="32"/>
          <w:lang w:eastAsia="zh-CN"/>
        </w:rPr>
        <w:t>，</w:t>
      </w:r>
      <w:r>
        <w:rPr>
          <w:rFonts w:hint="eastAsia" w:ascii="仿宋" w:hAnsi="仿宋" w:eastAsia="仿宋"/>
          <w:sz w:val="32"/>
          <w:szCs w:val="32"/>
        </w:rPr>
        <w:t>山亭岩马湖迎来国家马拉松游泳队入驻集训</w:t>
      </w:r>
      <w:r>
        <w:rPr>
          <w:rFonts w:hint="eastAsia" w:ascii="仿宋" w:hAnsi="仿宋" w:eastAsia="仿宋"/>
          <w:sz w:val="32"/>
          <w:szCs w:val="32"/>
          <w:lang w:eastAsia="zh-CN"/>
        </w:rPr>
        <w:t>，全区荣获</w:t>
      </w:r>
      <w:r>
        <w:rPr>
          <w:rFonts w:hint="eastAsia" w:ascii="仿宋" w:hAnsi="仿宋" w:eastAsia="仿宋"/>
          <w:sz w:val="32"/>
          <w:szCs w:val="32"/>
        </w:rPr>
        <w:t>“山东省体育产业示范基地”称号</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楷体" w:hAnsi="楷体" w:eastAsia="楷体" w:cs="楷体"/>
          <w:kern w:val="2"/>
          <w:sz w:val="32"/>
          <w:szCs w:val="32"/>
          <w:lang w:val="en-US" w:eastAsia="zh-CN" w:bidi="ar-SA"/>
        </w:rPr>
        <w:t>卫生服务能力提升。</w:t>
      </w:r>
      <w:r>
        <w:rPr>
          <w:rFonts w:hint="eastAsia" w:ascii="仿宋_GB2312" w:eastAsia="仿宋_GB2312"/>
          <w:color w:val="000000"/>
          <w:sz w:val="32"/>
          <w:szCs w:val="32"/>
        </w:rPr>
        <w:t>卫生机构</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个，其中医院</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个、卫生院</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个、</w:t>
      </w:r>
      <w:r>
        <w:rPr>
          <w:rFonts w:hint="eastAsia" w:ascii="仿宋_GB2312" w:eastAsia="仿宋_GB2312"/>
          <w:color w:val="000000"/>
          <w:sz w:val="32"/>
          <w:szCs w:val="32"/>
          <w:lang w:eastAsia="zh-CN"/>
        </w:rPr>
        <w:t>疾病预防控制机</w:t>
      </w:r>
      <w:r>
        <w:rPr>
          <w:rFonts w:hint="eastAsia" w:ascii="仿宋_GB2312" w:eastAsia="仿宋_GB2312"/>
          <w:color w:val="auto"/>
          <w:sz w:val="32"/>
          <w:szCs w:val="32"/>
          <w:lang w:eastAsia="zh-CN"/>
        </w:rPr>
        <w:t>构</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r>
        <w:rPr>
          <w:rFonts w:hint="eastAsia" w:ascii="仿宋_GB2312" w:eastAsia="仿宋_GB2312"/>
          <w:color w:val="000000"/>
          <w:sz w:val="32"/>
          <w:szCs w:val="32"/>
        </w:rPr>
        <w:t>、妇幼卫生机构</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w:t>
      </w:r>
      <w:r>
        <w:rPr>
          <w:rFonts w:hint="eastAsia" w:ascii="仿宋_GB2312" w:eastAsia="仿宋_GB2312"/>
          <w:color w:val="000000"/>
          <w:sz w:val="32"/>
          <w:szCs w:val="32"/>
          <w:lang w:eastAsia="zh-CN"/>
        </w:rPr>
        <w:t>、精神卫生中心</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个、民营医疗机构</w:t>
      </w:r>
      <w:r>
        <w:rPr>
          <w:rFonts w:hint="eastAsia" w:ascii="仿宋_GB2312" w:eastAsia="仿宋_GB2312"/>
          <w:color w:val="000000"/>
          <w:sz w:val="32"/>
          <w:szCs w:val="32"/>
          <w:lang w:val="en-US" w:eastAsia="zh-CN"/>
        </w:rPr>
        <w:t>4个。</w:t>
      </w:r>
      <w:r>
        <w:rPr>
          <w:rFonts w:hint="eastAsia" w:ascii="仿宋_GB2312" w:eastAsia="仿宋_GB2312"/>
          <w:color w:val="000000"/>
          <w:sz w:val="32"/>
          <w:szCs w:val="32"/>
        </w:rPr>
        <w:t>卫生技术人员为</w:t>
      </w:r>
      <w:r>
        <w:rPr>
          <w:rFonts w:hint="eastAsia" w:ascii="仿宋_GB2312" w:eastAsia="仿宋_GB2312"/>
          <w:color w:val="auto"/>
          <w:sz w:val="32"/>
          <w:szCs w:val="32"/>
          <w:lang w:val="en-US" w:eastAsia="zh-CN"/>
        </w:rPr>
        <w:t>3197</w:t>
      </w:r>
      <w:r>
        <w:rPr>
          <w:rFonts w:hint="eastAsia" w:ascii="仿宋_GB2312" w:eastAsia="仿宋_GB2312"/>
          <w:color w:val="auto"/>
          <w:sz w:val="32"/>
          <w:szCs w:val="32"/>
        </w:rPr>
        <w:t>人</w:t>
      </w:r>
      <w:r>
        <w:rPr>
          <w:rFonts w:hint="eastAsia" w:ascii="仿宋_GB2312" w:eastAsia="仿宋_GB2312"/>
          <w:color w:val="000000"/>
          <w:sz w:val="32"/>
          <w:szCs w:val="32"/>
        </w:rPr>
        <w:t>，其中执业医师</w:t>
      </w:r>
      <w:r>
        <w:rPr>
          <w:rFonts w:hint="eastAsia" w:ascii="仿宋_GB2312" w:eastAsia="仿宋_GB2312"/>
          <w:color w:val="000000"/>
          <w:sz w:val="32"/>
          <w:szCs w:val="32"/>
          <w:lang w:val="en-US" w:eastAsia="zh-CN"/>
        </w:rPr>
        <w:t>787</w:t>
      </w:r>
      <w:r>
        <w:rPr>
          <w:rFonts w:hint="eastAsia" w:ascii="仿宋_GB2312" w:eastAsia="仿宋_GB2312"/>
          <w:color w:val="000000"/>
          <w:sz w:val="32"/>
          <w:szCs w:val="32"/>
        </w:rPr>
        <w:t>人、执业助理医师</w:t>
      </w:r>
      <w:r>
        <w:rPr>
          <w:rFonts w:hint="eastAsia" w:ascii="仿宋_GB2312" w:eastAsia="仿宋_GB2312"/>
          <w:color w:val="000000"/>
          <w:sz w:val="32"/>
          <w:szCs w:val="32"/>
          <w:lang w:val="en-US" w:eastAsia="zh-CN"/>
        </w:rPr>
        <w:t>523</w:t>
      </w:r>
      <w:r>
        <w:rPr>
          <w:rFonts w:hint="eastAsia" w:ascii="仿宋_GB2312" w:eastAsia="仿宋_GB2312"/>
          <w:color w:val="000000"/>
          <w:sz w:val="32"/>
          <w:szCs w:val="32"/>
        </w:rPr>
        <w:t>人、注册护士</w:t>
      </w:r>
      <w:r>
        <w:rPr>
          <w:rFonts w:hint="eastAsia" w:ascii="仿宋_GB2312" w:eastAsia="仿宋_GB2312"/>
          <w:color w:val="000000"/>
          <w:sz w:val="32"/>
          <w:szCs w:val="32"/>
          <w:lang w:val="en-US" w:eastAsia="zh-CN"/>
        </w:rPr>
        <w:t>1813</w:t>
      </w:r>
      <w:r>
        <w:rPr>
          <w:rFonts w:hint="eastAsia" w:ascii="仿宋_GB2312" w:eastAsia="仿宋_GB2312"/>
          <w:color w:val="000000"/>
          <w:sz w:val="32"/>
          <w:szCs w:val="32"/>
        </w:rPr>
        <w:t>人、</w:t>
      </w:r>
      <w:r>
        <w:rPr>
          <w:rFonts w:hint="eastAsia" w:ascii="仿宋_GB2312" w:eastAsia="仿宋_GB2312"/>
          <w:color w:val="000000"/>
          <w:sz w:val="32"/>
          <w:szCs w:val="32"/>
          <w:lang w:eastAsia="zh-CN"/>
        </w:rPr>
        <w:t>药剂人员</w:t>
      </w:r>
      <w:r>
        <w:rPr>
          <w:rFonts w:hint="eastAsia" w:ascii="仿宋_GB2312" w:eastAsia="仿宋_GB2312"/>
          <w:color w:val="000000"/>
          <w:sz w:val="32"/>
          <w:szCs w:val="32"/>
          <w:lang w:val="en-US" w:eastAsia="zh-CN"/>
        </w:rPr>
        <w:t>47人、检验人员19、其他卫生技术人员8人。</w:t>
      </w:r>
      <w:r>
        <w:rPr>
          <w:rFonts w:hint="eastAsia" w:ascii="仿宋_GB2312" w:eastAsia="仿宋_GB2312"/>
          <w:color w:val="000000"/>
          <w:sz w:val="32"/>
          <w:szCs w:val="32"/>
        </w:rPr>
        <w:t>全</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卫生机构床位数为</w:t>
      </w:r>
      <w:r>
        <w:rPr>
          <w:rFonts w:hint="eastAsia" w:ascii="仿宋_GB2312" w:eastAsia="仿宋_GB2312"/>
          <w:color w:val="000000"/>
          <w:sz w:val="32"/>
          <w:szCs w:val="32"/>
          <w:lang w:val="en-US" w:eastAsia="zh-CN"/>
        </w:rPr>
        <w:t>1724</w:t>
      </w:r>
      <w:r>
        <w:rPr>
          <w:rFonts w:hint="eastAsia" w:ascii="仿宋_GB2312" w:eastAsia="仿宋_GB2312"/>
          <w:color w:val="000000"/>
          <w:sz w:val="32"/>
          <w:szCs w:val="32"/>
        </w:rPr>
        <w:t>张，其中医院床位数</w:t>
      </w:r>
      <w:r>
        <w:rPr>
          <w:rFonts w:hint="eastAsia" w:ascii="仿宋_GB2312" w:eastAsia="仿宋_GB2312"/>
          <w:color w:val="000000"/>
          <w:sz w:val="32"/>
          <w:szCs w:val="32"/>
          <w:lang w:val="en-US" w:eastAsia="zh-CN"/>
        </w:rPr>
        <w:t>560</w:t>
      </w:r>
      <w:r>
        <w:rPr>
          <w:rFonts w:hint="eastAsia" w:ascii="仿宋_GB2312" w:eastAsia="仿宋_GB2312"/>
          <w:color w:val="000000"/>
          <w:sz w:val="32"/>
          <w:szCs w:val="32"/>
        </w:rPr>
        <w:t>张</w:t>
      </w:r>
      <w:r>
        <w:rPr>
          <w:rFonts w:hint="eastAsia" w:ascii="仿宋_GB2312" w:eastAsia="仿宋_GB2312"/>
          <w:color w:val="auto"/>
          <w:sz w:val="32"/>
          <w:szCs w:val="32"/>
          <w:highlight w:val="none"/>
        </w:rPr>
        <w:t>；</w:t>
      </w:r>
      <w:r>
        <w:rPr>
          <w:rFonts w:hint="eastAsia" w:ascii="仿宋_GB2312" w:eastAsia="仿宋_GB2312"/>
          <w:color w:val="000000"/>
          <w:sz w:val="32"/>
          <w:szCs w:val="32"/>
        </w:rPr>
        <w:t>乡镇卫生院机构数</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个、床位数</w:t>
      </w:r>
      <w:r>
        <w:rPr>
          <w:rFonts w:hint="eastAsia" w:ascii="仿宋_GB2312" w:eastAsia="仿宋_GB2312"/>
          <w:color w:val="000000"/>
          <w:sz w:val="32"/>
          <w:szCs w:val="32"/>
          <w:lang w:val="en-US" w:eastAsia="zh-CN"/>
        </w:rPr>
        <w:t>770</w:t>
      </w:r>
      <w:r>
        <w:rPr>
          <w:rFonts w:hint="eastAsia" w:ascii="仿宋_GB2312" w:eastAsia="仿宋_GB2312"/>
          <w:color w:val="000000"/>
          <w:sz w:val="32"/>
          <w:szCs w:val="32"/>
        </w:rPr>
        <w:t>张、人员数</w:t>
      </w:r>
      <w:r>
        <w:rPr>
          <w:rFonts w:hint="eastAsia" w:ascii="仿宋_GB2312" w:eastAsia="仿宋_GB2312"/>
          <w:color w:val="000000"/>
          <w:sz w:val="32"/>
          <w:szCs w:val="32"/>
          <w:lang w:val="en-US" w:eastAsia="zh-CN"/>
        </w:rPr>
        <w:t>754</w:t>
      </w:r>
      <w:r>
        <w:rPr>
          <w:rFonts w:hint="eastAsia" w:ascii="仿宋_GB2312" w:eastAsia="仿宋_GB2312"/>
          <w:color w:val="000000"/>
          <w:sz w:val="32"/>
          <w:szCs w:val="32"/>
        </w:rPr>
        <w:t>人；乡村医生数</w:t>
      </w:r>
      <w:r>
        <w:rPr>
          <w:rFonts w:hint="eastAsia" w:ascii="仿宋_GB2312" w:eastAsia="仿宋_GB2312"/>
          <w:color w:val="000000"/>
          <w:sz w:val="32"/>
          <w:szCs w:val="32"/>
          <w:lang w:val="en-US" w:eastAsia="zh-CN"/>
        </w:rPr>
        <w:t>564</w:t>
      </w:r>
      <w:r>
        <w:rPr>
          <w:rFonts w:hint="eastAsia" w:ascii="仿宋_GB2312" w:eastAsia="仿宋_GB2312"/>
          <w:color w:val="000000"/>
          <w:sz w:val="32"/>
          <w:szCs w:val="32"/>
        </w:rPr>
        <w:t>人。</w:t>
      </w:r>
      <w:r>
        <w:rPr>
          <w:rFonts w:hint="eastAsia" w:ascii="仿宋_GB2312" w:hAnsi="仿宋_GB2312" w:eastAsia="仿宋_GB2312" w:cs="仿宋_GB2312"/>
          <w:b w:val="0"/>
          <w:bCs w:val="0"/>
          <w:color w:val="auto"/>
          <w:sz w:val="32"/>
          <w:szCs w:val="32"/>
        </w:rPr>
        <w:t>开展“服务百姓健康行动”大型义诊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健康大讲堂、义诊活动进基层、进校园、进部队</w:t>
      </w:r>
      <w:r>
        <w:rPr>
          <w:rFonts w:hint="eastAsia" w:ascii="仿宋_GB2312" w:hAnsi="仿宋_GB2312" w:eastAsia="仿宋_GB2312" w:cs="仿宋_GB2312"/>
          <w:b w:val="0"/>
          <w:bCs w:val="0"/>
          <w:color w:val="auto"/>
          <w:sz w:val="32"/>
          <w:szCs w:val="32"/>
          <w:lang w:val="en-US" w:eastAsia="zh-CN"/>
        </w:rPr>
        <w:t>等送健康活动</w:t>
      </w:r>
      <w:r>
        <w:rPr>
          <w:rFonts w:hint="eastAsia" w:ascii="仿宋_GB2312" w:hAnsi="仿宋_GB2312" w:eastAsia="仿宋_GB2312" w:cs="仿宋_GB2312"/>
          <w:b w:val="0"/>
          <w:bCs w:val="0"/>
          <w:color w:val="auto"/>
          <w:sz w:val="32"/>
          <w:szCs w:val="32"/>
        </w:rPr>
        <w:t>20余场，</w:t>
      </w:r>
      <w:r>
        <w:rPr>
          <w:rFonts w:hint="eastAsia" w:ascii="仿宋_GB2312" w:hAnsi="仿宋_GB2312" w:eastAsia="仿宋_GB2312" w:cs="仿宋_GB2312"/>
          <w:b w:val="0"/>
          <w:bCs w:val="0"/>
          <w:color w:val="auto"/>
          <w:sz w:val="32"/>
          <w:szCs w:val="32"/>
          <w:lang w:val="en-US" w:eastAsia="zh-CN"/>
        </w:rPr>
        <w:t>惠及群众</w:t>
      </w:r>
      <w:r>
        <w:rPr>
          <w:rFonts w:hint="eastAsia" w:ascii="仿宋_GB2312" w:hAnsi="仿宋_GB2312" w:eastAsia="仿宋_GB2312" w:cs="仿宋_GB2312"/>
          <w:b w:val="0"/>
          <w:bCs w:val="0"/>
          <w:color w:val="auto"/>
          <w:sz w:val="32"/>
          <w:szCs w:val="32"/>
        </w:rPr>
        <w:t>1万余人次。</w:t>
      </w:r>
      <w:r>
        <w:rPr>
          <w:rFonts w:hint="eastAsia" w:ascii="仿宋_GB2312" w:hAnsi="仿宋_GB2312" w:eastAsia="仿宋_GB2312" w:cs="仿宋_GB2312"/>
          <w:b w:val="0"/>
          <w:bCs w:val="0"/>
          <w:color w:val="auto"/>
          <w:sz w:val="32"/>
          <w:szCs w:val="32"/>
          <w:lang w:val="en-US" w:eastAsia="zh-CN"/>
        </w:rPr>
        <w:t>加大人才招聘力度，区人民医院招聘高层次专业技术人员</w:t>
      </w:r>
      <w:r>
        <w:rPr>
          <w:rFonts w:hint="eastAsia" w:ascii="Times New Roman" w:hAnsi="Times New Roman" w:eastAsia="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名、镇街卫生院公开招聘专业技术人员</w:t>
      </w:r>
      <w:r>
        <w:rPr>
          <w:rFonts w:hint="eastAsia" w:ascii="Times New Roman" w:hAnsi="Times New Roman" w:eastAsia="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val="en-US" w:eastAsia="zh-CN"/>
        </w:rPr>
        <w:t>人。基本医疗</w:t>
      </w:r>
      <w:r>
        <w:rPr>
          <w:rFonts w:hint="eastAsia" w:ascii="仿宋_GB2312" w:hAnsi="仿宋_GB2312" w:eastAsia="仿宋_GB2312" w:cs="仿宋_GB2312"/>
          <w:b w:val="0"/>
          <w:bCs w:val="0"/>
          <w:color w:val="auto"/>
          <w:sz w:val="32"/>
          <w:szCs w:val="32"/>
          <w:lang w:eastAsia="zh-CN"/>
        </w:rPr>
        <w:t>群众满意度</w:t>
      </w:r>
      <w:r>
        <w:rPr>
          <w:rFonts w:hint="eastAsia" w:ascii="仿宋_GB2312" w:hAnsi="仿宋_GB2312" w:eastAsia="仿宋_GB2312" w:cs="仿宋_GB2312"/>
          <w:b w:val="0"/>
          <w:bCs w:val="0"/>
          <w:color w:val="auto"/>
          <w:sz w:val="32"/>
          <w:szCs w:val="32"/>
          <w:lang w:val="en-US" w:eastAsia="zh-CN"/>
        </w:rPr>
        <w:t>第</w:t>
      </w:r>
      <w:r>
        <w:rPr>
          <w:rFonts w:hint="eastAsia" w:ascii="Times New Roman" w:hAnsi="Times New Roman" w:eastAsia="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val="en-US" w:eastAsia="zh-CN"/>
        </w:rPr>
        <w:t>次蝉联</w:t>
      </w:r>
      <w:r>
        <w:rPr>
          <w:rFonts w:hint="eastAsia" w:ascii="仿宋_GB2312" w:hAnsi="仿宋_GB2312" w:eastAsia="仿宋_GB2312" w:cs="仿宋_GB2312"/>
          <w:b w:val="0"/>
          <w:bCs w:val="0"/>
          <w:color w:val="auto"/>
          <w:sz w:val="32"/>
          <w:szCs w:val="32"/>
        </w:rPr>
        <w:t>全市第一</w:t>
      </w:r>
      <w:r>
        <w:rPr>
          <w:rFonts w:hint="eastAsia" w:ascii="仿宋_GB2312" w:hAnsi="仿宋_GB2312" w:eastAsia="仿宋_GB2312" w:cs="仿宋_GB2312"/>
          <w:b w:val="0"/>
          <w:bCs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r>
        <w:rPr>
          <w:rFonts w:eastAsia="仿宋"/>
          <w:b/>
          <w:bCs/>
          <w:color w:val="auto"/>
          <w:sz w:val="32"/>
          <w:szCs w:val="32"/>
        </w:rPr>
        <w:t>公报注释：</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本公报</w:t>
      </w:r>
      <w:r>
        <w:rPr>
          <w:rFonts w:hint="eastAsia" w:ascii="仿宋_GB2312" w:hAnsi="微软雅黑" w:eastAsia="仿宋_GB2312" w:cs="宋体"/>
          <w:color w:val="000000"/>
          <w:kern w:val="0"/>
          <w:sz w:val="32"/>
          <w:szCs w:val="32"/>
          <w:lang w:eastAsia="zh-CN"/>
        </w:rPr>
        <w:t>中</w:t>
      </w:r>
      <w:r>
        <w:rPr>
          <w:rFonts w:hint="eastAsia" w:ascii="仿宋_GB2312" w:hAnsi="微软雅黑" w:eastAsia="仿宋_GB2312" w:cs="宋体"/>
          <w:color w:val="000000"/>
          <w:kern w:val="0"/>
          <w:sz w:val="32"/>
          <w:szCs w:val="32"/>
        </w:rPr>
        <w:t>数据</w:t>
      </w:r>
      <w:r>
        <w:rPr>
          <w:rFonts w:hint="eastAsia" w:ascii="仿宋_GB2312" w:hAnsi="微软雅黑" w:eastAsia="仿宋_GB2312" w:cs="宋体"/>
          <w:color w:val="000000"/>
          <w:kern w:val="0"/>
          <w:sz w:val="32"/>
          <w:szCs w:val="32"/>
          <w:lang w:eastAsia="zh-CN"/>
        </w:rPr>
        <w:t>均</w:t>
      </w:r>
      <w:r>
        <w:rPr>
          <w:rFonts w:hint="eastAsia" w:ascii="仿宋_GB2312" w:hAnsi="微软雅黑" w:eastAsia="仿宋_GB2312" w:cs="宋体"/>
          <w:color w:val="000000"/>
          <w:kern w:val="0"/>
          <w:sz w:val="32"/>
          <w:szCs w:val="32"/>
        </w:rPr>
        <w:t>为初步统计数，部分数据因四舍五入影响，存在总计与分项合计不等情况。</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地区生产总值</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各</w:t>
      </w:r>
      <w:r>
        <w:rPr>
          <w:rFonts w:hint="eastAsia" w:ascii="仿宋_GB2312" w:hAnsi="微软雅黑" w:eastAsia="仿宋_GB2312" w:cs="宋体"/>
          <w:color w:val="000000"/>
          <w:kern w:val="0"/>
          <w:sz w:val="32"/>
          <w:szCs w:val="32"/>
          <w:lang w:eastAsia="zh-CN"/>
        </w:rPr>
        <w:t>产</w:t>
      </w:r>
      <w:r>
        <w:rPr>
          <w:rFonts w:hint="eastAsia" w:ascii="仿宋_GB2312" w:hAnsi="微软雅黑" w:eastAsia="仿宋_GB2312" w:cs="宋体"/>
          <w:color w:val="000000"/>
          <w:kern w:val="0"/>
          <w:sz w:val="32"/>
          <w:szCs w:val="32"/>
        </w:rPr>
        <w:t>业增加值按现价计算，增长速度按可比价计算。</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“十强”产业中，</w:t>
      </w:r>
      <w:r>
        <w:rPr>
          <w:rFonts w:hint="eastAsia" w:ascii="仿宋_GB2312" w:hAnsi="微软雅黑" w:eastAsia="仿宋_GB2312" w:cs="宋体"/>
          <w:color w:val="000000"/>
          <w:kern w:val="0"/>
          <w:sz w:val="32"/>
          <w:szCs w:val="32"/>
          <w:lang w:eastAsia="zh-CN"/>
        </w:rPr>
        <w:t>高端化工和</w:t>
      </w:r>
      <w:r>
        <w:rPr>
          <w:rFonts w:hint="eastAsia" w:ascii="仿宋_GB2312" w:hAnsi="微软雅黑" w:eastAsia="仿宋_GB2312" w:cs="宋体"/>
          <w:color w:val="000000"/>
          <w:kern w:val="0"/>
          <w:sz w:val="32"/>
          <w:szCs w:val="32"/>
        </w:rPr>
        <w:t>高端装备</w:t>
      </w:r>
      <w:r>
        <w:rPr>
          <w:rFonts w:hint="eastAsia" w:ascii="仿宋_GB2312" w:hAnsi="微软雅黑" w:eastAsia="仿宋_GB2312" w:cs="宋体"/>
          <w:color w:val="000000"/>
          <w:kern w:val="0"/>
          <w:sz w:val="32"/>
          <w:szCs w:val="32"/>
          <w:lang w:eastAsia="zh-CN"/>
        </w:rPr>
        <w:t>统计口径为规模以上工业企业。</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规模以上工业</w:t>
      </w:r>
      <w:r>
        <w:rPr>
          <w:rFonts w:hint="eastAsia" w:hAnsi="微软雅黑" w:cs="宋体"/>
          <w:color w:val="000000"/>
          <w:kern w:val="0"/>
          <w:sz w:val="32"/>
          <w:szCs w:val="32"/>
          <w:lang w:eastAsia="zh-CN"/>
        </w:rPr>
        <w:t>企业</w:t>
      </w:r>
      <w:r>
        <w:rPr>
          <w:rFonts w:hint="eastAsia" w:ascii="仿宋_GB2312" w:hAnsi="微软雅黑" w:eastAsia="仿宋_GB2312" w:cs="宋体"/>
          <w:color w:val="000000"/>
          <w:kern w:val="0"/>
          <w:sz w:val="32"/>
          <w:szCs w:val="32"/>
        </w:rPr>
        <w:t>指年主营业务收入2000万元及以上</w:t>
      </w:r>
      <w:r>
        <w:rPr>
          <w:rFonts w:hint="eastAsia" w:ascii="仿宋_GB2312" w:hAnsi="微软雅黑" w:eastAsia="仿宋_GB2312" w:cs="宋体"/>
          <w:color w:val="000000"/>
          <w:kern w:val="0"/>
          <w:sz w:val="32"/>
          <w:szCs w:val="32"/>
          <w:lang w:eastAsia="zh-CN"/>
        </w:rPr>
        <w:t>的工业法人单位</w:t>
      </w:r>
      <w:r>
        <w:rPr>
          <w:rFonts w:hint="eastAsia" w:ascii="仿宋_GB2312" w:hAnsi="微软雅黑" w:eastAsia="仿宋_GB2312" w:cs="宋体"/>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限额以上批发业企业指年主营业务收入2000万元及以上的批发业企业，限额以上零售业企业指年主营业务收入500万元及以上的零售业企业，限额以上住宿和餐饮业企业指年主营业务收入200万元及以上的住宿和餐饮业企业。</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规模以上服务业统计范围包括：年营业收入2000万元及以上的交通运输、仓储和邮政业，信息传输、软件和信息技术服务业，水利、环境和公共设施管理业，卫生行业法人单位；年营业收入1000万元及以上的房地产业（不含房地产开发经营），租赁和商务服务业，科学研究和技术服务业，教育行业法人单位；以及年营业收入500万元及以上的居民服务、修理和其他服务业，文化、体育和娱乐业，社会工作行业法人单位。</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固定资产投资（不含农户）包括城镇和农村各种登记注册类型的企业、事业、行政单位以及城镇个体户计划总投资500万元及以上的建设项目投资，有开发经营活动的全部房地产开发经营业法人单位开发项目投资。</w:t>
      </w: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eastAsia="仿宋"/>
          <w:color w:val="auto"/>
          <w:sz w:val="32"/>
          <w:szCs w:val="32"/>
          <w:lang w:eastAsia="zh-CN"/>
        </w:rPr>
      </w:pPr>
      <w:r>
        <w:rPr>
          <w:rFonts w:eastAsia="仿宋"/>
          <w:b/>
          <w:color w:val="auto"/>
          <w:kern w:val="0"/>
          <w:sz w:val="32"/>
          <w:szCs w:val="32"/>
          <w:shd w:val="clear" w:color="auto" w:fill="FFFFFF"/>
        </w:rPr>
        <w:t>资料来源：</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_GB2312" w:hAnsi="微软雅黑" w:eastAsia="仿宋_GB2312" w:cs="宋体"/>
          <w:color w:val="000000"/>
          <w:kern w:val="0"/>
          <w:sz w:val="32"/>
          <w:szCs w:val="32"/>
          <w:lang w:val="en-US" w:eastAsia="zh-CN" w:bidi="zh-CN"/>
        </w:rPr>
      </w:pPr>
      <w:r>
        <w:rPr>
          <w:rFonts w:hint="eastAsia" w:ascii="仿宋_GB2312" w:hAnsi="微软雅黑" w:eastAsia="仿宋_GB2312" w:cs="宋体"/>
          <w:color w:val="000000"/>
          <w:kern w:val="0"/>
          <w:sz w:val="32"/>
          <w:szCs w:val="32"/>
          <w:lang w:val="en-US" w:eastAsia="zh-CN" w:bidi="zh-CN"/>
        </w:rPr>
        <w:t>本公报中公安户籍人口来自区公安分局，计划生育有关数据、卫生数据来自区卫生健康局，公路里程数据来自区交通运输局，邮政数据来自区邮政局，旅游、文化数据来自区文化和旅游局，财政数据来自区财政局，税收数据来自区税务局，金融机构存贷款数据来自区金融服务中心，教育、体育数据来自区教育和体育局，科技数据来自区科技局，市场主体、专利数据来自区市场监管局,城市建设数据来自区住建局，环境保护数据来自区环保局，社会保障、就业数据来自区人社局，安全生产数据来自区应急管理局，部分农业数据来自区农业农村局，价格指数为全市数据，其他数据均来自区统计局。</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73403"/>
    <w:multiLevelType w:val="singleLevel"/>
    <w:tmpl w:val="81B73403"/>
    <w:lvl w:ilvl="0" w:tentative="0">
      <w:start w:val="8"/>
      <w:numFmt w:val="chineseCounting"/>
      <w:suff w:val="nothing"/>
      <w:lvlText w:val="%1、"/>
      <w:lvlJc w:val="left"/>
      <w:rPr>
        <w:rFonts w:hint="eastAsia"/>
      </w:rPr>
    </w:lvl>
  </w:abstractNum>
  <w:abstractNum w:abstractNumId="1">
    <w:nsid w:val="D7C9AFD1"/>
    <w:multiLevelType w:val="singleLevel"/>
    <w:tmpl w:val="D7C9AFD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2BDA"/>
    <w:rsid w:val="00CD4B67"/>
    <w:rsid w:val="00F3646A"/>
    <w:rsid w:val="031E7831"/>
    <w:rsid w:val="033B274C"/>
    <w:rsid w:val="03E74898"/>
    <w:rsid w:val="04100A7A"/>
    <w:rsid w:val="046A0817"/>
    <w:rsid w:val="04CC58E4"/>
    <w:rsid w:val="055A5BAD"/>
    <w:rsid w:val="059F5651"/>
    <w:rsid w:val="06B44728"/>
    <w:rsid w:val="06DA786B"/>
    <w:rsid w:val="07975DEC"/>
    <w:rsid w:val="07A00388"/>
    <w:rsid w:val="07FD240B"/>
    <w:rsid w:val="08163809"/>
    <w:rsid w:val="085035D2"/>
    <w:rsid w:val="0876788D"/>
    <w:rsid w:val="087C5B35"/>
    <w:rsid w:val="092327C0"/>
    <w:rsid w:val="0ACA513A"/>
    <w:rsid w:val="0C48161C"/>
    <w:rsid w:val="0CF4439E"/>
    <w:rsid w:val="0D26019C"/>
    <w:rsid w:val="0EAD22DF"/>
    <w:rsid w:val="0F7E72E0"/>
    <w:rsid w:val="0FC77EE3"/>
    <w:rsid w:val="10624310"/>
    <w:rsid w:val="10AD75A7"/>
    <w:rsid w:val="118855A0"/>
    <w:rsid w:val="119E4B3A"/>
    <w:rsid w:val="1284440D"/>
    <w:rsid w:val="12B30BF4"/>
    <w:rsid w:val="13902534"/>
    <w:rsid w:val="1429270F"/>
    <w:rsid w:val="146F01C6"/>
    <w:rsid w:val="153A4948"/>
    <w:rsid w:val="1542237F"/>
    <w:rsid w:val="15F9338B"/>
    <w:rsid w:val="16312FB4"/>
    <w:rsid w:val="164F2E7A"/>
    <w:rsid w:val="173B5AFE"/>
    <w:rsid w:val="188D6B78"/>
    <w:rsid w:val="18923539"/>
    <w:rsid w:val="1A3F1187"/>
    <w:rsid w:val="1C30415C"/>
    <w:rsid w:val="1C510643"/>
    <w:rsid w:val="1C6E558C"/>
    <w:rsid w:val="1C9F762D"/>
    <w:rsid w:val="1CA67AD2"/>
    <w:rsid w:val="1D973BFB"/>
    <w:rsid w:val="1DF25A53"/>
    <w:rsid w:val="1E2B7771"/>
    <w:rsid w:val="1F0255EE"/>
    <w:rsid w:val="1F763692"/>
    <w:rsid w:val="208363AB"/>
    <w:rsid w:val="21E93DF5"/>
    <w:rsid w:val="22000170"/>
    <w:rsid w:val="222C53C9"/>
    <w:rsid w:val="226F532B"/>
    <w:rsid w:val="240C2392"/>
    <w:rsid w:val="248D71B5"/>
    <w:rsid w:val="24CB62F9"/>
    <w:rsid w:val="256C3CAB"/>
    <w:rsid w:val="26F37CBE"/>
    <w:rsid w:val="27961C2C"/>
    <w:rsid w:val="28A851D7"/>
    <w:rsid w:val="29760BEE"/>
    <w:rsid w:val="2A2006AC"/>
    <w:rsid w:val="2A2F792A"/>
    <w:rsid w:val="2B4C318C"/>
    <w:rsid w:val="2B9E67C2"/>
    <w:rsid w:val="2C3F21A5"/>
    <w:rsid w:val="2C9760E4"/>
    <w:rsid w:val="2CEF1583"/>
    <w:rsid w:val="2D485FFC"/>
    <w:rsid w:val="2E350622"/>
    <w:rsid w:val="2EA1723D"/>
    <w:rsid w:val="2EC6516E"/>
    <w:rsid w:val="2EF73962"/>
    <w:rsid w:val="2F567859"/>
    <w:rsid w:val="2F72538B"/>
    <w:rsid w:val="306A4113"/>
    <w:rsid w:val="30A466CA"/>
    <w:rsid w:val="310C202F"/>
    <w:rsid w:val="31FF37CC"/>
    <w:rsid w:val="325D557C"/>
    <w:rsid w:val="33D335F0"/>
    <w:rsid w:val="344554D6"/>
    <w:rsid w:val="34730F40"/>
    <w:rsid w:val="34E75041"/>
    <w:rsid w:val="353579BB"/>
    <w:rsid w:val="35B551C1"/>
    <w:rsid w:val="3787268B"/>
    <w:rsid w:val="37BD1433"/>
    <w:rsid w:val="38130BBC"/>
    <w:rsid w:val="38A903D8"/>
    <w:rsid w:val="39A27939"/>
    <w:rsid w:val="39C81E65"/>
    <w:rsid w:val="39E25674"/>
    <w:rsid w:val="3B25119A"/>
    <w:rsid w:val="3BDA1786"/>
    <w:rsid w:val="3C047288"/>
    <w:rsid w:val="3ECC762F"/>
    <w:rsid w:val="3EDF3EB8"/>
    <w:rsid w:val="3F7D3E5E"/>
    <w:rsid w:val="3FEC4A22"/>
    <w:rsid w:val="40BB0159"/>
    <w:rsid w:val="40D851D7"/>
    <w:rsid w:val="412A63C9"/>
    <w:rsid w:val="419216BA"/>
    <w:rsid w:val="41A752B0"/>
    <w:rsid w:val="42053889"/>
    <w:rsid w:val="42122144"/>
    <w:rsid w:val="42AF546F"/>
    <w:rsid w:val="43C21B8F"/>
    <w:rsid w:val="43CF007B"/>
    <w:rsid w:val="442354A7"/>
    <w:rsid w:val="447D28C0"/>
    <w:rsid w:val="454934D7"/>
    <w:rsid w:val="459E1A5A"/>
    <w:rsid w:val="46232ED6"/>
    <w:rsid w:val="46990857"/>
    <w:rsid w:val="469E4C96"/>
    <w:rsid w:val="46BE096B"/>
    <w:rsid w:val="475C6652"/>
    <w:rsid w:val="47716452"/>
    <w:rsid w:val="4780652D"/>
    <w:rsid w:val="492672E9"/>
    <w:rsid w:val="4A9C49A0"/>
    <w:rsid w:val="4B1567C5"/>
    <w:rsid w:val="4B8E3546"/>
    <w:rsid w:val="4C6A3ADB"/>
    <w:rsid w:val="4CD80DE7"/>
    <w:rsid w:val="4CE72E61"/>
    <w:rsid w:val="4F724C24"/>
    <w:rsid w:val="4FA37CE3"/>
    <w:rsid w:val="4FAD6C49"/>
    <w:rsid w:val="50735E15"/>
    <w:rsid w:val="50D15112"/>
    <w:rsid w:val="50D55EA4"/>
    <w:rsid w:val="528F2CAE"/>
    <w:rsid w:val="52C43DC8"/>
    <w:rsid w:val="52D00150"/>
    <w:rsid w:val="52D75BB7"/>
    <w:rsid w:val="53226F07"/>
    <w:rsid w:val="53732414"/>
    <w:rsid w:val="53C74EE4"/>
    <w:rsid w:val="53E40284"/>
    <w:rsid w:val="54912F63"/>
    <w:rsid w:val="56F307AC"/>
    <w:rsid w:val="56FC2E3B"/>
    <w:rsid w:val="57CA34AD"/>
    <w:rsid w:val="58526F5A"/>
    <w:rsid w:val="59411DB6"/>
    <w:rsid w:val="596560A6"/>
    <w:rsid w:val="5A716332"/>
    <w:rsid w:val="5A785072"/>
    <w:rsid w:val="5AB631F2"/>
    <w:rsid w:val="5BEC5B4D"/>
    <w:rsid w:val="5CB2726B"/>
    <w:rsid w:val="5D0E33FA"/>
    <w:rsid w:val="5E2228BB"/>
    <w:rsid w:val="5EAB61D3"/>
    <w:rsid w:val="5EC34055"/>
    <w:rsid w:val="5EF6405F"/>
    <w:rsid w:val="5F9C4F99"/>
    <w:rsid w:val="5FCC4E4B"/>
    <w:rsid w:val="60273C1B"/>
    <w:rsid w:val="60445E4C"/>
    <w:rsid w:val="608E740C"/>
    <w:rsid w:val="615D48D1"/>
    <w:rsid w:val="61CD4E5E"/>
    <w:rsid w:val="621D3E2F"/>
    <w:rsid w:val="62265976"/>
    <w:rsid w:val="62581C01"/>
    <w:rsid w:val="635E47DB"/>
    <w:rsid w:val="63E2266C"/>
    <w:rsid w:val="65B61D0B"/>
    <w:rsid w:val="66902A56"/>
    <w:rsid w:val="67B167BA"/>
    <w:rsid w:val="67B861BC"/>
    <w:rsid w:val="684D6847"/>
    <w:rsid w:val="68E51D0B"/>
    <w:rsid w:val="68F10018"/>
    <w:rsid w:val="696244DC"/>
    <w:rsid w:val="6AA658D0"/>
    <w:rsid w:val="6C356FFD"/>
    <w:rsid w:val="6CE6635A"/>
    <w:rsid w:val="6DB1180B"/>
    <w:rsid w:val="6E517E6E"/>
    <w:rsid w:val="6E546F4E"/>
    <w:rsid w:val="6F0718CA"/>
    <w:rsid w:val="6F7859D9"/>
    <w:rsid w:val="6F881A32"/>
    <w:rsid w:val="706C6895"/>
    <w:rsid w:val="71752DFF"/>
    <w:rsid w:val="71F919FB"/>
    <w:rsid w:val="725C0D0F"/>
    <w:rsid w:val="73F50465"/>
    <w:rsid w:val="73F70FF1"/>
    <w:rsid w:val="74323C88"/>
    <w:rsid w:val="74F46166"/>
    <w:rsid w:val="753B69BC"/>
    <w:rsid w:val="758420EE"/>
    <w:rsid w:val="75E12847"/>
    <w:rsid w:val="76DC4F3F"/>
    <w:rsid w:val="776F0982"/>
    <w:rsid w:val="77A46863"/>
    <w:rsid w:val="77B14332"/>
    <w:rsid w:val="77FB2C34"/>
    <w:rsid w:val="78687EE4"/>
    <w:rsid w:val="7967388A"/>
    <w:rsid w:val="7A4435A6"/>
    <w:rsid w:val="7AD009C0"/>
    <w:rsid w:val="7B844191"/>
    <w:rsid w:val="7BEB38AC"/>
    <w:rsid w:val="7BEE04B9"/>
    <w:rsid w:val="7C7F6044"/>
    <w:rsid w:val="7C8E781E"/>
    <w:rsid w:val="7DC42711"/>
    <w:rsid w:val="7E24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1"/>
    <w:rPr>
      <w:rFonts w:ascii="仿宋_GB2312" w:hAnsi="仿宋_GB2312" w:eastAsia="仿宋_GB2312"/>
      <w:sz w:val="32"/>
      <w:lang w:val="zh-CN" w:bidi="zh-CN"/>
    </w:r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afterLines="0"/>
      <w:ind w:left="420" w:left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5"/>
    <w:qFormat/>
    <w:uiPriority w:val="0"/>
    <w:pPr>
      <w:ind w:firstLine="420" w:firstLineChars="200"/>
    </w:pPr>
  </w:style>
  <w:style w:type="character" w:styleId="11">
    <w:name w:val="Strong"/>
    <w:basedOn w:val="10"/>
    <w:qFormat/>
    <w:uiPriority w:val="0"/>
    <w:rPr>
      <w:b/>
    </w:rPr>
  </w:style>
  <w:style w:type="character" w:styleId="12">
    <w:name w:val="FollowedHyperlink"/>
    <w:basedOn w:val="10"/>
    <w:qFormat/>
    <w:uiPriority w:val="0"/>
    <w:rPr>
      <w:rFonts w:hint="eastAsia" w:ascii="宋体" w:hAnsi="宋体" w:eastAsia="宋体" w:cs="宋体"/>
      <w:color w:val="3D3D3D"/>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rFonts w:hint="eastAsia" w:ascii="宋体" w:hAnsi="宋体" w:eastAsia="宋体" w:cs="宋体"/>
      <w:color w:val="3D3D3D"/>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customStyle="1" w:styleId="20">
    <w:name w:val="font61"/>
    <w:basedOn w:val="10"/>
    <w:qFormat/>
    <w:uiPriority w:val="0"/>
    <w:rPr>
      <w:rFonts w:ascii="Calibri" w:hAnsi="Calibri" w:cs="Calibri"/>
      <w:color w:val="auto"/>
      <w:sz w:val="18"/>
      <w:szCs w:val="18"/>
      <w:u w:val="none"/>
    </w:rPr>
  </w:style>
  <w:style w:type="character" w:customStyle="1" w:styleId="21">
    <w:name w:val="font51"/>
    <w:basedOn w:val="10"/>
    <w:qFormat/>
    <w:uiPriority w:val="0"/>
    <w:rPr>
      <w:rFonts w:hint="eastAsia" w:ascii="宋体" w:hAnsi="宋体" w:eastAsia="宋体" w:cs="宋体"/>
      <w:color w:val="auto"/>
      <w:sz w:val="18"/>
      <w:szCs w:val="18"/>
      <w:u w:val="none"/>
    </w:rPr>
  </w:style>
  <w:style w:type="character" w:customStyle="1" w:styleId="2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0132;&#37101;&#29788;\&#24180;&#37492;\2020&#24180;&#37492;\&#20844;&#25253;\&#20844;&#25253;&#22270;&#292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32;&#37101;&#29788;\&#24180;&#37492;\2020&#24180;&#37492;\&#20844;&#25253;\&#20844;&#25253;&#22270;&#2925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32;&#37101;&#29788;\&#24180;&#37492;\2020&#24180;&#37492;\&#20844;&#25253;\&#20844;&#25253;&#22270;&#2925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0132;&#37101;&#29788;\&#24180;&#37492;\2020&#24180;&#37492;\&#20844;&#25253;\&#20844;&#25253;&#22270;&#292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sz="1200" b="1">
                <a:latin typeface="仿宋" panose="02010609060101010101" charset="-122"/>
                <a:ea typeface="仿宋" panose="02010609060101010101" charset="-122"/>
                <a:cs typeface="仿宋" panose="02010609060101010101" charset="-122"/>
              </a:rPr>
              <a:t>图</a:t>
            </a:r>
            <a:r>
              <a:rPr lang="en-US" altLang="zh-CN" sz="1200" b="1">
                <a:latin typeface="仿宋" panose="02010609060101010101" charset="-122"/>
                <a:ea typeface="仿宋" panose="02010609060101010101" charset="-122"/>
                <a:cs typeface="仿宋" panose="02010609060101010101" charset="-122"/>
              </a:rPr>
              <a:t>1</a:t>
            </a:r>
            <a:r>
              <a:rPr altLang="en-US" sz="1200" b="1">
                <a:latin typeface="仿宋" panose="02010609060101010101" charset="-122"/>
                <a:ea typeface="仿宋" panose="02010609060101010101" charset="-122"/>
                <a:cs typeface="仿宋" panose="02010609060101010101" charset="-122"/>
              </a:rPr>
              <a:t>：</a:t>
            </a:r>
            <a:r>
              <a:rPr sz="1200" b="1">
                <a:latin typeface="仿宋" panose="02010609060101010101" charset="-122"/>
                <a:ea typeface="仿宋" panose="02010609060101010101" charset="-122"/>
                <a:cs typeface="仿宋" panose="02010609060101010101" charset="-122"/>
              </a:rPr>
              <a:t>2019年三次产业结构</a:t>
            </a:r>
            <a:r>
              <a:rPr lang="en-US" altLang="zh-CN" sz="1200" b="1">
                <a:latin typeface="仿宋" panose="02010609060101010101" charset="-122"/>
                <a:ea typeface="仿宋" panose="02010609060101010101" charset="-122"/>
                <a:cs typeface="仿宋" panose="02010609060101010101" charset="-122"/>
              </a:rPr>
              <a:t>   </a:t>
            </a:r>
            <a:endParaRPr sz="1200" b="1" i="0" u="none" strike="noStrike" baseline="0">
              <a:solidFill>
                <a:srgbClr val="595959">
                  <a:alpha val="100000"/>
                </a:srgbClr>
              </a:solidFill>
              <a:latin typeface="仿宋" panose="02010609060101010101" charset="-122"/>
              <a:ea typeface="仿宋" panose="02010609060101010101" charset="-122"/>
              <a:cs typeface="仿宋" panose="02010609060101010101" charset="-122"/>
            </a:endParaRPr>
          </a:p>
        </c:rich>
      </c:tx>
      <c:layout>
        <c:manualLayout>
          <c:xMode val="edge"/>
          <c:yMode val="edge"/>
          <c:x val="0.125138000786956"/>
          <c:y val="0.0627360248390877"/>
        </c:manualLayout>
      </c:layout>
      <c:overlay val="0"/>
      <c:spPr>
        <a:noFill/>
        <a:ln>
          <a:noFill/>
        </a:ln>
        <a:effectLst/>
      </c:spPr>
    </c:title>
    <c:autoTitleDeleted val="0"/>
    <c:plotArea>
      <c:layout>
        <c:manualLayout>
          <c:layoutTarget val="inner"/>
          <c:xMode val="edge"/>
          <c:yMode val="edge"/>
          <c:x val="0.240916271721959"/>
          <c:y val="0.188712522045855"/>
          <c:w val="0.568720379146919"/>
          <c:h val="0.634920634920635"/>
        </c:manualLayout>
      </c:layout>
      <c:pieChart>
        <c:varyColors val="1"/>
        <c:ser>
          <c:idx val="0"/>
          <c:order val="0"/>
          <c:tx>
            <c:strRef>
              <c:f>'[公报图片.xls]1GDP'!$A$2</c:f>
              <c:strCache>
                <c:ptCount val="1"/>
                <c:pt idx="0">
                  <c:v>2019年三次产业结构</c:v>
                </c:pt>
              </c:strCache>
            </c:strRef>
          </c:tx>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Pt>
            <c:idx val="2"/>
            <c:bubble3D val="0"/>
            <c:explosion val="0"/>
            <c:spPr>
              <a:solidFill>
                <a:schemeClr val="accent3"/>
              </a:solidFill>
              <a:ln w="19050">
                <a:noFill/>
              </a:ln>
              <a:effectLst/>
            </c:spPr>
          </c:dPt>
          <c:dLbls>
            <c:dLbl>
              <c:idx val="0"/>
              <c:layout>
                <c:manualLayout>
                  <c:x val="-0.0987993173228208"/>
                  <c:y val="0.19211927716114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50399148483236"/>
                      <c:h val="0.198327037236913"/>
                    </c:manualLayout>
                  </c15:layout>
                </c:ext>
              </c:extLst>
            </c:dLbl>
            <c:dLbl>
              <c:idx val="1"/>
              <c:layout>
                <c:manualLayout>
                  <c:x val="-0.226946753534784"/>
                  <c:y val="-0.143868396181035"/>
                </c:manualLayout>
              </c:layout>
              <c:tx>
                <c:rich>
                  <a:bodyPr rot="0" spcFirstLastPara="0" vertOverflow="ellipsis" vert="horz" wrap="square" lIns="38100" tIns="19050" rIns="38100" bIns="19050" anchor="ctr" anchorCtr="1"/>
                  <a:lstStyle/>
                  <a:p>
                    <a:pPr defTabSz="914400">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b="1">
                        <a:latin typeface="宋体" panose="02010600030101010101" charset="-122"/>
                        <a:ea typeface="宋体" panose="02010600030101010101" charset="-122"/>
                        <a:cs typeface="宋体" panose="02010600030101010101" charset="-122"/>
                        <a:sym typeface="宋体" panose="02010600030101010101" charset="-122"/>
                      </a:rPr>
                      <a:t>37.5%</a:t>
                    </a:r>
                    <a:endParaRPr sz="1400" b="1">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83395423097392"/>
                      <c:h val="0.198327037236913"/>
                    </c:manualLayout>
                  </c15:layout>
                </c:ext>
              </c:extLst>
            </c:dLbl>
            <c:dLbl>
              <c:idx val="2"/>
              <c:layout>
                <c:manualLayout>
                  <c:x val="0.253117767345624"/>
                  <c:y val="0.0367094269124163"/>
                </c:manualLayout>
              </c:layout>
              <c:tx>
                <c:rich>
                  <a:bodyPr rot="0" spcFirstLastPara="0" vertOverflow="ellipsis" vert="horz" wrap="square" lIns="38100" tIns="19050" rIns="38100" bIns="19050" anchor="ctr" anchorCtr="1"/>
                  <a:lstStyle/>
                  <a:p>
                    <a:pPr defTabSz="914400">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b="1">
                        <a:latin typeface="宋体" panose="02010600030101010101" charset="-122"/>
                        <a:ea typeface="宋体" panose="02010600030101010101" charset="-122"/>
                        <a:cs typeface="宋体" panose="02010600030101010101" charset="-122"/>
                        <a:sym typeface="宋体" panose="02010600030101010101" charset="-122"/>
                      </a:rPr>
                      <a:t>47.0%</a:t>
                    </a:r>
                    <a:endParaRPr sz="1400" b="1">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7317722192656"/>
                      <c:h val="0.198327037236913"/>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'[公报图片.xls]1GDP'!$B$1:$D$1</c:f>
              <c:strCache>
                <c:ptCount val="3"/>
                <c:pt idx="0">
                  <c:v>一产</c:v>
                </c:pt>
                <c:pt idx="1">
                  <c:v>二产</c:v>
                </c:pt>
                <c:pt idx="2">
                  <c:v>三产</c:v>
                </c:pt>
              </c:strCache>
            </c:strRef>
          </c:cat>
          <c:val>
            <c:numRef>
              <c:f>'[公报图片.xls]1GDP'!$B$2:$D$2</c:f>
              <c:numCache>
                <c:formatCode>0.0%</c:formatCode>
                <c:ptCount val="3"/>
                <c:pt idx="0">
                  <c:v>0.155</c:v>
                </c:pt>
                <c:pt idx="1">
                  <c:v>0.375</c:v>
                </c:pt>
                <c:pt idx="2">
                  <c:v>0.47</c:v>
                </c:pt>
              </c:numCache>
            </c:numRef>
          </c:val>
        </c:ser>
        <c:ser>
          <c:idx val="1"/>
          <c:order val="1"/>
          <c:tx>
            <c:strRef>
              <c:f>'[公报图片.xls]1GDP'!$B$1</c:f>
              <c:strCache>
                <c:ptCount val="1"/>
                <c:pt idx="0">
                  <c:v>一产</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'[公报图片.xls]1GDP'!$B$1:$D$1</c:f>
              <c:strCache>
                <c:ptCount val="3"/>
                <c:pt idx="0">
                  <c:v>一产</c:v>
                </c:pt>
                <c:pt idx="1">
                  <c:v>二产</c:v>
                </c:pt>
                <c:pt idx="2">
                  <c:v>三产</c:v>
                </c:pt>
              </c:strCache>
            </c:strRef>
          </c:cat>
          <c:val>
            <c:numRef>
              <c:f>'[公报图片.xls]1GDP'!$C$1:$D$1</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1"/>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2"/>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ayout>
        <c:manualLayout>
          <c:xMode val="edge"/>
          <c:yMode val="edge"/>
          <c:x val="0.0750394944707741"/>
          <c:y val="0.860670194003527"/>
          <c:w val="0.872827804107425"/>
          <c:h val="0.064373897707231"/>
        </c:manualLayout>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
    <c:plotVisOnly val="1"/>
    <c:dispBlanksAs val="gap"/>
    <c:showDLblsOverMax val="0"/>
  </c:chart>
  <c:spPr>
    <a:solidFill>
      <a:srgbClr val="FFFFFF"/>
    </a:solidFill>
    <a:ln w="9525" cap="flat" cmpd="sng" algn="ctr">
      <a:solidFill>
        <a:schemeClr val="tx1">
          <a:lumMod val="15000"/>
          <a:lumOff val="85000"/>
        </a:schemeClr>
      </a:solidFill>
      <a:prstDash val="solid"/>
      <a:round/>
    </a:ln>
    <a:effectLst/>
  </c:spPr>
  <c:txPr>
    <a:bodyPr wrap="square"/>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200" b="1">
                <a:latin typeface="仿宋" panose="02010609060101010101" charset="-122"/>
                <a:ea typeface="仿宋" panose="02010609060101010101" charset="-122"/>
                <a:cs typeface="仿宋" panose="02010609060101010101" charset="-122"/>
              </a:rPr>
              <a:t>图</a:t>
            </a:r>
            <a:r>
              <a:rPr lang="en-US" altLang="zh-CN" sz="1200" b="1">
                <a:latin typeface="仿宋" panose="02010609060101010101" charset="-122"/>
                <a:ea typeface="仿宋" panose="02010609060101010101" charset="-122"/>
                <a:cs typeface="仿宋" panose="02010609060101010101" charset="-122"/>
              </a:rPr>
              <a:t>2</a:t>
            </a:r>
            <a:r>
              <a:rPr altLang="en-US" sz="1200" b="1">
                <a:latin typeface="仿宋" panose="02010609060101010101" charset="-122"/>
                <a:ea typeface="仿宋" panose="02010609060101010101" charset="-122"/>
                <a:cs typeface="仿宋" panose="02010609060101010101" charset="-122"/>
              </a:rPr>
              <a:t>：</a:t>
            </a:r>
            <a:r>
              <a:rPr sz="1200" b="1">
                <a:latin typeface="仿宋" panose="02010609060101010101" charset="-122"/>
                <a:ea typeface="仿宋" panose="02010609060101010101" charset="-122"/>
                <a:cs typeface="仿宋" panose="02010609060101010101" charset="-122"/>
              </a:rPr>
              <a:t>2020年三次产业结构</a:t>
            </a:r>
            <a:endParaRPr sz="1200" b="1" i="0" u="none" strike="noStrike" baseline="0">
              <a:solidFill>
                <a:srgbClr val="595959">
                  <a:alpha val="100000"/>
                </a:srgbClr>
              </a:solidFill>
              <a:latin typeface="仿宋" panose="02010609060101010101" charset="-122"/>
              <a:ea typeface="仿宋" panose="02010609060101010101" charset="-122"/>
              <a:cs typeface="仿宋" panose="02010609060101010101" charset="-122"/>
            </a:endParaRPr>
          </a:p>
        </c:rich>
      </c:tx>
      <c:layout>
        <c:manualLayout>
          <c:xMode val="edge"/>
          <c:yMode val="edge"/>
          <c:x val="0.11581643186843"/>
          <c:y val="0.0630981880658891"/>
        </c:manualLayout>
      </c:layout>
      <c:overlay val="0"/>
      <c:spPr>
        <a:noFill/>
        <a:ln>
          <a:noFill/>
        </a:ln>
        <a:effectLst/>
      </c:spPr>
    </c:title>
    <c:autoTitleDeleted val="0"/>
    <c:plotArea>
      <c:layout>
        <c:manualLayout>
          <c:layoutTarget val="inner"/>
          <c:xMode val="edge"/>
          <c:yMode val="edge"/>
          <c:x val="0.203791469194313"/>
          <c:y val="0.177248677248677"/>
          <c:w val="0.576619273301738"/>
          <c:h val="0.64373897707231"/>
        </c:manualLayout>
      </c:layout>
      <c:pieChart>
        <c:varyColors val="1"/>
        <c:ser>
          <c:idx val="0"/>
          <c:order val="0"/>
          <c:tx>
            <c:strRef>
              <c:f>'[公报图片.xls]1GDP'!$A$3</c:f>
              <c:strCache>
                <c:ptCount val="1"/>
                <c:pt idx="0">
                  <c:v>2020年三次产业结构</c:v>
                </c:pt>
              </c:strCache>
            </c:strRef>
          </c:tx>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Pt>
            <c:idx val="2"/>
            <c:bubble3D val="0"/>
            <c:explosion val="0"/>
            <c:spPr>
              <a:solidFill>
                <a:schemeClr val="accent3"/>
              </a:solidFill>
              <a:ln w="19050">
                <a:noFill/>
              </a:ln>
              <a:effectLst/>
            </c:spPr>
          </c:dPt>
          <c:dLbls>
            <c:dLbl>
              <c:idx val="0"/>
              <c:layout>
                <c:manualLayout>
                  <c:x val="-0.103328276786517"/>
                  <c:y val="0.20109797950364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60441606810322"/>
                      <c:h val="0.198220064724919"/>
                    </c:manualLayout>
                  </c15:layout>
                </c:ext>
              </c:extLst>
            </c:dLbl>
            <c:dLbl>
              <c:idx val="1"/>
              <c:layout>
                <c:manualLayout>
                  <c:x val="-0.220981535594303"/>
                  <c:y val="-0.13740903421135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41287576483107"/>
                      <c:h val="0.198220064724919"/>
                    </c:manualLayout>
                  </c15:layout>
                </c:ext>
              </c:extLst>
            </c:dLbl>
            <c:dLbl>
              <c:idx val="2"/>
              <c:layout>
                <c:manualLayout>
                  <c:x val="0.249516083522823"/>
                  <c:y val="0.018220515412221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35967012503325"/>
                      <c:h val="0.198220064724919"/>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'[公报图片.xls]1GDP'!$B$1:$D$1</c:f>
              <c:strCache>
                <c:ptCount val="3"/>
                <c:pt idx="0">
                  <c:v>一产</c:v>
                </c:pt>
                <c:pt idx="1">
                  <c:v>二产</c:v>
                </c:pt>
                <c:pt idx="2">
                  <c:v>三产</c:v>
                </c:pt>
              </c:strCache>
            </c:strRef>
          </c:cat>
          <c:val>
            <c:numRef>
              <c:f>'[公报图片.xls]1GDP'!$B$3:$D$3</c:f>
              <c:numCache>
                <c:formatCode>0.0%</c:formatCode>
                <c:ptCount val="3"/>
                <c:pt idx="0">
                  <c:v>0.155</c:v>
                </c:pt>
                <c:pt idx="1">
                  <c:v>0.372</c:v>
                </c:pt>
                <c:pt idx="2">
                  <c:v>0.473</c:v>
                </c:pt>
              </c:numCache>
            </c:numRef>
          </c:val>
        </c:ser>
        <c:ser>
          <c:idx val="1"/>
          <c:order val="1"/>
          <c:tx>
            <c:strRef>
              <c:f>'[公报图片.xls]1GDP'!$B$1</c:f>
              <c:strCache>
                <c:ptCount val="1"/>
                <c:pt idx="0">
                  <c:v>一产</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'[公报图片.xls]1GDP'!$B$1:$D$1</c:f>
              <c:strCache>
                <c:ptCount val="3"/>
                <c:pt idx="0">
                  <c:v>一产</c:v>
                </c:pt>
                <c:pt idx="1">
                  <c:v>二产</c:v>
                </c:pt>
                <c:pt idx="2">
                  <c:v>三产</c:v>
                </c:pt>
              </c:strCache>
            </c:strRef>
          </c:cat>
          <c:val>
            <c:numRef>
              <c:f>'[公报图片.xls]1GDP'!$C$1:$D$1</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1"/>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2"/>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ayout>
        <c:manualLayout>
          <c:xMode val="edge"/>
          <c:yMode val="edge"/>
          <c:x val="0.132701421800948"/>
          <c:y val="0.851557907113463"/>
          <c:w val="0.750394944707741"/>
          <c:h val="0.0734861845972957"/>
        </c:manualLayout>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
    <c:plotVisOnly val="1"/>
    <c:dispBlanksAs val="gap"/>
    <c:showDLblsOverMax val="0"/>
  </c:chart>
  <c:spPr>
    <a:solidFill>
      <a:srgbClr val="FFFFFF"/>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latin typeface="仿宋" panose="02010609060101010101" charset="-122"/>
                <a:ea typeface="仿宋" panose="02010609060101010101" charset="-122"/>
                <a:cs typeface="仿宋" panose="02010609060101010101" charset="-122"/>
              </a:rPr>
              <a:t>图</a:t>
            </a:r>
            <a:r>
              <a:rPr lang="en-US" altLang="zh-CN" sz="1600">
                <a:latin typeface="仿宋" panose="02010609060101010101" charset="-122"/>
                <a:ea typeface="仿宋" panose="02010609060101010101" charset="-122"/>
                <a:cs typeface="仿宋" panose="02010609060101010101" charset="-122"/>
              </a:rPr>
              <a:t>3</a:t>
            </a:r>
            <a:r>
              <a:rPr altLang="en-US" sz="1600">
                <a:latin typeface="仿宋" panose="02010609060101010101" charset="-122"/>
                <a:ea typeface="仿宋" panose="02010609060101010101" charset="-122"/>
                <a:cs typeface="仿宋" panose="02010609060101010101" charset="-122"/>
              </a:rPr>
              <a:t>：</a:t>
            </a:r>
            <a:r>
              <a:rPr sz="1600">
                <a:latin typeface="仿宋" panose="02010609060101010101" charset="-122"/>
                <a:ea typeface="仿宋" panose="02010609060101010101" charset="-122"/>
                <a:cs typeface="仿宋" panose="02010609060101010101" charset="-122"/>
              </a:rPr>
              <a:t>2020年固定资产投资构成</a:t>
            </a:r>
            <a:endParaRPr sz="16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endParaRPr>
          </a:p>
        </c:rich>
      </c:tx>
      <c:layout>
        <c:manualLayout>
          <c:xMode val="edge"/>
          <c:yMode val="edge"/>
          <c:x val="0.213245950651912"/>
          <c:y val="0.0431852953109231"/>
        </c:manualLayout>
      </c:layout>
      <c:overlay val="0"/>
      <c:spPr>
        <a:noFill/>
        <a:ln>
          <a:noFill/>
        </a:ln>
        <a:effectLst/>
      </c:spPr>
    </c:title>
    <c:autoTitleDeleted val="0"/>
    <c:view3D>
      <c:rotX val="30"/>
      <c:rotY val="45"/>
      <c:depthPercent val="100"/>
      <c:rAngAx val="0"/>
      <c:perspective val="30"/>
    </c:view3D>
    <c:floor>
      <c:thickness val="0"/>
    </c:floor>
    <c:sideWall>
      <c:thickness val="0"/>
    </c:sideWall>
    <c:backWall>
      <c:thickness val="0"/>
    </c:backWall>
    <c:plotArea>
      <c:layout>
        <c:manualLayout>
          <c:layoutTarget val="inner"/>
          <c:xMode val="edge"/>
          <c:yMode val="edge"/>
          <c:x val="0.00359798512832814"/>
          <c:y val="0.0055005500550055"/>
          <c:w val="0.992804029743344"/>
          <c:h val="0.988998899889989"/>
        </c:manualLayout>
      </c:layout>
      <c:pie3DChart>
        <c:varyColors val="1"/>
        <c:ser>
          <c:idx val="0"/>
          <c:order val="0"/>
          <c:tx>
            <c:strRef>
              <c:f>'[公报图片.xls]3投资'!$A$2</c:f>
              <c:strCache>
                <c:ptCount val="1"/>
                <c:pt idx="0">
                  <c:v>2020年固定资产投资构成</c:v>
                </c:pt>
              </c:strCache>
            </c:strRef>
          </c:tx>
          <c:spPr>
            <a:solidFill>
              <a:schemeClr val="accent1"/>
            </a:solidFill>
          </c:spPr>
          <c:explosion val="0"/>
          <c:dPt>
            <c:idx val="0"/>
            <c:bubble3D val="0"/>
            <c:explosion val="70"/>
            <c:spPr>
              <a:solidFill>
                <a:schemeClr val="accent2"/>
              </a:solidFill>
              <a:ln w="25400">
                <a:solidFill>
                  <a:srgbClr val="FFFFFF"/>
                </a:solidFill>
              </a:ln>
              <a:effectLst/>
            </c:spPr>
          </c:dPt>
          <c:dPt>
            <c:idx val="1"/>
            <c:bubble3D val="0"/>
            <c:explosion val="28"/>
            <c:spPr>
              <a:solidFill>
                <a:schemeClr val="accent1">
                  <a:lumMod val="75000"/>
                </a:schemeClr>
              </a:solidFill>
              <a:ln w="25400">
                <a:solidFill>
                  <a:srgbClr val="FFFFFF"/>
                </a:solidFill>
              </a:ln>
              <a:effectLst/>
            </c:spPr>
          </c:dPt>
          <c:dPt>
            <c:idx val="2"/>
            <c:bubble3D val="0"/>
            <c:explosion val="0"/>
            <c:spPr>
              <a:solidFill>
                <a:schemeClr val="bg1">
                  <a:lumMod val="50000"/>
                </a:schemeClr>
              </a:solidFill>
              <a:ln w="25400">
                <a:solidFill>
                  <a:srgbClr val="FFFFFF"/>
                </a:solidFill>
              </a:ln>
              <a:effectLst/>
            </c:spPr>
          </c:dPt>
          <c:dLbls>
            <c:dLbl>
              <c:idx val="0"/>
              <c:layout>
                <c:manualLayout>
                  <c:x val="0"/>
                  <c:y val="0.0016002133617815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'[公报图片.xls]3投资'!$B$1:$D$1</c:f>
              <c:strCache>
                <c:ptCount val="3"/>
                <c:pt idx="0">
                  <c:v>第一产业</c:v>
                </c:pt>
                <c:pt idx="1">
                  <c:v>第二产业</c:v>
                </c:pt>
                <c:pt idx="2">
                  <c:v>第三产业</c:v>
                </c:pt>
              </c:strCache>
            </c:strRef>
          </c:cat>
          <c:val>
            <c:numRef>
              <c:f>'[公报图片.xls]3投资'!$B$2:$D$2</c:f>
              <c:numCache>
                <c:formatCode>0.0%</c:formatCode>
                <c:ptCount val="3"/>
                <c:pt idx="0">
                  <c:v>0.002</c:v>
                </c:pt>
                <c:pt idx="1">
                  <c:v>0.277</c:v>
                </c:pt>
                <c:pt idx="2">
                  <c:v>0.721</c:v>
                </c:pt>
              </c:numCache>
            </c:numRef>
          </c:val>
        </c:ser>
        <c:dLbls>
          <c:showLegendKey val="0"/>
          <c:showVal val="0"/>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ayout>
        <c:manualLayout>
          <c:xMode val="edge"/>
          <c:yMode val="edge"/>
          <c:x val="0.334391940513313"/>
          <c:y val="0.793113647767185"/>
          <c:w val="0.35975"/>
          <c:h val="0.07075"/>
        </c:manualLayout>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
    <c:plotVisOnly val="1"/>
    <c:dispBlanksAs val="gap"/>
    <c:showDLblsOverMax val="0"/>
  </c:chart>
  <c:spPr>
    <a:solidFill>
      <a:srgbClr val="FFFFFF"/>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0" i="0" u="none" strike="noStrike" baseline="0">
                <a:solidFill>
                  <a:srgbClr val="333333"/>
                </a:solidFill>
                <a:latin typeface="仿宋" panose="02010609060101010101" charset="-122"/>
                <a:ea typeface="仿宋" panose="02010609060101010101" charset="-122"/>
                <a:cs typeface="仿宋" panose="02010609060101010101" charset="-122"/>
              </a:rPr>
              <a:t>图</a:t>
            </a:r>
            <a:r>
              <a:rPr lang="en-US" altLang="zh-CN" b="0" i="0" u="none" strike="noStrike" baseline="0">
                <a:solidFill>
                  <a:srgbClr val="333333"/>
                </a:solidFill>
                <a:latin typeface="仿宋" panose="02010609060101010101" charset="-122"/>
                <a:ea typeface="仿宋" panose="02010609060101010101" charset="-122"/>
                <a:cs typeface="仿宋" panose="02010609060101010101" charset="-122"/>
              </a:rPr>
              <a:t>4</a:t>
            </a:r>
            <a:r>
              <a:rPr altLang="en-US" b="0" i="0" u="none" strike="noStrike" baseline="0">
                <a:solidFill>
                  <a:srgbClr val="333333"/>
                </a:solidFill>
                <a:latin typeface="仿宋" panose="02010609060101010101" charset="-122"/>
                <a:ea typeface="仿宋" panose="02010609060101010101" charset="-122"/>
                <a:cs typeface="仿宋" panose="02010609060101010101" charset="-122"/>
              </a:rPr>
              <a:t>：</a:t>
            </a:r>
            <a:r>
              <a:rPr lang="en-US" altLang="zh-CN" sz="1600" b="0" i="0" u="none" strike="noStrike" baseline="0">
                <a:solidFill>
                  <a:srgbClr val="333333"/>
                </a:solidFill>
                <a:latin typeface="仿宋" panose="02010609060101010101" charset="-122"/>
                <a:ea typeface="仿宋" panose="02010609060101010101" charset="-122"/>
                <a:cs typeface="仿宋" panose="02010609060101010101" charset="-122"/>
              </a:rPr>
              <a:t>2016-2020</a:t>
            </a:r>
            <a:r>
              <a:rPr altLang="en-US" sz="1600" b="0" i="0" u="none" strike="noStrike" baseline="0">
                <a:solidFill>
                  <a:srgbClr val="333333"/>
                </a:solidFill>
                <a:latin typeface="仿宋" panose="02010609060101010101" charset="-122"/>
                <a:ea typeface="仿宋" panose="02010609060101010101" charset="-122"/>
                <a:cs typeface="仿宋" panose="02010609060101010101" charset="-122"/>
              </a:rPr>
              <a:t>年居民人均可支配收入</a:t>
            </a:r>
            <a:endParaRPr altLang="en-US" sz="1600" b="0" i="0" u="none" strike="noStrike" baseline="0">
              <a:solidFill>
                <a:srgbClr val="000000"/>
              </a:solidFill>
              <a:latin typeface="仿宋" panose="02010609060101010101" charset="-122"/>
              <a:ea typeface="仿宋" panose="02010609060101010101" charset="-122"/>
              <a:cs typeface="仿宋"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'[公报图片.xls]4居民人均可支配收入'!$B$1</c:f>
              <c:strCache>
                <c:ptCount val="1"/>
                <c:pt idx="0">
                  <c:v>居民人均可支配收入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'[公报图片.xls]4居民人均可支配收入'!$A$2:$A$6</c:f>
              <c:numCache>
                <c:formatCode>General</c:formatCode>
                <c:ptCount val="5"/>
                <c:pt idx="0">
                  <c:v>2016</c:v>
                </c:pt>
                <c:pt idx="1">
                  <c:v>2017</c:v>
                </c:pt>
                <c:pt idx="2">
                  <c:v>2018</c:v>
                </c:pt>
                <c:pt idx="3">
                  <c:v>2019</c:v>
                </c:pt>
                <c:pt idx="4">
                  <c:v>2020</c:v>
                </c:pt>
              </c:numCache>
            </c:numRef>
          </c:cat>
          <c:val>
            <c:numRef>
              <c:f>('[公报图片.xls]4居民人均可支配收入'!$B$2,'[公报图片.xls]4居民人均可支配收入'!$B$3,'[公报图片.xls]4居民人均可支配收入'!$B$4,'[公报图片.xls]4居民人均可支配收入'!$B$5,'[公报图片.xls]4居民人均可支配收入'!$B$6)</c:f>
              <c:numCache>
                <c:formatCode>0_ </c:formatCode>
                <c:ptCount val="5"/>
                <c:pt idx="0">
                  <c:v>13176</c:v>
                </c:pt>
                <c:pt idx="1">
                  <c:v>14484</c:v>
                </c:pt>
                <c:pt idx="2">
                  <c:v>16067</c:v>
                </c:pt>
                <c:pt idx="3">
                  <c:v>17414</c:v>
                </c:pt>
                <c:pt idx="4">
                  <c:v>18204</c:v>
                </c:pt>
              </c:numCache>
            </c:numRef>
          </c:val>
        </c:ser>
        <c:ser>
          <c:idx val="1"/>
          <c:order val="1"/>
          <c:tx>
            <c:strRef>
              <c:f>'[公报图片.xls]4居民人均可支配收入'!$C$1</c:f>
              <c:strCache>
                <c:ptCount val="1"/>
                <c:pt idx="0">
                  <c:v>城镇居民人均可支配收入</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'[公报图片.xls]4居民人均可支配收入'!$A$2:$A$6</c:f>
              <c:numCache>
                <c:formatCode>General</c:formatCode>
                <c:ptCount val="5"/>
                <c:pt idx="0">
                  <c:v>2016</c:v>
                </c:pt>
                <c:pt idx="1">
                  <c:v>2017</c:v>
                </c:pt>
                <c:pt idx="2">
                  <c:v>2018</c:v>
                </c:pt>
                <c:pt idx="3">
                  <c:v>2019</c:v>
                </c:pt>
                <c:pt idx="4">
                  <c:v>2020</c:v>
                </c:pt>
              </c:numCache>
            </c:numRef>
          </c:cat>
          <c:val>
            <c:numRef>
              <c:f>('[公报图片.xls]4居民人均可支配收入'!$C$2,'[公报图片.xls]4居民人均可支配收入'!$C$3,'[公报图片.xls]4居民人均可支配收入'!$C$4,'[公报图片.xls]4居民人均可支配收入'!$C$5,'[公报图片.xls]4居民人均可支配收入'!$C$6)</c:f>
              <c:numCache>
                <c:formatCode>0_ </c:formatCode>
                <c:ptCount val="5"/>
                <c:pt idx="0">
                  <c:v>18957</c:v>
                </c:pt>
                <c:pt idx="1">
                  <c:v>20606</c:v>
                </c:pt>
                <c:pt idx="2">
                  <c:v>22139</c:v>
                </c:pt>
                <c:pt idx="3">
                  <c:v>23556</c:v>
                </c:pt>
                <c:pt idx="4">
                  <c:v>24192</c:v>
                </c:pt>
              </c:numCache>
            </c:numRef>
          </c:val>
        </c:ser>
        <c:ser>
          <c:idx val="2"/>
          <c:order val="2"/>
          <c:tx>
            <c:strRef>
              <c:f>'[公报图片.xls]4居民人均可支配收入'!$D$1</c:f>
              <c:strCache>
                <c:ptCount val="1"/>
                <c:pt idx="0">
                  <c:v>农村居民人均可支配收入</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'[公报图片.xls]4居民人均可支配收入'!$A$2:$A$6</c:f>
              <c:numCache>
                <c:formatCode>General</c:formatCode>
                <c:ptCount val="5"/>
                <c:pt idx="0">
                  <c:v>2016</c:v>
                </c:pt>
                <c:pt idx="1">
                  <c:v>2017</c:v>
                </c:pt>
                <c:pt idx="2">
                  <c:v>2018</c:v>
                </c:pt>
                <c:pt idx="3">
                  <c:v>2019</c:v>
                </c:pt>
                <c:pt idx="4">
                  <c:v>2020</c:v>
                </c:pt>
              </c:numCache>
            </c:numRef>
          </c:cat>
          <c:val>
            <c:numRef>
              <c:f>('[公报图片.xls]4居民人均可支配收入'!$D$2,'[公报图片.xls]4居民人均可支配收入'!$D$3,'[公报图片.xls]4居民人均可支配收入'!$D$4,'[公报图片.xls]4居民人均可支配收入'!$D$5,'[公报图片.xls]4居民人均可支配收入'!$D$6)</c:f>
              <c:numCache>
                <c:formatCode>0_ </c:formatCode>
                <c:ptCount val="5"/>
                <c:pt idx="0">
                  <c:v>11080</c:v>
                </c:pt>
                <c:pt idx="1">
                  <c:v>12061</c:v>
                </c:pt>
                <c:pt idx="2">
                  <c:v>13115</c:v>
                </c:pt>
                <c:pt idx="3">
                  <c:v>14348</c:v>
                </c:pt>
                <c:pt idx="4">
                  <c:v>15180</c:v>
                </c:pt>
              </c:numCache>
            </c:numRef>
          </c:val>
        </c:ser>
        <c:dLbls>
          <c:showLegendKey val="0"/>
          <c:showVal val="0"/>
          <c:showCatName val="0"/>
          <c:showSerName val="0"/>
          <c:showPercent val="0"/>
          <c:showBubbleSize val="0"/>
        </c:dLbls>
        <c:gapWidth val="219"/>
        <c:overlap val="-27"/>
        <c:axId val="246446906"/>
        <c:axId val="549362500"/>
      </c:barChart>
      <c:catAx>
        <c:axId val="24644690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9362500"/>
        <c:crosses val="autoZero"/>
        <c:auto val="1"/>
        <c:lblAlgn val="ctr"/>
        <c:lblOffset val="100"/>
        <c:noMultiLvlLbl val="0"/>
      </c:catAx>
      <c:valAx>
        <c:axId val="5493625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44690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ayout>
        <c:manualLayout>
          <c:xMode val="edge"/>
          <c:yMode val="edge"/>
          <c:x val="0.126969347402977"/>
          <c:y val="0.912378296103352"/>
          <c:w val="0.788834951456311"/>
          <c:h val="0.065287558685446"/>
        </c:manualLayout>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
    <c:plotVisOnly val="1"/>
    <c:dispBlanksAs val="gap"/>
    <c:showDLblsOverMax val="0"/>
  </c:chart>
  <c:spPr>
    <a:solidFill>
      <a:srgbClr val="FFFFFF"/>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0.02325</cdr:x>
      <cdr:y>0.02275</cdr:y>
    </cdr:from>
    <cdr:to>
      <cdr:x>0.07175</cdr:x>
      <cdr:y>0.117</cdr:y>
    </cdr:to>
    <cdr:sp>
      <cdr:nvSpPr>
        <cdr:cNvPr id="2" name="矩形 1"/>
        <cdr:cNvSpPr/>
      </cdr:nvSpPr>
      <cdr:spPr xmlns:a="http://schemas.openxmlformats.org/drawingml/2006/main">
        <a:xfrm xmlns:a="http://schemas.openxmlformats.org/drawingml/2006/main">
          <a:off x="138646" y="67262"/>
          <a:ext cx="289219" cy="278656"/>
        </a:xfrm>
        <a:prstGeom xmlns:a="http://schemas.openxmlformats.org/drawingml/2006/main" prst="rect">
          <a:avLst/>
        </a:prstGeom>
        <a:noFill/>
        <a:ln w="9525">
          <a:noFill/>
        </a:ln>
      </cdr:spPr>
    </cdr:sp>
  </cdr:relSizeAnchor>
  <cdr:relSizeAnchor xmlns:cdr="http://schemas.openxmlformats.org/drawingml/2006/chartDrawing">
    <cdr:from>
      <cdr:x>0.0170285227756492</cdr:x>
      <cdr:y>0.0534591194968553</cdr:y>
    </cdr:from>
    <cdr:to>
      <cdr:x>0.101319710515113</cdr:x>
      <cdr:y>0.118317610062893</cdr:y>
    </cdr:to>
    <cdr:sp>
      <cdr:nvSpPr>
        <cdr:cNvPr id="3" name="矩形 2"/>
        <cdr:cNvSpPr/>
      </cdr:nvSpPr>
      <cdr:spPr xmlns:a="http://schemas.openxmlformats.org/drawingml/2006/main">
        <a:xfrm xmlns:a="http://schemas.openxmlformats.org/drawingml/2006/main">
          <a:off x="101546" y="158055"/>
          <a:ext cx="502652" cy="191758"/>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900"/>
            <a:t>元</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2020-03-19T01:17:00Z</dcterms:created>
  <dc:creator>Administrator</dc:creator>
  <cp:lastModifiedBy>Administrator</cp:lastModifiedBy>
  <cp:lastPrinted>2021-04-09T03:26:00Z</cp:lastPrinted>
  <dcterms:modified xsi:type="dcterms:W3CDTF">2021-08-03T02:44:45Z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2EE7481703FC4C93A5A03977120CA40B</vt:lpwstr>
  </property>
</Properties>
</file>