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2021年山亭区国民经济和社会发展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山亭区统计局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（2022年4月3日）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2021年，值“两个一百年”交汇之年、“十四五”开局之年，全区上下坚持以习近平新时代中国特色社会主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义思想为指导，在区委、区政府的坚强领导下，大力实施“工业强区、产业兴区”战略，全力构建“7+3”现代产业体系，扎实推进三年攻坚突破行动，科学谋划、统筹推进疫情防控和经济社会发展，全区经济运行稳中有进、持续向好，大步向高质量发展挺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13"/>
          <w:szCs w:val="13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经济运行稳中向好。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市级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生产总值统一核算结果，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实现地区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生产总值128.11亿元，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按可比价格计算，同比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增长7.0%，两年平均增长6.5%。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分产业看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，第一产业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增加值20.41亿元，同比增长7.7%，两年平均增长4.8%；第二产业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增加值45.90亿元，同比增长1.4%，两年平均增长3.7%；第三产业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实现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增加值61.80亿元，同比增长11.1%，两年平均增长9.2%。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三次产业结构为16.0:35.8:48.2。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42055" cy="2362200"/>
            <wp:effectExtent l="0" t="0" r="0" b="0"/>
            <wp:docPr id="4" name="图片 4" descr="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页"/>
                    <pic:cNvPicPr>
                      <a:picLocks noChangeAspect="1"/>
                    </pic:cNvPicPr>
                  </pic:nvPicPr>
                  <pic:blipFill>
                    <a:blip r:embed="rId5"/>
                    <a:srcRect l="15040" r="14192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物价保持在合理区间。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居民消费价格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上涨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%。其中,服务价格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消费品价格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分别上升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1.5%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rPr>
          <w:rFonts w:hint="eastAsia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714"/>
        <w:gridCol w:w="17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 1 . 居 民 消 费 价 格 指 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（以上年为100）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 月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  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居民消费价格总指数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101.2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服务价格指数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消费品价格指数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102.1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食品烟酒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101.6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#粮食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104.6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鲜菜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110.7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衣着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100.2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生活用品及服务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交通通信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104.5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教育文化娱乐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101.4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医疗保健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101.4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5" w:type="pct"/>
            <w:tcBorders>
              <w:tl2br w:val="nil"/>
              <w:tr2bl w:val="nil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其他用品及服务</w:t>
            </w:r>
          </w:p>
        </w:tc>
        <w:tc>
          <w:tcPr>
            <w:tcW w:w="1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 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580" w:lineRule="exact"/>
        <w:ind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人口规模保持平稳。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年末，全区公安户籍人口53.24万人，其中，乡村人口39.99万人，城镇人口13.25万人。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580" w:lineRule="exact"/>
        <w:ind w:left="-1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重点战略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“工业强区、产业兴区”成效初显。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全区实现全部工业增加值36.67亿元，按可比价计算，同比增长5.6%。规上工业营业收入实现90.05亿元，同比增长18.2%；规上工业利润总额达6.51亿元。新增规上工业企业14家，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新获批省级瞪羚企业5家，省、市级专精特新企业14家，省、市级“一企一技术”研发中心4家。华润纸业、天畅环保、润品源食品、欧乐食品、同泰维润5家企业成功入选山东省高端品牌培育企业；“山亭火樱桃”被确定为2021年全省地理标志运用促进工程重点项目，为全市唯一入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新旧动能转换持续推进。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区实施“双千”工程项目53个，总投资43.7亿元，完成投资9.1亿元，其中，投资过亿元项目17个，已开工项目47个。制造业技改项目30个，制造业技改投资同比增长21.5%。持续推进新动能培育，“四新”投资项目55个，“四新”投资额占投资总额的比重达46.3%。新获批高新技术企业10家，共28家，较去年同期增长12.0%；高新技术产值同比增长8.1%，占规模以上工业总产值的比重为34.4%。高端智能行业发展迅速，计算机、通信和电子设备制造业增加值同比增长88.2%。现代服务业稳健发展，现代服务业增加值可比价同比增长10.5%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乡村振兴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扎实推进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建成果品标准化示范园44个，新增干鲜果品标准化示范点8个。有备案农科驿站29家，占全市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总数的</w:t>
      </w:r>
      <w:r>
        <w:rPr>
          <w:rFonts w:hint="eastAsia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一半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。科技特派员92人，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组织线上线下科技助农活动30余场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新增国家级农产品仓储保鲜设施建设补贴项目4个，智慧农业应用基地2个，信息进村入户工程完成254个益农社建设。新创建美丽乡村示范村34个，其中新创建省级示范村2个，市级示范村6个。发展农民合作社1070家、家庭农场545家、种养大户及农业企业300余家，各类新型农业经营主体累计达到1923家，规模经营土地面积28.5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“两新一重”建设提速加力。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区建成5G基站218处，已开通213处，实现城区5G网络连续覆盖、城区和乡镇驻地5G网络初步覆盖。建成工业互联网平台4个，“上云用云”企业达195家。大力提升新型城镇化建设，常住人口城镇化率达到39.9%，较上年提高1.44个百分点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建成母婴室27处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。体育场地人均达到2.6平方米。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经济开发区基础设施配套建设（“六网一厂”）一期管廊主体完成5.15公里。铺设供热管网5.1公里。枣庄机场前期各项工作进展顺利；临滕高速已完成工程施工招标，试验段已开工建设；投资1.5亿元、全长17.6公里的环翼云湖旅游道路竣工通车；完成庄里水库道路复建工程11公里，桥梁9座；11座病险水库除险加固项目全面开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绿色发展成效显著。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全区万元GDP能耗同比下降4.8%。新能源和可再生能源发电装机容量71.08万千瓦，占电力装机总容量的比重为95.79%。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环境空气中细颗粒物（PM2.5)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可吸入颗粒物（PM10)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二氧化硫(SO2)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臭氧浓度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达到41ug/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m³、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69ug/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m³、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12ug/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m³、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174ug/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m³，</w:t>
      </w:r>
      <w:r>
        <w:rPr>
          <w:rFonts w:hint="eastAsia" w:hAnsi="仿宋_GB2312" w:cs="仿宋_GB2312"/>
          <w:bCs/>
          <w:color w:val="auto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同比改善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19.6%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14.8%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14.3%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2.8%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。环境空气质量综合指数4.28，同比改善11.2%，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年度空气质量优良天数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平均比例71.0%，同比改善13.0个百分点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hAnsi="仿宋_GB2312" w:cs="仿宋_GB2312"/>
          <w:bCs/>
          <w:color w:val="auto"/>
          <w:sz w:val="32"/>
          <w:szCs w:val="32"/>
          <w:lang w:val="en-US" w:eastAsia="zh-CN"/>
        </w:rPr>
        <w:t>大力实施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“山水林田大会战”，加快6处破损山体生态修复；排查入河排污口660个，2个水质考核断面均达到二类水质标准；</w:t>
      </w:r>
      <w:r>
        <w:rPr>
          <w:rFonts w:hint="eastAsia" w:hAnsi="仿宋_GB2312" w:cs="仿宋_GB2312"/>
          <w:bCs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造林面积8837亩。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1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改革与创新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重点领域改革有序推进。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基本完成国企改革三年行动总任务的75.0%。区属一级企业对所出资企业混合所有制改革研究评估工作已完成100.0%。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累计帮助44家企业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54个项目办理不动产权证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约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68万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，盘活资产近50亿元。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营商环境持续优化。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大力深化“放管服”改革，实现1172个事项“一次办好”、1068个事项“零跑腿”、96个事项“秒批秒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/>
          <w:lang w:val="en-US" w:eastAsia="zh-CN" w:bidi="ar-SA"/>
        </w:rPr>
        <w:t>办”。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打出“援企稳岗”组合拳，为90家企业发放稳岗补贴43.74万元，惠及职工4335人。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积极推广“信e担”、“银税互动”、“科创贷”等金融创新贷款产品，累计发放信用类、政策类贷款3.26亿元。切实落实减税降费政策，征前减免超过3亿元，退库减免近5000万元。市场活力不断释放，新登记市场主体4771家，同比增长3.2%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创新战略全面实施。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发明专利授权31件，有效发明专利拥有量达146件，同比增长6.6%。获批65家国家级科技中小型企业，1家市级科技企业孵化器，4家市级技术创新中心，4家市级新型研发机构，8家市级重点实验室，45家市级科技中小型企业。柔性引进2名国家级高层次人才，博雷顿（山东）新能源汽车有限公司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山东龙泰友和建材科技有限公司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2家企业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入选科技创业类枣庄英才。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农业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农业生产基本稳定。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全区实现农林牧渔业增加值22.20亿元，按可比价计算，</w:t>
      </w:r>
      <w:r>
        <w:rPr>
          <w:rFonts w:hint="eastAsia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7.7%。其中，农业增加值实现15.18亿元，同比增长4.9%；林业增加值实现0.19亿元，同比增长9.5%；牧业增加值实现4.52亿元，同比增长19.9%；渔业增加值实现0.51亿元，同比下降14.9%；农林牧渔服务业增加值实现1.79亿元，同比增长7.5%。</w:t>
      </w:r>
    </w:p>
    <w:tbl>
      <w:tblPr>
        <w:tblStyle w:val="9"/>
        <w:tblW w:w="4808" w:type="pct"/>
        <w:tblInd w:w="14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299"/>
        <w:gridCol w:w="14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E7E6E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 . 2021年农林牧渔业增加值及增长速度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E7E6E6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E7E6E6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绝对值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E7E6E6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（亿元）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E7E6E6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同比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农林牧渔业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农  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15.18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林  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0.19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牧  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4.52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渔  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0.51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-14.9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农林牧渔专业及辅助性活动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粮食播种面积、产量双增长。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粮食播种面积2.43万公顷，</w:t>
      </w:r>
      <w:r>
        <w:rPr>
          <w:rFonts w:hint="eastAsia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0.9%；粮食总产量14.73万吨，同比增长1.0%。其中，夏粮总产量5.91万吨，同比增长3.2%；秋粮总产量8.82万吨，同比下降0.5%。年末生猪存栏达7.13万头，同比增长29.6%。水果总产量12.28万吨，同比下降0.3%。水产品总产量0.47万吨，同比增长4.4%。设施农业占地面积发展到2872.73公顷，畜牧养殖大户发展到21家。</w:t>
      </w:r>
    </w:p>
    <w:tbl>
      <w:tblPr>
        <w:tblStyle w:val="9"/>
        <w:tblW w:w="4858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73"/>
        <w:gridCol w:w="1316"/>
        <w:gridCol w:w="15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E7E6E6" w:themeFill="background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 . 主 要 农 产 品 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7E6E6" w:themeFill="background2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品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7E6E6" w:themeFill="background2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7E6E6" w:themeFill="background2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  量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7E6E6" w:themeFill="background2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同比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食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花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656.11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-16.4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22.07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12.28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品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4.4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工业发展总体稳定。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规模以上工业增加值同比增长4.8%，两年平均增长9.9%，增速远超全国、全省。重点行业较快增长，在统的19个行业大类中10个行业增加值实现增长，增长面为52.6%。从重点行业看，农副食品加工业、食品制造业及造纸和纸制品业三行业增加值分别增长24.3%、21.3%、6.4%。制造业拉动贡献突出，规模以上制造业增加值同比增长6.9%，高于全区规模以上工业增加值增速2.1个百分点，拉动全区规模以上工业增加值增长6.4个百分点。民营工业企业发展焕发活力，规上民营工业实现增加值同比增长12.4%，增速高于规模以上工业7.6个百分点。21种主要工业产品中，10种产品产量较上年实现增长，增长面为47.6%。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225"/>
        <w:gridCol w:w="1020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 4 . 主 要 工 业 产 品 产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49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品 名 称</w:t>
            </w:r>
          </w:p>
        </w:tc>
        <w:tc>
          <w:tcPr>
            <w:tcW w:w="1040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 量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116.53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23.39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件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281.78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工商用制冷、空调设备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台（套）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吨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162.77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4874.1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冻肉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19671.35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9823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9140.98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14178.04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纤维增强塑料制品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硅酸盐水泥熟料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122.85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吨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53.44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41363.1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鲜、冷藏肉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81851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 方 米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26250.39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隔热、隔音人造矿物材料及其制品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16134.3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改装汽车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焙烤松脆食品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建筑工程用机械</w:t>
            </w:r>
          </w:p>
        </w:tc>
        <w:tc>
          <w:tcPr>
            <w:tcW w:w="10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42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278.1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建筑业稳步增长。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具有总承包和专业承包资质的有工作量建筑业企业15家，实现建筑业总产值7.98亿元，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增长10.3%。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六、固定资产投资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投资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结构持续优化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固定资产投资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下降25.0%，三次产业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结构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为0.1：36.0：63.9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，工业投资占比同比提高8.3个百分点，工业支撑作用逐步增强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。重点领域中，民间投资占全部投资的比重达43.2%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，同比提高4.1个百分点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；制造业技改投资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增长21.5%。</w:t>
      </w:r>
    </w:p>
    <w:p>
      <w:pPr>
        <w:pStyle w:val="8"/>
        <w:numPr>
          <w:ilvl w:val="0"/>
          <w:numId w:val="0"/>
        </w:num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636645" cy="2915920"/>
            <wp:effectExtent l="0" t="0" r="0" b="0"/>
            <wp:docPr id="5" name="图片 5" descr="9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页"/>
                    <pic:cNvPicPr>
                      <a:picLocks noChangeAspect="1"/>
                    </pic:cNvPicPr>
                  </pic:nvPicPr>
                  <pic:blipFill>
                    <a:blip r:embed="rId6"/>
                    <a:srcRect l="6781" r="5086"/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18"/>
          <w:szCs w:val="1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房地产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市场平稳运行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房地产开发完成投资额9.15亿元，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占固定资产投资的比重为22.3%，同比下降3.7个百分点，投资整体对房地产开发的依赖性逐步降低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。商品房销售面积14.98万平方米，同比下降3.7%。商品房销售额8.82亿元，同比下降9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.0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七、服务业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服务业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拉动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有力。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服务业实现增加值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61.80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亿元，按可比价格计算，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11.1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，增幅高于GDP增幅4.1个百分点。服务业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占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地区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生产总值的比重为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48.2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提高4.1个百分点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；对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GDP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增长的贡献率为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75.2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，拉动GDP增长5.3个百分点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。规模以上服务业营业收入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32.6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旅游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事业蓬勃发展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成功创建葫芦套风景区、翼龙湾柜族部落、活力李庄旅游景区3家国家3A级景区，A级景区总数达到14家。八路军抱犊崮抗日纪念园获批第三批省级中小学生研学基地。葫芦套村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石嘴子村、李庄村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6个村列入首批和第二批山东省景区化村庄名录库。李庄村入选省级乡村旅游重点村，冯卯镇入选省级旅游民宿集聚区创建单位。王家湾村、徐葫芦套村入选山东省红色文化特色村培育创建名单。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邮政业务保持稳定。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邮政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行业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业务总收入6897.44万元，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增长8.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%。国内函件业务量1.04万件，同比下降6.4%；国内包裹业务量159.46万件，同比增长22.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交通体系逐步健全。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年末全区公路通车总里程1705.2公里，密度为167.5公里/百平方公里。其中，高速路2条35.7公里，国道1条55.9公里，省道6条121.1公里，县道15条179.5公里，乡道37条226.5公里，专用路4条10公里，村道1920条1076.5公里。新投资0.7亿元，改建农村公路67.1公里；完成农村公路安防30.7公里；农村公路养护维修104公里；打造美丽公路157.6公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八、国内外贸易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消费市场潜能持续释放。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全区社会消费品零售总额85.75亿元，同比增长15.2%，两年平均增长5.4%。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其中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限额以上单位零售额同比增长19.4%，两年平均增长8.3%。分行业看，限额以上批发业销售额同比增长18.0%，限额以上零售业销售额同比增长13.7%，限额以上住宿业营业额同比增长15.4%，限额以上餐饮业营业额同比增长29.2%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利用外资稳步提升。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实际利用外资2052万美元，同比增长24.0%。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其中，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日韩资600万美元，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占实际利用外资的比重为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29.2%。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九、财税金融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财政运行保障稳固。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财政总收入完成9.92亿元，同比增长14.1%；地方财政收入完成7.56亿元，同比增长21.9%。其中，税收收入完成5.94亿元，同比增长4.0%，占地方财政收入的78.6%。地方财政支出完成24.27亿元，同比下降8.5%。其中，民生支出完成19.99亿元，占一般公共预算支出的比重为82.4%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625215" cy="3752215"/>
            <wp:effectExtent l="0" t="0" r="0" b="0"/>
            <wp:docPr id="6" name="图片 6" descr="1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页"/>
                    <pic:cNvPicPr>
                      <a:picLocks noChangeAspect="1"/>
                    </pic:cNvPicPr>
                  </pic:nvPicPr>
                  <pic:blipFill>
                    <a:blip r:embed="rId7"/>
                    <a:srcRect l="7417" r="8264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税费收入较快增长。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全年入库税费收入9.99亿元，同比增长14.9%，增收1.29亿元。其中，税收收入9.48亿元，同比增长12.5%，增收1.05亿元；非税收入0.51万元，同比增长87.8%，增收0.24亿元。全区纳税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强企业（集团）入库税费收入7.36亿元，占总收入的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比重为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73.7%。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金融市场运行平稳。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年末，全区金融机构各项存款余额155.80亿元，同比增长4.9%，较年初增加5.30亿元；各项贷款余额86.58亿元，同比增长6.3%，较年初增加5.92亿元；存贷比55.6%，同比增长1.3%。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全区银行业金融机构累计清收化解不良贷款0.8亿元，不良贷款处置率76.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%，不良贷款率0.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民生保障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居民收入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不断提高。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全区居民人均可支配收入19778元，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增长8.6%。其中，城镇居民人均可支配收入26031元，同比增长7.6%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农村居民人均可支配收入16865元，同比增长11.1%。城乡居民人均可支配收入比为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1.54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缩小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0.05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就业和社会保障更加完善。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全年实现农村劳动力转移就业2315人，新增城镇就业3516人，城镇登记失业率控制在2.4%以内。发放创业担保贷款4544万元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机关养老保险参保人数9862人，企业职工基本养老保险参保人数2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9万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人，居民养老保险参保人数31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52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人，全民参保率达到90%以上。企业退休人员养老金“十六连调”,居民基础养老金最低标准提至150元。上调失业保险金发放标准至当地最低工资标准的90%,发放失业保险金180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9万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失业补助金102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48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万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安全生产形势稳定。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全年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发生事故2起、死亡2人，在发生事故的行业（领域）中，道路交通事故1起、死亡1人；电力行业1起，死亡1人。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社会事业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教育事业稳步发展。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义务教育在校生50139人，义务教育普及率100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.0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%，巩固率始终保持在99.6%以上。普通高中在校生4762人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中等职业学校在校生1677人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特殊教育学校在校生185人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幼儿园在园幼儿11537人，学前三年毛入园率为90.1%，普惠性学前教育资源覆盖率提高到89.2%。全区新开工建设学校6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所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文化事业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繁荣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发展。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新建农村文化礼堂30处，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举办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“永远跟党走·奋进新山亭”庆祝中国共产党成立100周年暨枣庄市建市60周年大型文艺演出等活动300余场，开展戏曲进乡村291场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“一村一月一场电影”放映3312场，开展数字文化服务2000余场。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枣庄泥塑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被省政府公布为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山东省第五批非遗代表性保护名录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，12个区级非遗项目成功入选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第六批市级非物质文化遗产代表性项目名录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。文化生活满意度实现全市“十三连冠”。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体育事业全面推进。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举办山亭区全民健身运动会等各类活动20余场，参与人数达5万人。培训广场舞社会体育指导员100余名，400名优秀运动员参加枣庄市第十届运动会获得100余枚奖牌。300人大型团体操《亭美大公园》惊艳“十运会”开幕式。投资1.5亿元的山亭全民健身中心项目开工建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医疗卫生水平不断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提升。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建有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卫生机构20个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卫生技术人员1910人，其中执业医师494人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执业助理医师147人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注册护士969人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药剂人员50人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检验人员51人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其他卫生技术人员199人。全区卫生机构床位数2132张，其中医院床位数800张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乡镇卫生院床位数838张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成功创建国家级基层版胸痛中心、国家标准化代谢性病管理中心、国家标准化心脏康复中心，建成市级重点专科3个。全力推进国家健康城市建设，顺利通过国家卫生城市复审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建成各类健康细胞85个，创建国家级卫生镇4个，省级卫生村53个，省级“医养结合示范镇”10个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市级老年友善医疗机构8家。在国家PADIS平台备案3岁以下托育机构1家，实现托育机构备案零的突破。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公报注释：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1．本公报中数据均为初步统计数，部分数据因四舍五入影响，存在总计与分项合计不等情况。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2．生产总值、各产业增加值按现价计算，增长速度按可比价格计算。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3．规模以上工业企业指年主营业务收入2000万元及以上的工业法人企业。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．规模以上服务业企业：一是辖区内年营业收入2000万元及以上服务业法人单位，包括：交通运输、仓储和邮政业，信息传输、软件和信息技术服务业，水利、环境和公共设施管理业三个门类和卫生行业大类。二是辖区内年营业收入1000万元及以上服务业法人单位，包括：租赁和商务服务业，科学研究和技术服务业，教育三个门类，以及物业管理、房地产中介服务、房地产租赁经营和其他房地产业四个行业小类。三是辖区内年营业收入500万元及以上服务业法人单位，包括：居民服务、修理和其他服务业，文化、体育和娱乐业两个门类，以及社会工作行业大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．固定资产投资（不含农户）包括城镇和农村各种登记注册类型的企业、事业、行政单位以及城镇个体户计划总投资500万元及以上的建设项目投资，有开发经营活动的全部房地产开发经营业法人单位开发项目投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．限额以上批发业企业指年主营业务收入2000万元及以上的批发业企业，限额以上零售业企业指年主营业务收入500万元及以上的零售业企业，限额以上住宿和餐饮业企业指年主营业务收入200万元及以上的住宿和餐饮业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  <w:t>资料来源：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zh-CN"/>
        </w:rPr>
        <w:t>本公报中价格指数来自国家统计局枣庄调查队，公安户籍人口来自区公安分局，科技数据来自区科技局，部分农业数据来自区农业农村局，信息化及部分工业数据来自区工业与信息化局，水利数据来自区城乡水务局，城市建设数据来自区住建局，新能源数据来自区发改局，环保相关数据来自区环保局，“山水林田大会战”部分数据来自区自然资源局，国企改革数据来自区国有资产事务服务中心，社会保障、就业数据来自区人社局，金融数据来自区金融服务中心，市场主体数据来自区行政审批局，专利数据来自区市场监管局,旅游、文化数据来自区文化和旅游局，邮政数据来自区邮政局，交通数据来自区交通运输局，对外贸易数据部分来自区商务和投资促进局，卫生数据来自区卫生健康局，财政数据来自区财政局，税收数据来自区税务局，教育、体育数据来自区教育和体育局，安全生产数据来自区应急管理局，其他数据均来自区统计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7937" w:h="11905"/>
      <w:pgMar w:top="1134" w:right="1134" w:bottom="1134" w:left="113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6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BEZVt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8i0wkjdFQZcjDbnI&#10;gdcV/1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RGVb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4728E"/>
    <w:multiLevelType w:val="singleLevel"/>
    <w:tmpl w:val="BAD472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017141"/>
    <w:multiLevelType w:val="singleLevel"/>
    <w:tmpl w:val="EC017141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F3E63"/>
    <w:rsid w:val="00757B5B"/>
    <w:rsid w:val="02D1485C"/>
    <w:rsid w:val="02FD65CA"/>
    <w:rsid w:val="03C31636"/>
    <w:rsid w:val="04357443"/>
    <w:rsid w:val="04A3117E"/>
    <w:rsid w:val="06E22CF9"/>
    <w:rsid w:val="07484B80"/>
    <w:rsid w:val="07DF3E63"/>
    <w:rsid w:val="088B2F95"/>
    <w:rsid w:val="091437E0"/>
    <w:rsid w:val="0A641F21"/>
    <w:rsid w:val="0B9B4146"/>
    <w:rsid w:val="0BF3418F"/>
    <w:rsid w:val="1175266B"/>
    <w:rsid w:val="11CF7308"/>
    <w:rsid w:val="12EF7006"/>
    <w:rsid w:val="13706ACA"/>
    <w:rsid w:val="14B042E9"/>
    <w:rsid w:val="15AA5E00"/>
    <w:rsid w:val="17C829FF"/>
    <w:rsid w:val="17DA64C6"/>
    <w:rsid w:val="19CC0BCD"/>
    <w:rsid w:val="1B291743"/>
    <w:rsid w:val="1B32034A"/>
    <w:rsid w:val="1C752322"/>
    <w:rsid w:val="1CCC104A"/>
    <w:rsid w:val="1CEA5DF3"/>
    <w:rsid w:val="1D6D644E"/>
    <w:rsid w:val="1DD336FD"/>
    <w:rsid w:val="1E22472F"/>
    <w:rsid w:val="1F204797"/>
    <w:rsid w:val="1F81420A"/>
    <w:rsid w:val="20121346"/>
    <w:rsid w:val="21101EF6"/>
    <w:rsid w:val="231127E0"/>
    <w:rsid w:val="26E00DFE"/>
    <w:rsid w:val="29F17EEC"/>
    <w:rsid w:val="2A5759F9"/>
    <w:rsid w:val="2AEB0E58"/>
    <w:rsid w:val="2BA54F2C"/>
    <w:rsid w:val="2DCD63F9"/>
    <w:rsid w:val="2EA25C4E"/>
    <w:rsid w:val="2FA63DDC"/>
    <w:rsid w:val="30C923C0"/>
    <w:rsid w:val="343926B5"/>
    <w:rsid w:val="350637FF"/>
    <w:rsid w:val="35B57A04"/>
    <w:rsid w:val="373B7564"/>
    <w:rsid w:val="375C14BA"/>
    <w:rsid w:val="3A683785"/>
    <w:rsid w:val="3AD17C14"/>
    <w:rsid w:val="3D124655"/>
    <w:rsid w:val="3FEE4BE4"/>
    <w:rsid w:val="409030B5"/>
    <w:rsid w:val="40F154AB"/>
    <w:rsid w:val="41336621"/>
    <w:rsid w:val="414A6A03"/>
    <w:rsid w:val="41D31A7A"/>
    <w:rsid w:val="426664E0"/>
    <w:rsid w:val="445571ED"/>
    <w:rsid w:val="46CB5A0B"/>
    <w:rsid w:val="470E6463"/>
    <w:rsid w:val="47860234"/>
    <w:rsid w:val="4A1867B9"/>
    <w:rsid w:val="4B595A3B"/>
    <w:rsid w:val="4C162953"/>
    <w:rsid w:val="4CF46AD0"/>
    <w:rsid w:val="4D9646AC"/>
    <w:rsid w:val="4EE03A01"/>
    <w:rsid w:val="4F1C400E"/>
    <w:rsid w:val="4F487FC0"/>
    <w:rsid w:val="4FBA7A09"/>
    <w:rsid w:val="514C04C1"/>
    <w:rsid w:val="519A7A59"/>
    <w:rsid w:val="52CD24EF"/>
    <w:rsid w:val="534733BA"/>
    <w:rsid w:val="535B70A8"/>
    <w:rsid w:val="54821861"/>
    <w:rsid w:val="55B12C62"/>
    <w:rsid w:val="56417780"/>
    <w:rsid w:val="566D5B96"/>
    <w:rsid w:val="567E4826"/>
    <w:rsid w:val="569641F3"/>
    <w:rsid w:val="56F37AEA"/>
    <w:rsid w:val="57C80118"/>
    <w:rsid w:val="57E419C2"/>
    <w:rsid w:val="586B2775"/>
    <w:rsid w:val="5BEE1A44"/>
    <w:rsid w:val="60F17B5D"/>
    <w:rsid w:val="61C3343B"/>
    <w:rsid w:val="61F16A83"/>
    <w:rsid w:val="63D23FA5"/>
    <w:rsid w:val="63E136FF"/>
    <w:rsid w:val="64296331"/>
    <w:rsid w:val="649632C7"/>
    <w:rsid w:val="64A81DCC"/>
    <w:rsid w:val="64C47CEC"/>
    <w:rsid w:val="65AF27AD"/>
    <w:rsid w:val="65E074E4"/>
    <w:rsid w:val="65F512DE"/>
    <w:rsid w:val="670536A6"/>
    <w:rsid w:val="675A59A3"/>
    <w:rsid w:val="67B4537F"/>
    <w:rsid w:val="68DC0162"/>
    <w:rsid w:val="696E6382"/>
    <w:rsid w:val="697935E0"/>
    <w:rsid w:val="6A5D1F52"/>
    <w:rsid w:val="727B1858"/>
    <w:rsid w:val="732F3B04"/>
    <w:rsid w:val="73C21E0D"/>
    <w:rsid w:val="773029DE"/>
    <w:rsid w:val="78762516"/>
    <w:rsid w:val="79783BD1"/>
    <w:rsid w:val="7AA80AB2"/>
    <w:rsid w:val="7B2505D0"/>
    <w:rsid w:val="7BC16F1F"/>
    <w:rsid w:val="7C007FBA"/>
    <w:rsid w:val="7CC03B93"/>
    <w:rsid w:val="7F1B255F"/>
    <w:rsid w:val="7F4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rPr>
      <w:rFonts w:ascii="仿宋_GB2312" w:hAnsi="仿宋_GB2312" w:eastAsia="仿宋_GB2312"/>
      <w:sz w:val="32"/>
      <w:lang w:val="zh-CN" w:bidi="zh-CN"/>
    </w:rPr>
  </w:style>
  <w:style w:type="paragraph" w:styleId="5">
    <w:name w:val="Body Text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 Indent1"/>
    <w:qFormat/>
    <w:uiPriority w:val="0"/>
    <w:pPr>
      <w:widowControl w:val="0"/>
      <w:suppressAutoHyphens/>
      <w:spacing w:line="440" w:lineRule="exact"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2022-02-25T07:28:00Z</dcterms:created>
  <dc:creator>我弟叫王英俊</dc:creator>
  <cp:lastModifiedBy>我弟叫王英俊</cp:lastModifiedBy>
  <cp:lastPrinted>2022-04-07T08:55:00Z</cp:lastPrinted>
  <dcterms:modified xsi:type="dcterms:W3CDTF">2022-04-12T06:18:15Z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9FC0FBC927E84051A12F2AC0F322DC74</vt:lpwstr>
  </property>
</Properties>
</file>