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生活饮用水检查方案</w:t>
      </w:r>
    </w:p>
    <w:p>
      <w:pPr>
        <w:spacing w:line="240" w:lineRule="auto"/>
        <w:ind w:firstLine="512" w:firstLineChars="20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为保证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begin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instrText xml:space="preserve"> HYPERLINK "https://baike.so.com/doc/6946469-7168832.html" \t "https://baike.so.com/doc/_blank" </w:instrTex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separate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生活饮用水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end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卫生安全，保障人体健康，根据《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begin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instrText xml:space="preserve"> HYPERLINK "https://baike.so.com/doc/5412518-5650655.html" \t "https://baike.so.com/doc/_blank" </w:instrTex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separate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中华人民共和国传染病防治法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end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》及《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begin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instrText xml:space="preserve"> HYPERLINK "https://baike.so.com/doc/4808644-5025052.html" \t "https://baike.so.com/doc/_blank" </w:instrTex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separate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城市供水条例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end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》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、</w:t>
      </w:r>
      <w:r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《生活饮用水卫生监督管理办法》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的有关规定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，对</w:t>
      </w:r>
      <w:r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begin"/>
      </w:r>
      <w:r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instrText xml:space="preserve"> HYPERLINK "https://baike.so.com/doc/1695060-1792282.html" \t "https://baike.so.com/doc/_blank" </w:instrText>
      </w:r>
      <w:r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separate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集中式供水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end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、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begin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instrText xml:space="preserve"> HYPERLINK "https://baike.so.com/doc/448796-475233.html" \t "https://baike.so.com/doc/_blank" </w:instrTex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separate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二次供水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end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单位和涉及饮用水卫生安全的产品的卫生监督管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理。方案如下：</w:t>
      </w:r>
    </w:p>
    <w:p>
      <w:pPr>
        <w:spacing w:line="240" w:lineRule="auto"/>
        <w:ind w:firstLine="512" w:firstLineChars="200"/>
        <w:jc w:val="both"/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一、工作目标</w:t>
      </w:r>
    </w:p>
    <w:p>
      <w:pPr>
        <w:spacing w:line="240" w:lineRule="auto"/>
        <w:ind w:firstLine="512" w:firstLineChars="20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为保证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begin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instrText xml:space="preserve"> HYPERLINK "https://baike.so.com/doc/6946469-7168832.html" \t "https://baike.so.com/doc/_blank" </w:instrTex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separate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生活饮用水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fldChar w:fldCharType="end"/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卫生安全，保障人体健康，对饮用水供水单位和涉水产品开展饮用水卫生监督执法活动。饮用水卫生监督的具体适用范围是指：集中式供水单位（市政供水、乡镇供水、自建设施供水、管道分质供水单位等），二次供水单位，涉水产品生产、销售、使用单位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ind w:firstLine="512" w:firstLineChars="20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监督内容</w:t>
      </w:r>
    </w:p>
    <w:p>
      <w:pPr>
        <w:numPr>
          <w:numId w:val="0"/>
        </w:numPr>
        <w:spacing w:line="240" w:lineRule="auto"/>
        <w:ind w:firstLine="512" w:firstLineChars="200"/>
        <w:jc w:val="both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重点检查卫生许可、水源卫生防护、水质消毒设施配置及运转、涉水产品索证、供（管）水人员健康体检及卫生知识培训、水质自检及结果上报等情况。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0" w:leftChars="0" w:firstLine="512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工作措施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256" w:firstLineChars="1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依据生活饮用水卫生相关法律、法规、规章、标准、规范，对饮用水供水单位采取资料审核、现场审查与水质监测相结合的方法。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对于发现问题现场指导，下达监督意见书责令改正，对于违法行为进行行政处罚。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512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四、工作分工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768" w:firstLineChars="3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监督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科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40" w:lineRule="auto"/>
        <w:ind w:leftChars="200" w:right="0" w:rightChars="0" w:firstLine="256" w:firstLineChars="1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五、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工作要求</w:t>
      </w:r>
    </w:p>
    <w:p>
      <w:pPr>
        <w:numPr>
          <w:numId w:val="0"/>
        </w:numPr>
        <w:spacing w:line="240" w:lineRule="auto"/>
        <w:ind w:firstLine="512" w:firstLineChars="200"/>
        <w:jc w:val="both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加强对饮用水水源、水厂供水、二次供水和用水点的水质卫生监督监测，全面查清当地饮用水质量和主要卫生安全问题。及时全面掌握饮用水供水单位日常检测数据，掌握水质动态变化。开展经常性的饮用水卫生监督监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4502A"/>
    <w:multiLevelType w:val="singleLevel"/>
    <w:tmpl w:val="4C04502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B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2021-11-26T00:59:30Z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08C934C9315543AAAC676760D95AF612</vt:lpwstr>
  </property>
</Properties>
</file>