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生活饮用水检查方案</w:t>
      </w:r>
    </w:p>
    <w:p>
      <w:pPr>
        <w:spacing w:line="240" w:lineRule="auto"/>
        <w:ind w:firstLine="512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为保证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begin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instrText xml:space="preserve"> HYPERLINK "https://baike.so.com/doc/6946469-7168832.html" \t "https://baike.so.com/doc/_blank" </w:instrTex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separate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生活饮用水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end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卫生安全，保障人体健康，根据《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begin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instrText xml:space="preserve"> HYPERLINK "https://baike.so.com/doc/5412518-5650655.html" \t "https://baike.so.com/doc/_blank" </w:instrTex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separate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中华人民共和国传染病防治法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end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》及《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begin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instrText xml:space="preserve"> HYPERLINK "https://baike.so.com/doc/4808644-5025052.html" \t "https://baike.so.com/doc/_blank" </w:instrTex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separate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城市供水条例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end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、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《生活饮用水卫生监督管理办法》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的有关规定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，对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begin"/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instrText xml:space="preserve"> HYPERLINK "https://baike.so.com/doc/1695060-1792282.html" \t "https://baike.so.com/doc/_blank" </w:instrTex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separate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集中式供水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end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、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begin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instrText xml:space="preserve"> HYPERLINK "https://baike.so.com/doc/448796-475233.html" \t "https://baike.so.com/doc/_blank" </w:instrTex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separate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二次供水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end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单位和涉及饮用水卫生安全的产品的卫生监督管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理。方案如下：</w:t>
      </w:r>
    </w:p>
    <w:p>
      <w:pPr>
        <w:spacing w:line="240" w:lineRule="auto"/>
        <w:ind w:firstLine="512" w:firstLineChars="200"/>
        <w:jc w:val="both"/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一、工作目标</w:t>
      </w:r>
    </w:p>
    <w:p>
      <w:pPr>
        <w:spacing w:line="240" w:lineRule="auto"/>
        <w:ind w:firstLine="512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为保证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begin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instrText xml:space="preserve"> HYPERLINK "https://baike.so.com/doc/6946469-7168832.html" \t "https://baike.so.com/doc/_blank" </w:instrTex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separate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生活饮用水</w:t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fldChar w:fldCharType="end"/>
      </w:r>
      <w:r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卫生安全，保障人体健康，对饮用水供水单位和涉水产品开展饮用水卫生监督执法活动。饮用水卫生监督的具体适用范围是指：集中式供水单位（市政供水、乡镇供水、自建设施供水、管道分质供水单位等），二次供水单位，涉水产品生产、销售、使用单位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firstLine="512" w:firstLineChars="200"/>
        <w:jc w:val="both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监督内容</w:t>
      </w:r>
    </w:p>
    <w:p>
      <w:pPr>
        <w:numPr>
          <w:numId w:val="0"/>
        </w:numPr>
        <w:spacing w:line="240" w:lineRule="auto"/>
        <w:ind w:firstLine="512" w:firstLineChars="200"/>
        <w:jc w:val="both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重点检查卫生许可、水源卫生防护、水质消毒设施配置及运转、涉水产品索证、供（管）水人员健康体检及卫生知识培训、水质自检及结果上报等情况。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ind w:left="0" w:leftChars="0" w:firstLine="512" w:firstLineChars="2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工作措施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256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依据生活饮用水卫生相关法律、法规、规章、标准、规范，对饮用水供水单位采取资料审核、现场审查与水质监测相结合的方法。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对于发现问题现场指导，下达监督意见书责令改正，对于违法行为进行行政处罚。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512" w:firstLineChars="2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四、工作分工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768" w:firstLineChars="3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监督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科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line="240" w:lineRule="auto"/>
        <w:ind w:leftChars="200" w:right="0" w:rightChars="0" w:firstLine="256" w:firstLineChars="100"/>
        <w:jc w:val="left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五、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工作要求</w:t>
      </w:r>
    </w:p>
    <w:p>
      <w:pPr>
        <w:numPr>
          <w:numId w:val="0"/>
        </w:numPr>
        <w:spacing w:line="240" w:lineRule="auto"/>
        <w:ind w:firstLine="512" w:firstLineChars="200"/>
        <w:jc w:val="both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加强对饮用水水源、水厂供水、二次供水和用水点的水质卫生监督监测，全面查清当地饮用水质量和主要卫生安全问题。及时全面掌握饮用水供水单位日常检测数据，掌握水质动态变化。开展经常性的饮用水卫生监督监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4502A"/>
    <w:multiLevelType w:val="singleLevel"/>
    <w:tmpl w:val="4C0450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2021-11-26T00:59:30Z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08C934C9315543AAAC676760D95AF612</vt:lpwstr>
  </property>
</Properties>
</file>