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rPr>
          <w:rFonts w:hint="eastAsia" w:ascii="仿宋_GB2312" w:hAnsi="仿宋_GB2312" w:eastAsia="仿宋_GB2312" w:cs="仿宋_GB2312"/>
          <w:b/>
          <w:sz w:val="24"/>
          <w:szCs w:val="24"/>
        </w:rPr>
      </w:pPr>
      <w:r>
        <w:rPr>
          <w:rFonts w:hint="eastAsia" w:ascii="黑体" w:hAnsi="黑体" w:eastAsia="黑体" w:cs="黑体"/>
          <w:b/>
          <w:sz w:val="52"/>
          <w:szCs w:val="52"/>
          <w:lang w:eastAsia="zh-CN"/>
        </w:rPr>
        <w:t>桑村</w:t>
      </w:r>
      <w:bookmarkStart w:id="0" w:name="_GoBack"/>
      <w:bookmarkEnd w:id="0"/>
      <w:r>
        <w:rPr>
          <w:rFonts w:hint="eastAsia" w:ascii="黑体" w:hAnsi="黑体" w:eastAsia="黑体" w:cs="黑体"/>
          <w:b/>
          <w:sz w:val="52"/>
          <w:szCs w:val="52"/>
        </w:rPr>
        <w:t>镇基层政务公开</w:t>
      </w:r>
      <w:r>
        <w:rPr>
          <w:rFonts w:hint="eastAsia" w:ascii="黑体" w:hAnsi="黑体" w:eastAsia="黑体" w:cs="黑体"/>
          <w:b/>
          <w:sz w:val="52"/>
          <w:szCs w:val="52"/>
          <w:lang w:eastAsia="zh-CN"/>
        </w:rPr>
        <w:t>标准化规范化</w:t>
      </w:r>
      <w:r>
        <w:rPr>
          <w:rFonts w:hint="eastAsia" w:ascii="黑体" w:hAnsi="黑体" w:eastAsia="黑体" w:cs="黑体"/>
          <w:b/>
          <w:sz w:val="52"/>
          <w:szCs w:val="52"/>
        </w:rPr>
        <w:t>目录</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过程</w:t>
            </w:r>
          </w:p>
        </w:tc>
        <w:tc>
          <w:tcPr>
            <w:tcW w:w="2409"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公开事项</w:t>
            </w:r>
          </w:p>
        </w:tc>
        <w:tc>
          <w:tcPr>
            <w:tcW w:w="2499"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公开内容（要素）</w:t>
            </w:r>
          </w:p>
        </w:tc>
        <w:tc>
          <w:tcPr>
            <w:tcW w:w="2976"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公开依据</w:t>
            </w:r>
          </w:p>
        </w:tc>
        <w:tc>
          <w:tcPr>
            <w:tcW w:w="1701"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公开时限</w:t>
            </w:r>
          </w:p>
        </w:tc>
        <w:tc>
          <w:tcPr>
            <w:tcW w:w="1843"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公开主体</w:t>
            </w:r>
          </w:p>
        </w:tc>
        <w:tc>
          <w:tcPr>
            <w:tcW w:w="3402" w:type="dxa"/>
            <w:vMerge w:val="restart"/>
          </w:tcPr>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公开渠道和载体</w:t>
            </w:r>
          </w:p>
        </w:tc>
        <w:tc>
          <w:tcPr>
            <w:tcW w:w="1984"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公开对象</w:t>
            </w:r>
          </w:p>
        </w:tc>
        <w:tc>
          <w:tcPr>
            <w:tcW w:w="1984"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一级目录</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全社会</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特定群众</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主动</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决策</w:t>
            </w: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3"/>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jc w:val="center"/>
        </w:trPr>
        <w:tc>
          <w:tcPr>
            <w:tcW w:w="52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本级政府文件</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本级政府制定的文件。</w:t>
            </w:r>
          </w:p>
        </w:tc>
        <w:tc>
          <w:tcPr>
            <w:tcW w:w="297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Borders>
              <w:top w:val="nil"/>
              <w:bottom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4"/>
                <w:sz w:val="24"/>
                <w:szCs w:val="24"/>
                <w:highlight w:val="none"/>
              </w:rPr>
              <w:t>公开查阅点</w:t>
            </w:r>
            <w:r>
              <w:rPr>
                <w:rFonts w:hint="eastAsia" w:ascii="仿宋_GB2312" w:hAnsi="仿宋_GB2312" w:eastAsia="仿宋_GB2312" w:cs="仿宋_GB2312"/>
                <w:color w:val="auto"/>
                <w:spacing w:val="14"/>
                <w:sz w:val="24"/>
                <w:szCs w:val="24"/>
                <w:highlight w:val="none"/>
                <w:lang w:val="en-US" w:eastAsia="zh-CN"/>
              </w:rPr>
              <w:t xml:space="preserve"> </w:t>
            </w:r>
            <w:r>
              <w:rPr>
                <w:rFonts w:hint="eastAsia" w:ascii="仿宋_GB2312" w:hAnsi="仿宋_GB2312" w:eastAsia="仿宋_GB2312" w:cs="仿宋_GB2312"/>
                <w:color w:val="auto"/>
                <w:spacing w:val="14"/>
                <w:sz w:val="24"/>
                <w:szCs w:val="24"/>
                <w:highlight w:val="none"/>
              </w:rPr>
              <w:t>■</w:t>
            </w:r>
            <w:r>
              <w:rPr>
                <w:rFonts w:hint="eastAsia" w:ascii="仿宋_GB2312" w:hAnsi="仿宋_GB2312" w:eastAsia="仿宋_GB2312" w:cs="仿宋_GB2312"/>
                <w:color w:val="auto"/>
                <w:spacing w:val="13"/>
                <w:sz w:val="24"/>
                <w:szCs w:val="24"/>
                <w:highlight w:val="none"/>
              </w:rPr>
              <w:t>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pacing w:val="13"/>
                <w:sz w:val="24"/>
                <w:szCs w:val="24"/>
                <w:highlight w:val="none"/>
              </w:rPr>
            </w:pPr>
            <w:r>
              <w:rPr>
                <w:rFonts w:hint="eastAsia" w:ascii="仿宋_GB2312" w:hAnsi="仿宋_GB2312" w:eastAsia="仿宋_GB2312" w:cs="仿宋_GB2312"/>
                <w:color w:val="auto"/>
                <w:spacing w:val="13"/>
                <w:sz w:val="24"/>
                <w:szCs w:val="24"/>
                <w:highlight w:val="none"/>
              </w:rPr>
              <w:t>便民服务站 ■入户/现场</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pacing w:val="13"/>
                <w:sz w:val="24"/>
                <w:szCs w:val="24"/>
                <w:highlight w:val="none"/>
              </w:rPr>
            </w:pPr>
            <w:r>
              <w:rPr>
                <w:rFonts w:hint="eastAsia" w:ascii="仿宋_GB2312" w:hAnsi="仿宋_GB2312" w:eastAsia="仿宋_GB2312" w:cs="仿宋_GB2312"/>
                <w:color w:val="auto"/>
                <w:spacing w:val="13"/>
                <w:sz w:val="24"/>
                <w:szCs w:val="24"/>
                <w:highlight w:val="none"/>
              </w:rPr>
              <w:t>社区/企事业单位/村公示栏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3"/>
                <w:sz w:val="24"/>
                <w:szCs w:val="24"/>
                <w:highlight w:val="none"/>
              </w:rPr>
              <w:t>（电子屏）</w:t>
            </w: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6"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重大决策预公开</w:t>
            </w: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公开涉及群众切身利益需要社会广泛知晓的重要改革方案、重大政策措施和重点工程项目等，公开意见收集和采纳情况。</w:t>
            </w: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《重大行政决策程序暂行条例》（国务院令第 713 号）</w:t>
            </w:r>
            <w:r>
              <w:rPr>
                <w:rFonts w:hint="eastAsia" w:ascii="仿宋_GB2312" w:hAnsi="仿宋_GB2312" w:eastAsia="仿宋_GB2312" w:cs="仿宋_GB2312"/>
                <w:color w:val="auto"/>
                <w:sz w:val="24"/>
                <w:szCs w:val="24"/>
                <w:highlight w:val="none"/>
                <w:lang w:eastAsia="zh-CN"/>
              </w:rPr>
              <w:t>。</w:t>
            </w: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w:t>
            </w:r>
            <w:r>
              <w:rPr>
                <w:rFonts w:hint="eastAsia" w:ascii="仿宋_GB2312" w:hAnsi="仿宋_GB2312" w:eastAsia="仿宋_GB2312" w:cs="仿宋_GB2312"/>
                <w:color w:val="auto"/>
                <w:sz w:val="24"/>
                <w:szCs w:val="24"/>
                <w:highlight w:val="none"/>
                <w:lang w:eastAsia="zh-CN"/>
              </w:rPr>
              <w:t>单位</w:t>
            </w: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政府网</w:t>
            </w:r>
            <w:r>
              <w:rPr>
                <w:rFonts w:hint="eastAsia" w:ascii="仿宋_GB2312" w:hAnsi="仿宋_GB2312" w:eastAsia="仿宋_GB2312" w:cs="仿宋_GB2312"/>
                <w:color w:val="auto"/>
                <w:sz w:val="24"/>
                <w:szCs w:val="24"/>
                <w:highlight w:val="none"/>
              </w:rPr>
              <w:t>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jc w:val="center"/>
        </w:trPr>
        <w:tc>
          <w:tcPr>
            <w:tcW w:w="52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政府工作报告</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发布经本级人代会审议通过的年度政府工作报告。</w:t>
            </w:r>
          </w:p>
        </w:tc>
        <w:tc>
          <w:tcPr>
            <w:tcW w:w="297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组织办</w:t>
            </w:r>
          </w:p>
        </w:tc>
        <w:tc>
          <w:tcPr>
            <w:tcW w:w="3402" w:type="dxa"/>
            <w:tcBorders>
              <w:top w:val="nil"/>
              <w:bottom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政府会议</w:t>
            </w: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召开会议的名称、时</w:t>
            </w:r>
            <w:r>
              <w:rPr>
                <w:rFonts w:hint="eastAsia" w:ascii="仿宋_GB2312" w:hAnsi="仿宋_GB2312" w:eastAsia="仿宋_GB2312" w:cs="仿宋_GB2312"/>
                <w:color w:val="auto"/>
                <w:spacing w:val="-12"/>
                <w:sz w:val="24"/>
                <w:szCs w:val="24"/>
                <w:highlight w:val="none"/>
              </w:rPr>
              <w:t>间、地点、与会人员、</w:t>
            </w:r>
            <w:r>
              <w:rPr>
                <w:rFonts w:hint="eastAsia" w:ascii="仿宋_GB2312" w:hAnsi="仿宋_GB2312" w:eastAsia="仿宋_GB2312" w:cs="仿宋_GB2312"/>
                <w:color w:val="auto"/>
                <w:spacing w:val="4"/>
                <w:sz w:val="24"/>
                <w:szCs w:val="24"/>
                <w:highlight w:val="none"/>
              </w:rPr>
              <w:t>主持人，会议研究的事项等。</w:t>
            </w: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日内。</w:t>
            </w: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pacing w:val="11"/>
                <w:sz w:val="24"/>
                <w:szCs w:val="24"/>
                <w:highlight w:val="none"/>
              </w:rPr>
            </w:pPr>
            <w:r>
              <w:rPr>
                <w:rFonts w:hint="eastAsia" w:ascii="仿宋_GB2312" w:hAnsi="仿宋_GB2312" w:eastAsia="仿宋_GB2312" w:cs="仿宋_GB2312"/>
                <w:color w:val="auto"/>
                <w:spacing w:val="11"/>
                <w:sz w:val="24"/>
                <w:szCs w:val="24"/>
                <w:highlight w:val="none"/>
              </w:rPr>
              <w:t>社区/企事业单位/村公示栏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pacing w:val="11"/>
                <w:sz w:val="24"/>
                <w:szCs w:val="24"/>
                <w:highlight w:val="none"/>
              </w:rPr>
            </w:pPr>
            <w:r>
              <w:rPr>
                <w:rFonts w:hint="eastAsia" w:ascii="仿宋_GB2312" w:hAnsi="仿宋_GB2312" w:eastAsia="仿宋_GB2312" w:cs="仿宋_GB2312"/>
                <w:color w:val="auto"/>
                <w:spacing w:val="11"/>
                <w:sz w:val="24"/>
                <w:szCs w:val="24"/>
                <w:highlight w:val="none"/>
              </w:rPr>
              <w:t>（电子屏）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spacing w:val="11"/>
                <w:sz w:val="24"/>
                <w:szCs w:val="24"/>
                <w:highlight w:val="none"/>
              </w:rPr>
              <w:t>□精准推送</w:t>
            </w:r>
            <w:r>
              <w:rPr>
                <w:rFonts w:hint="eastAsia" w:ascii="仿宋_GB2312" w:hAnsi="仿宋_GB2312" w:eastAsia="仿宋_GB2312" w:cs="仿宋_GB2312"/>
                <w:color w:val="auto"/>
                <w:spacing w:val="11"/>
                <w:sz w:val="24"/>
                <w:szCs w:val="24"/>
                <w:highlight w:val="none"/>
              </w:rPr>
              <w:tab/>
            </w:r>
            <w:r>
              <w:rPr>
                <w:rFonts w:hint="eastAsia" w:ascii="仿宋_GB2312" w:hAnsi="仿宋_GB2312" w:eastAsia="仿宋_GB2312" w:cs="仿宋_GB2312"/>
                <w:color w:val="auto"/>
                <w:spacing w:val="11"/>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5</w:t>
            </w:r>
          </w:p>
        </w:tc>
        <w:tc>
          <w:tcPr>
            <w:tcW w:w="57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国民经济</w:t>
            </w:r>
            <w:r>
              <w:rPr>
                <w:rFonts w:hint="eastAsia" w:ascii="仿宋_GB2312" w:hAnsi="仿宋_GB2312" w:eastAsia="仿宋_GB2312" w:cs="仿宋_GB2312"/>
                <w:color w:val="auto"/>
                <w:sz w:val="24"/>
                <w:szCs w:val="24"/>
                <w:highlight w:val="none"/>
              </w:rPr>
              <w:t>和社会</w:t>
            </w:r>
            <w:r>
              <w:rPr>
                <w:rFonts w:hint="eastAsia" w:ascii="仿宋_GB2312" w:hAnsi="仿宋_GB2312" w:eastAsia="仿宋_GB2312" w:cs="仿宋_GB2312"/>
                <w:color w:val="auto"/>
                <w:spacing w:val="-4"/>
                <w:sz w:val="24"/>
                <w:szCs w:val="24"/>
                <w:highlight w:val="none"/>
              </w:rPr>
              <w:t>发展规划</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本地经济社会发展年度计划；年度计划重要事项的解读；各类重点工作规划等信息。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《国务院关于加强国民经济和社会发展规划编制工作的若干意见》（ 国发〔2005〕33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、经济发展办公室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6</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执行和结果</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年度重点工作任务分解、执行及落实情况</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9"/>
                <w:sz w:val="24"/>
                <w:szCs w:val="24"/>
                <w:highlight w:val="none"/>
              </w:rPr>
              <w:t>政府工作报告分解</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1"/>
                <w:sz w:val="24"/>
                <w:szCs w:val="24"/>
                <w:highlight w:val="none"/>
              </w:rPr>
              <w:t>重大决策、重要政策、</w:t>
            </w:r>
            <w:r>
              <w:rPr>
                <w:rFonts w:hint="eastAsia" w:ascii="仿宋_GB2312" w:hAnsi="仿宋_GB2312" w:eastAsia="仿宋_GB2312" w:cs="仿宋_GB2312"/>
                <w:color w:val="auto"/>
                <w:spacing w:val="4"/>
                <w:sz w:val="24"/>
                <w:szCs w:val="24"/>
                <w:highlight w:val="none"/>
              </w:rPr>
              <w:t>政府工作报告、重点改革任务、重大工程项目、规划计划的执行措施、实施步骤、责任分工、监督方式及年度重点工作的阶</w:t>
            </w:r>
            <w:r>
              <w:rPr>
                <w:rFonts w:hint="eastAsia" w:ascii="仿宋_GB2312" w:hAnsi="仿宋_GB2312" w:eastAsia="仿宋_GB2312" w:cs="仿宋_GB2312"/>
                <w:color w:val="auto"/>
                <w:spacing w:val="5"/>
                <w:sz w:val="24"/>
                <w:szCs w:val="24"/>
                <w:highlight w:val="none"/>
              </w:rPr>
              <w:t>段性进展或按月（</w:t>
            </w:r>
            <w:r>
              <w:rPr>
                <w:rFonts w:hint="eastAsia" w:ascii="仿宋_GB2312" w:hAnsi="仿宋_GB2312" w:eastAsia="仿宋_GB2312" w:cs="仿宋_GB2312"/>
                <w:color w:val="auto"/>
                <w:sz w:val="24"/>
                <w:szCs w:val="24"/>
                <w:highlight w:val="none"/>
              </w:rPr>
              <w:t>季</w:t>
            </w:r>
            <w:r>
              <w:rPr>
                <w:rFonts w:hint="eastAsia" w:ascii="仿宋_GB2312" w:hAnsi="仿宋_GB2312" w:eastAsia="仿宋_GB2312" w:cs="仿宋_GB2312"/>
                <w:color w:val="auto"/>
                <w:spacing w:val="7"/>
                <w:sz w:val="24"/>
                <w:szCs w:val="24"/>
                <w:highlight w:val="none"/>
              </w:rPr>
              <w:t>度</w:t>
            </w:r>
            <w:r>
              <w:rPr>
                <w:rFonts w:hint="eastAsia" w:ascii="仿宋_GB2312" w:hAnsi="仿宋_GB2312" w:eastAsia="仿宋_GB2312" w:cs="仿宋_GB2312"/>
                <w:color w:val="auto"/>
                <w:spacing w:val="5"/>
                <w:sz w:val="24"/>
                <w:szCs w:val="24"/>
                <w:highlight w:val="none"/>
              </w:rPr>
              <w:t>）</w:t>
            </w:r>
            <w:r>
              <w:rPr>
                <w:rFonts w:hint="eastAsia" w:ascii="仿宋_GB2312" w:hAnsi="仿宋_GB2312" w:eastAsia="仿宋_GB2312" w:cs="仿宋_GB2312"/>
                <w:color w:val="auto"/>
                <w:spacing w:val="4"/>
                <w:sz w:val="24"/>
                <w:szCs w:val="24"/>
                <w:highlight w:val="none"/>
              </w:rPr>
              <w:t>取得的成效、落实情况通报和后续举</w:t>
            </w:r>
            <w:r>
              <w:rPr>
                <w:rFonts w:hint="eastAsia" w:ascii="仿宋_GB2312" w:hAnsi="仿宋_GB2312" w:eastAsia="仿宋_GB2312" w:cs="仿宋_GB2312"/>
                <w:color w:val="auto"/>
                <w:sz w:val="24"/>
                <w:szCs w:val="24"/>
                <w:highlight w:val="none"/>
              </w:rPr>
              <w:t>措等信息。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经济和社会发展统计信息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年度统计信息及年度统计数据分析；月度统计数据；月度季度统计数据分析等。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《中华人民共和国统计法实施细则》（国务院令第453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经济发展办公室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8</w:t>
            </w:r>
          </w:p>
        </w:tc>
        <w:tc>
          <w:tcPr>
            <w:tcW w:w="57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建议提案办理</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人大代表建议和政协委员提案办理工作制度、办理情况年度报告、办理答复。</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《国务院办公厅关于做好全国人大代表建议和全国政协委员提案办理结果公开工作的通知》（国办发﹝2014﹞46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9</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管理和服务</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政府领导</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领导分工、简历、联系方式、照片等。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机构设置</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镇街简介</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镇街简介及特色。</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5"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内设机构</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职能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12</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基层站所</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建议删掉</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名称，职能，办公地址、负责人、联系方式等。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党政办组织办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行政村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（社区）</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名称，概况，办公地址、负责人、联系方式等。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w:t>
            </w:r>
            <w:r>
              <w:rPr>
                <w:rFonts w:hint="eastAsia" w:ascii="仿宋_GB2312" w:hAnsi="仿宋_GB2312" w:eastAsia="仿宋_GB2312" w:cs="仿宋_GB2312"/>
                <w:color w:val="auto"/>
                <w:sz w:val="24"/>
                <w:szCs w:val="24"/>
                <w:highlight w:val="none"/>
                <w:lang w:eastAsia="zh-CN"/>
              </w:rPr>
              <w:t>人事</w:t>
            </w:r>
            <w:r>
              <w:rPr>
                <w:rFonts w:hint="eastAsia" w:ascii="仿宋_GB2312" w:hAnsi="仿宋_GB2312" w:eastAsia="仿宋_GB2312" w:cs="仿宋_GB2312"/>
                <w:color w:val="auto"/>
                <w:sz w:val="24"/>
                <w:szCs w:val="24"/>
                <w:highlight w:val="none"/>
              </w:rPr>
              <w:t>办</w:t>
            </w:r>
            <w:r>
              <w:rPr>
                <w:rFonts w:hint="eastAsia" w:ascii="仿宋_GB2312" w:hAnsi="仿宋_GB2312" w:eastAsia="仿宋_GB2312" w:cs="仿宋_GB2312"/>
                <w:color w:val="auto"/>
                <w:sz w:val="24"/>
                <w:szCs w:val="24"/>
                <w:highlight w:val="none"/>
                <w:lang w:eastAsia="zh-CN"/>
              </w:rPr>
              <w:t>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人事信息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人事任免、人员招考录用等信息。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w:t>
            </w:r>
            <w:r>
              <w:rPr>
                <w:rFonts w:hint="eastAsia" w:ascii="仿宋_GB2312" w:hAnsi="仿宋_GB2312" w:eastAsia="仿宋_GB2312" w:cs="仿宋_GB2312"/>
                <w:color w:val="auto"/>
                <w:sz w:val="24"/>
                <w:szCs w:val="24"/>
                <w:highlight w:val="none"/>
                <w:lang w:eastAsia="zh-CN"/>
              </w:rPr>
              <w:t>人事</w:t>
            </w:r>
            <w:r>
              <w:rPr>
                <w:rFonts w:hint="eastAsia" w:ascii="仿宋_GB2312" w:hAnsi="仿宋_GB2312" w:eastAsia="仿宋_GB2312" w:cs="仿宋_GB2312"/>
                <w:color w:val="auto"/>
                <w:sz w:val="24"/>
                <w:szCs w:val="24"/>
                <w:highlight w:val="none"/>
              </w:rPr>
              <w:t>办</w:t>
            </w:r>
            <w:r>
              <w:rPr>
                <w:rFonts w:hint="eastAsia" w:ascii="仿宋_GB2312" w:hAnsi="仿宋_GB2312" w:eastAsia="仿宋_GB2312" w:cs="仿宋_GB2312"/>
                <w:color w:val="auto"/>
                <w:sz w:val="24"/>
                <w:szCs w:val="24"/>
                <w:highlight w:val="none"/>
                <w:lang w:eastAsia="zh-CN"/>
              </w:rPr>
              <w:t>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财政资金</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年度财政预决算</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上年度财政预算执行情况和本年度财政预算草案报告；本年度预算报表及说明，预算调整的决定或批复；上年度决算报表及说明等信息。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《中华人民共和国预算法》；</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《关于印发〈地方预决算公开操作规程〉的通知》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7"/>
                <w:sz w:val="24"/>
                <w:szCs w:val="24"/>
                <w:highlight w:val="none"/>
              </w:rPr>
              <w:t>财预〔</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22"/>
                <w:sz w:val="24"/>
                <w:szCs w:val="24"/>
                <w:highlight w:val="none"/>
              </w:rPr>
              <w:t>〕</w:t>
            </w:r>
            <w:r>
              <w:rPr>
                <w:rFonts w:hint="eastAsia" w:ascii="仿宋_GB2312" w:hAnsi="仿宋_GB2312" w:eastAsia="仿宋_GB2312" w:cs="仿宋_GB2312"/>
                <w:color w:val="auto"/>
                <w:sz w:val="24"/>
                <w:szCs w:val="24"/>
                <w:highlight w:val="none"/>
              </w:rPr>
              <w:t>143</w:t>
            </w:r>
            <w:r>
              <w:rPr>
                <w:rFonts w:hint="eastAsia" w:ascii="仿宋_GB2312" w:hAnsi="仿宋_GB2312" w:eastAsia="仿宋_GB2312" w:cs="仿宋_GB2312"/>
                <w:color w:val="auto"/>
                <w:spacing w:val="-4"/>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9"/>
                <w:sz w:val="24"/>
                <w:szCs w:val="24"/>
                <w:highlight w:val="none"/>
              </w:rPr>
              <w:t>）</w:t>
            </w:r>
            <w:r>
              <w:rPr>
                <w:rFonts w:hint="eastAsia" w:ascii="仿宋_GB2312" w:hAnsi="仿宋_GB2312" w:eastAsia="仿宋_GB2312" w:cs="仿宋_GB2312"/>
                <w:color w:val="auto"/>
                <w:spacing w:val="-12"/>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16</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 xml:space="preserve">“三公” </w:t>
            </w:r>
            <w:r>
              <w:rPr>
                <w:rFonts w:hint="eastAsia" w:ascii="仿宋_GB2312" w:hAnsi="仿宋_GB2312" w:eastAsia="仿宋_GB2312" w:cs="仿宋_GB2312"/>
                <w:color w:val="auto"/>
                <w:sz w:val="24"/>
                <w:szCs w:val="24"/>
                <w:highlight w:val="none"/>
              </w:rPr>
              <w:t>经费情况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本年度“三公”经费预算安排；上年度“三公”经费决算报告包括细化说明因公出国</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（境</w:t>
            </w:r>
            <w:r>
              <w:rPr>
                <w:rFonts w:hint="eastAsia" w:ascii="仿宋_GB2312" w:hAnsi="仿宋_GB2312" w:eastAsia="仿宋_GB2312" w:cs="仿宋_GB2312"/>
                <w:color w:val="auto"/>
                <w:spacing w:val="-84"/>
                <w:sz w:val="24"/>
                <w:szCs w:val="24"/>
                <w:highlight w:val="none"/>
              </w:rPr>
              <w:t>）</w:t>
            </w:r>
            <w:r>
              <w:rPr>
                <w:rFonts w:hint="eastAsia" w:ascii="仿宋_GB2312" w:hAnsi="仿宋_GB2312" w:eastAsia="仿宋_GB2312" w:cs="仿宋_GB2312"/>
                <w:color w:val="auto"/>
                <w:spacing w:val="-2"/>
                <w:sz w:val="24"/>
                <w:szCs w:val="24"/>
                <w:highlight w:val="none"/>
              </w:rPr>
              <w:t xml:space="preserve">团组数及人数； </w:t>
            </w:r>
            <w:r>
              <w:rPr>
                <w:rFonts w:hint="eastAsia" w:ascii="仿宋_GB2312" w:hAnsi="仿宋_GB2312" w:eastAsia="仿宋_GB2312" w:cs="仿宋_GB2312"/>
                <w:color w:val="auto"/>
                <w:spacing w:val="4"/>
                <w:sz w:val="24"/>
                <w:szCs w:val="24"/>
                <w:highlight w:val="none"/>
              </w:rPr>
              <w:t>公务用车购置数及保有量；国内公务接待</w:t>
            </w:r>
            <w:r>
              <w:rPr>
                <w:rFonts w:hint="eastAsia" w:ascii="仿宋_GB2312" w:hAnsi="仿宋_GB2312" w:eastAsia="仿宋_GB2312" w:cs="仿宋_GB2312"/>
                <w:color w:val="auto"/>
                <w:spacing w:val="-19"/>
                <w:sz w:val="24"/>
                <w:szCs w:val="24"/>
                <w:highlight w:val="none"/>
              </w:rPr>
              <w:t>的批次、人数；</w:t>
            </w:r>
            <w:r>
              <w:rPr>
                <w:rFonts w:hint="eastAsia" w:ascii="仿宋_GB2312" w:hAnsi="仿宋_GB2312" w:eastAsia="仿宋_GB2312" w:cs="仿宋_GB2312"/>
                <w:color w:val="auto"/>
                <w:spacing w:val="-46"/>
                <w:sz w:val="24"/>
                <w:szCs w:val="24"/>
                <w:highlight w:val="none"/>
              </w:rPr>
              <w:t>“</w:t>
            </w:r>
            <w:r>
              <w:rPr>
                <w:rFonts w:hint="eastAsia" w:ascii="仿宋_GB2312" w:hAnsi="仿宋_GB2312" w:eastAsia="仿宋_GB2312" w:cs="仿宋_GB2312"/>
                <w:color w:val="auto"/>
                <w:sz w:val="24"/>
                <w:szCs w:val="24"/>
                <w:highlight w:val="none"/>
              </w:rPr>
              <w:t>三公”</w:t>
            </w:r>
            <w:r>
              <w:rPr>
                <w:rFonts w:hint="eastAsia" w:ascii="仿宋_GB2312" w:hAnsi="仿宋_GB2312" w:eastAsia="仿宋_GB2312" w:cs="仿宋_GB2312"/>
                <w:color w:val="auto"/>
                <w:spacing w:val="4"/>
                <w:sz w:val="24"/>
                <w:szCs w:val="24"/>
                <w:highlight w:val="none"/>
              </w:rPr>
              <w:t>经费增减变化原因等信息。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《中华人民共和国预算法》；</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《关于印发〈地方预决算公开操作规程〉的通知》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7"/>
                <w:sz w:val="24"/>
                <w:szCs w:val="24"/>
                <w:highlight w:val="none"/>
              </w:rPr>
              <w:t>财预〔</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22"/>
                <w:sz w:val="24"/>
                <w:szCs w:val="24"/>
                <w:highlight w:val="none"/>
              </w:rPr>
              <w:t>〕</w:t>
            </w:r>
            <w:r>
              <w:rPr>
                <w:rFonts w:hint="eastAsia" w:ascii="仿宋_GB2312" w:hAnsi="仿宋_GB2312" w:eastAsia="仿宋_GB2312" w:cs="仿宋_GB2312"/>
                <w:color w:val="auto"/>
                <w:sz w:val="24"/>
                <w:szCs w:val="24"/>
                <w:highlight w:val="none"/>
              </w:rPr>
              <w:t>143</w:t>
            </w:r>
            <w:r>
              <w:rPr>
                <w:rFonts w:hint="eastAsia" w:ascii="仿宋_GB2312" w:hAnsi="仿宋_GB2312" w:eastAsia="仿宋_GB2312" w:cs="仿宋_GB2312"/>
                <w:color w:val="auto"/>
                <w:spacing w:val="-4"/>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9"/>
                <w:sz w:val="24"/>
                <w:szCs w:val="24"/>
                <w:highlight w:val="none"/>
              </w:rPr>
              <w:t>）</w:t>
            </w:r>
            <w:r>
              <w:rPr>
                <w:rFonts w:hint="eastAsia" w:ascii="仿宋_GB2312" w:hAnsi="仿宋_GB2312" w:eastAsia="仿宋_GB2312" w:cs="仿宋_GB2312"/>
                <w:color w:val="auto"/>
                <w:spacing w:val="-12"/>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债权债务</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公开本地区地方政府债务限额、余额、债务率、偿债率以及经济财政状况、债券发行、存续期管理等信息；定期按村发布具体债权债务状况等信息。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numPr>
                <w:ilvl w:val="0"/>
                <w:numId w:val="2"/>
              </w:numPr>
              <w:tabs>
                <w:tab w:val="left" w:pos="368"/>
              </w:tabs>
              <w:kinsoku/>
              <w:wordWrap/>
              <w:overflowPunct/>
              <w:topLinePunct w:val="0"/>
              <w:autoSpaceDE w:val="0"/>
              <w:autoSpaceDN w:val="0"/>
              <w:bidi w:val="0"/>
              <w:adjustRightInd/>
              <w:snapToGrid/>
              <w:spacing w:before="0" w:after="0" w:line="400" w:lineRule="exact"/>
              <w:ind w:left="0" w:right="0" w:firstLine="0"/>
              <w:jc w:val="left"/>
              <w:textAlignment w:val="auto"/>
              <w:rPr>
                <w:rFonts w:hint="eastAsia" w:ascii="仿宋_GB2312" w:hAnsi="仿宋_GB2312" w:eastAsia="仿宋_GB2312" w:cs="仿宋_GB2312"/>
                <w:color w:val="auto"/>
                <w:spacing w:val="23"/>
                <w:sz w:val="24"/>
                <w:szCs w:val="24"/>
                <w:highlight w:val="none"/>
              </w:rPr>
            </w:pPr>
            <w:r>
              <w:rPr>
                <w:rFonts w:hint="eastAsia" w:ascii="仿宋_GB2312" w:hAnsi="仿宋_GB2312" w:eastAsia="仿宋_GB2312" w:cs="仿宋_GB2312"/>
                <w:color w:val="auto"/>
                <w:spacing w:val="23"/>
                <w:sz w:val="24"/>
                <w:szCs w:val="24"/>
                <w:highlight w:val="none"/>
              </w:rPr>
              <w:t>《国务院关于加强地</w:t>
            </w:r>
            <w:r>
              <w:rPr>
                <w:rFonts w:hint="eastAsia" w:ascii="仿宋_GB2312" w:hAnsi="仿宋_GB2312" w:eastAsia="仿宋_GB2312" w:cs="仿宋_GB2312"/>
                <w:color w:val="auto"/>
                <w:spacing w:val="26"/>
                <w:sz w:val="24"/>
                <w:szCs w:val="24"/>
                <w:highlight w:val="none"/>
              </w:rPr>
              <w:t>方政府</w:t>
            </w:r>
            <w:r>
              <w:rPr>
                <w:rFonts w:hint="eastAsia" w:ascii="仿宋_GB2312" w:hAnsi="仿宋_GB2312" w:eastAsia="仿宋_GB2312" w:cs="仿宋_GB2312"/>
                <w:color w:val="auto"/>
                <w:spacing w:val="23"/>
                <w:sz w:val="24"/>
                <w:szCs w:val="24"/>
                <w:highlight w:val="none"/>
              </w:rPr>
              <w:t>性债务管理的意见》（国发〔2014〕43 号）；</w:t>
            </w:r>
          </w:p>
          <w:p>
            <w:pPr>
              <w:pStyle w:val="9"/>
              <w:keepNext w:val="0"/>
              <w:keepLines w:val="0"/>
              <w:pageBreakBefore w:val="0"/>
              <w:widowControl w:val="0"/>
              <w:numPr>
                <w:ilvl w:val="0"/>
                <w:numId w:val="2"/>
              </w:numPr>
              <w:tabs>
                <w:tab w:val="left" w:pos="368"/>
              </w:tabs>
              <w:kinsoku/>
              <w:wordWrap/>
              <w:overflowPunct/>
              <w:topLinePunct w:val="0"/>
              <w:autoSpaceDE w:val="0"/>
              <w:autoSpaceDN w:val="0"/>
              <w:bidi w:val="0"/>
              <w:adjustRightInd/>
              <w:snapToGrid/>
              <w:spacing w:before="0" w:after="0" w:line="400" w:lineRule="exact"/>
              <w:ind w:left="0" w:right="0" w:firstLine="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3"/>
                <w:sz w:val="24"/>
                <w:szCs w:val="24"/>
                <w:highlight w:val="none"/>
              </w:rPr>
              <w:t xml:space="preserve">《 财 政 部 关 于 做 </w:t>
            </w:r>
            <w:r>
              <w:rPr>
                <w:rFonts w:hint="eastAsia" w:ascii="仿宋_GB2312" w:hAnsi="仿宋_GB2312" w:eastAsia="仿宋_GB2312" w:cs="仿宋_GB2312"/>
                <w:color w:val="auto"/>
                <w:spacing w:val="-11"/>
                <w:sz w:val="24"/>
                <w:szCs w:val="24"/>
                <w:highlight w:val="none"/>
              </w:rPr>
              <w:t>好</w:t>
            </w:r>
            <w:r>
              <w:rPr>
                <w:rFonts w:hint="eastAsia" w:ascii="仿宋_GB2312" w:hAnsi="仿宋_GB2312" w:eastAsia="仿宋_GB2312" w:cs="仿宋_GB2312"/>
                <w:color w:val="auto"/>
                <w:sz w:val="24"/>
                <w:szCs w:val="24"/>
                <w:highlight w:val="none"/>
              </w:rPr>
              <w:t>2018</w:t>
            </w:r>
            <w:r>
              <w:rPr>
                <w:rFonts w:hint="eastAsia" w:ascii="仿宋_GB2312" w:hAnsi="仿宋_GB2312" w:eastAsia="仿宋_GB2312" w:cs="仿宋_GB2312"/>
                <w:color w:val="auto"/>
                <w:spacing w:val="17"/>
                <w:sz w:val="24"/>
                <w:szCs w:val="24"/>
                <w:highlight w:val="none"/>
              </w:rPr>
              <w:t xml:space="preserve"> </w:t>
            </w:r>
            <w:r>
              <w:rPr>
                <w:rFonts w:hint="eastAsia" w:ascii="仿宋_GB2312" w:hAnsi="仿宋_GB2312" w:eastAsia="仿宋_GB2312" w:cs="仿宋_GB2312"/>
                <w:color w:val="auto"/>
                <w:spacing w:val="19"/>
                <w:sz w:val="24"/>
                <w:szCs w:val="24"/>
                <w:highlight w:val="none"/>
              </w:rPr>
              <w:t>年地方政府债务管</w:t>
            </w:r>
            <w:r>
              <w:rPr>
                <w:rFonts w:hint="eastAsia" w:ascii="仿宋_GB2312" w:hAnsi="仿宋_GB2312" w:eastAsia="仿宋_GB2312" w:cs="仿宋_GB2312"/>
                <w:color w:val="auto"/>
                <w:spacing w:val="29"/>
                <w:sz w:val="24"/>
                <w:szCs w:val="24"/>
                <w:highlight w:val="none"/>
              </w:rPr>
              <w:t>理工作的通知》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 xml:space="preserve"> 财预</w:t>
            </w:r>
            <w:r>
              <w:rPr>
                <w:rFonts w:hint="eastAsia" w:ascii="仿宋_GB2312" w:hAnsi="仿宋_GB2312" w:eastAsia="仿宋_GB2312" w:cs="仿宋_GB2312"/>
                <w:color w:val="auto"/>
                <w:sz w:val="24"/>
                <w:szCs w:val="24"/>
                <w:highlight w:val="none"/>
              </w:rPr>
              <w:t>〔2018〕34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自县级财政部门批复预决算及相关信息形成或变更之日起 20 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18</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★财政专项资金管理和使用情况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财政专项资金清单, 包括专项资金项目名称及金额等。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《财政部关于深入推进基层财政专项支出预算公开的意见》（财预〔2011〕27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自县级财政部门批复预决算及相关信息形成或变更之日起 20 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发布政策与标准、分配结果等信息。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《财政部关于深入推进基层财政专项支出预算公开的意见》（财预〔2011〕27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应急管理</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应急预案</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总体预案、事故灾害类预案、社会安全事件类预案、自然灾害类预案和公共卫生事件类预案等。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《国务院办公厅关于印发突发事件应急预案管理办法的通知</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3"/>
                <w:sz w:val="24"/>
                <w:szCs w:val="24"/>
                <w:highlight w:val="none"/>
              </w:rPr>
              <w:t>国办发〔</w:t>
            </w:r>
            <w:r>
              <w:rPr>
                <w:rFonts w:hint="eastAsia" w:ascii="仿宋_GB2312" w:hAnsi="仿宋_GB2312" w:eastAsia="仿宋_GB2312" w:cs="仿宋_GB2312"/>
                <w:color w:val="auto"/>
                <w:sz w:val="24"/>
                <w:szCs w:val="24"/>
                <w:highlight w:val="none"/>
              </w:rPr>
              <w:t>2013</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101</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预警信息及应对情况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3"/>
                <w:sz w:val="24"/>
                <w:szCs w:val="24"/>
                <w:highlight w:val="none"/>
              </w:rPr>
              <w:t>事故灾害类、社会安全</w:t>
            </w:r>
            <w:r>
              <w:rPr>
                <w:rFonts w:hint="eastAsia" w:ascii="仿宋_GB2312" w:hAnsi="仿宋_GB2312" w:eastAsia="仿宋_GB2312" w:cs="仿宋_GB2312"/>
                <w:color w:val="auto"/>
                <w:spacing w:val="-24"/>
                <w:sz w:val="24"/>
                <w:szCs w:val="24"/>
                <w:highlight w:val="none"/>
              </w:rPr>
              <w:t>事件类、自然灾害类和</w:t>
            </w:r>
            <w:r>
              <w:rPr>
                <w:rFonts w:hint="eastAsia" w:ascii="仿宋_GB2312" w:hAnsi="仿宋_GB2312" w:eastAsia="仿宋_GB2312" w:cs="仿宋_GB2312"/>
                <w:color w:val="auto"/>
                <w:spacing w:val="5"/>
                <w:sz w:val="24"/>
                <w:szCs w:val="24"/>
                <w:highlight w:val="none"/>
              </w:rPr>
              <w:t>公共卫生事件类预警</w:t>
            </w:r>
            <w:r>
              <w:rPr>
                <w:rFonts w:hint="eastAsia" w:ascii="仿宋_GB2312" w:hAnsi="仿宋_GB2312" w:eastAsia="仿宋_GB2312" w:cs="仿宋_GB2312"/>
                <w:color w:val="auto"/>
                <w:spacing w:val="3"/>
                <w:sz w:val="24"/>
                <w:szCs w:val="24"/>
                <w:highlight w:val="none"/>
              </w:rPr>
              <w:t>信息及采取的应急处</w:t>
            </w:r>
            <w:r>
              <w:rPr>
                <w:rFonts w:hint="eastAsia" w:ascii="仿宋_GB2312" w:hAnsi="仿宋_GB2312" w:eastAsia="仿宋_GB2312" w:cs="仿宋_GB2312"/>
                <w:color w:val="auto"/>
                <w:spacing w:val="37"/>
                <w:sz w:val="24"/>
                <w:szCs w:val="24"/>
                <w:highlight w:val="none"/>
              </w:rPr>
              <w:t>置措施与应对结果等。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《中华人民共和国突发事</w:t>
            </w:r>
            <w:r>
              <w:rPr>
                <w:rFonts w:hint="eastAsia" w:ascii="仿宋_GB2312" w:hAnsi="仿宋_GB2312" w:eastAsia="仿宋_GB2312" w:cs="仿宋_GB2312"/>
                <w:color w:val="auto"/>
                <w:spacing w:val="-13"/>
                <w:sz w:val="24"/>
                <w:szCs w:val="24"/>
                <w:highlight w:val="none"/>
              </w:rPr>
              <w:t>件应对法》</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主席令第</w:t>
            </w:r>
            <w:r>
              <w:rPr>
                <w:rFonts w:hint="eastAsia" w:ascii="仿宋_GB2312" w:hAnsi="仿宋_GB2312" w:eastAsia="仿宋_GB2312" w:cs="仿宋_GB2312"/>
                <w:color w:val="auto"/>
                <w:spacing w:val="-7"/>
                <w:sz w:val="24"/>
                <w:szCs w:val="24"/>
                <w:highlight w:val="none"/>
              </w:rPr>
              <w:t xml:space="preserve">69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权责清单</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公开乡镇级政府权力清单和责任清单，乡镇级政府廉政风险点情况表，乡镇级政府权力运行流程图。</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《中共中央办公厅国务院办公厅印发〈关于推行地方各级政府工作部门权力清单制度的指导意见〉的通知》（中办发〔2015〕21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《国务院办公厅关于做好证明事项清理工作的通知》（国办发〔2018〕47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按照法定时间公开。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、便民服务中心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权力运行结果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定期（月或季度）公开各项行政权力事项办理结果，结果要素齐全、具体。</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《山东省人民政府关于印发＜山东省政府部门权责清单管理办法＞的通知》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（鲁政字〔2019〕247</w:t>
            </w:r>
            <w:r>
              <w:rPr>
                <w:rFonts w:hint="eastAsia" w:ascii="仿宋_GB2312" w:hAnsi="仿宋_GB2312" w:eastAsia="仿宋_GB2312" w:cs="仿宋_GB2312"/>
                <w:color w:val="auto"/>
                <w:spacing w:val="-7"/>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30"/>
                <w:sz w:val="24"/>
                <w:szCs w:val="24"/>
                <w:highlight w:val="none"/>
              </w:rPr>
              <w:t>）</w:t>
            </w:r>
            <w:r>
              <w:rPr>
                <w:rFonts w:hint="eastAsia" w:ascii="仿宋_GB2312" w:hAnsi="仿宋_GB2312" w:eastAsia="仿宋_GB2312" w:cs="仿宋_GB2312"/>
                <w:color w:val="auto"/>
                <w:spacing w:val="-97"/>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人口与计生</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人口计生的相关政策，奖励与帮扶，工作推进。</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《国家卫生计生委办公厅关于印发医院、计划生育</w:t>
            </w:r>
            <w:r>
              <w:rPr>
                <w:rFonts w:hint="eastAsia" w:ascii="仿宋_GB2312" w:hAnsi="仿宋_GB2312" w:eastAsia="仿宋_GB2312" w:cs="仿宋_GB2312"/>
                <w:color w:val="auto"/>
                <w:spacing w:val="-2"/>
                <w:sz w:val="24"/>
                <w:szCs w:val="24"/>
                <w:highlight w:val="none"/>
              </w:rPr>
              <w:t>技术服务机构等</w:t>
            </w: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pacing w:val="-5"/>
                <w:sz w:val="24"/>
                <w:szCs w:val="24"/>
                <w:highlight w:val="none"/>
              </w:rPr>
              <w:t>类医疗</w:t>
            </w:r>
            <w:r>
              <w:rPr>
                <w:rFonts w:hint="eastAsia" w:ascii="仿宋_GB2312" w:hAnsi="仿宋_GB2312" w:eastAsia="仿宋_GB2312" w:cs="仿宋_GB2312"/>
                <w:color w:val="auto"/>
                <w:spacing w:val="-1"/>
                <w:sz w:val="24"/>
                <w:szCs w:val="24"/>
                <w:highlight w:val="none"/>
              </w:rPr>
              <w:t>卫生机构信息公开目录的</w:t>
            </w:r>
            <w:r>
              <w:rPr>
                <w:rFonts w:hint="eastAsia" w:ascii="仿宋_GB2312" w:hAnsi="仿宋_GB2312" w:eastAsia="仿宋_GB2312" w:cs="仿宋_GB2312"/>
                <w:color w:val="auto"/>
                <w:spacing w:val="29"/>
                <w:sz w:val="24"/>
                <w:szCs w:val="24"/>
                <w:highlight w:val="none"/>
              </w:rPr>
              <w:t>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0"/>
                <w:sz w:val="24"/>
                <w:szCs w:val="24"/>
                <w:highlight w:val="none"/>
              </w:rPr>
              <w:t xml:space="preserve"> 国卫办政务发</w:t>
            </w:r>
            <w:r>
              <w:rPr>
                <w:rFonts w:hint="eastAsia" w:ascii="仿宋_GB2312" w:hAnsi="仿宋_GB2312" w:eastAsia="仿宋_GB2312" w:cs="仿宋_GB2312"/>
                <w:color w:val="auto"/>
                <w:sz w:val="24"/>
                <w:szCs w:val="24"/>
                <w:highlight w:val="none"/>
              </w:rPr>
              <w:t>〔2015〕12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社会事务管理办公室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网上政务服务</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按照事项办理类别公开为民服务办事结果，办事结果要素齐全、具体（可链接到山东政务服务网本地分厅）。</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6"/>
                <w:sz w:val="24"/>
                <w:szCs w:val="24"/>
                <w:highlight w:val="none"/>
              </w:rPr>
              <w:t xml:space="preserve">《国务院关于加快推进 </w:t>
            </w:r>
            <w:r>
              <w:rPr>
                <w:rFonts w:hint="eastAsia" w:ascii="仿宋_GB2312" w:hAnsi="仿宋_GB2312" w:eastAsia="仿宋_GB2312" w:cs="仿宋_GB2312"/>
                <w:color w:val="auto"/>
                <w:spacing w:val="14"/>
                <w:sz w:val="24"/>
                <w:szCs w:val="24"/>
                <w:highlight w:val="none"/>
              </w:rPr>
              <w:t>“</w:t>
            </w:r>
            <w:r>
              <w:rPr>
                <w:rFonts w:hint="eastAsia" w:ascii="仿宋_GB2312" w:hAnsi="仿宋_GB2312" w:eastAsia="仿宋_GB2312" w:cs="仿宋_GB2312"/>
                <w:color w:val="auto"/>
                <w:spacing w:val="13"/>
                <w:sz w:val="24"/>
                <w:szCs w:val="24"/>
                <w:highlight w:val="none"/>
              </w:rPr>
              <w:t>互联网</w:t>
            </w:r>
            <w:r>
              <w:rPr>
                <w:rFonts w:hint="eastAsia" w:ascii="仿宋_GB2312" w:hAnsi="仿宋_GB2312" w:eastAsia="仿宋_GB2312" w:cs="仿宋_GB2312"/>
                <w:color w:val="auto"/>
                <w:spacing w:val="14"/>
                <w:sz w:val="24"/>
                <w:szCs w:val="24"/>
                <w:highlight w:val="none"/>
              </w:rPr>
              <w:t>+政务服务</w:t>
            </w:r>
            <w:r>
              <w:rPr>
                <w:rFonts w:hint="eastAsia" w:ascii="仿宋_GB2312" w:hAnsi="仿宋_GB2312" w:eastAsia="仿宋_GB2312" w:cs="仿宋_GB2312"/>
                <w:color w:val="auto"/>
                <w:spacing w:val="12"/>
                <w:sz w:val="24"/>
                <w:szCs w:val="24"/>
                <w:highlight w:val="none"/>
              </w:rPr>
              <w:t>”</w:t>
            </w:r>
            <w:r>
              <w:rPr>
                <w:rFonts w:hint="eastAsia" w:ascii="仿宋_GB2312" w:hAnsi="仿宋_GB2312" w:eastAsia="仿宋_GB2312" w:cs="仿宋_GB2312"/>
                <w:color w:val="auto"/>
                <w:spacing w:val="7"/>
                <w:sz w:val="24"/>
                <w:szCs w:val="24"/>
                <w:highlight w:val="none"/>
              </w:rPr>
              <w:t>工作的指导意见</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42"/>
                <w:sz w:val="24"/>
                <w:szCs w:val="24"/>
                <w:highlight w:val="none"/>
              </w:rPr>
              <w:t>国发〔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55</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《国务院办公厅关于印发</w:t>
            </w:r>
            <w:r>
              <w:rPr>
                <w:rFonts w:hint="eastAsia" w:ascii="仿宋_GB2312" w:hAnsi="仿宋_GB2312" w:eastAsia="仿宋_GB2312" w:cs="仿宋_GB2312"/>
                <w:color w:val="auto"/>
                <w:spacing w:val="26"/>
                <w:sz w:val="24"/>
                <w:szCs w:val="24"/>
                <w:highlight w:val="none"/>
              </w:rPr>
              <w:t>进一步深化</w:t>
            </w:r>
            <w:r>
              <w:rPr>
                <w:rFonts w:hint="eastAsia" w:ascii="仿宋_GB2312" w:hAnsi="仿宋_GB2312" w:eastAsia="仿宋_GB2312" w:cs="仿宋_GB2312"/>
                <w:color w:val="auto"/>
                <w:spacing w:val="-22"/>
                <w:sz w:val="24"/>
                <w:szCs w:val="24"/>
                <w:highlight w:val="none"/>
              </w:rPr>
              <w:t xml:space="preserve">“ </w:t>
            </w:r>
            <w:r>
              <w:rPr>
                <w:rFonts w:hint="eastAsia" w:ascii="仿宋_GB2312" w:hAnsi="仿宋_GB2312" w:eastAsia="仿宋_GB2312" w:cs="仿宋_GB2312"/>
                <w:color w:val="auto"/>
                <w:spacing w:val="27"/>
                <w:sz w:val="24"/>
                <w:szCs w:val="24"/>
                <w:highlight w:val="none"/>
              </w:rPr>
              <w:t>互联网</w:t>
            </w:r>
            <w:r>
              <w:rPr>
                <w:rFonts w:hint="eastAsia" w:ascii="仿宋_GB2312" w:hAnsi="仿宋_GB2312" w:eastAsia="仿宋_GB2312" w:cs="仿宋_GB2312"/>
                <w:color w:val="auto"/>
                <w:spacing w:val="-21"/>
                <w:sz w:val="24"/>
                <w:szCs w:val="24"/>
                <w:highlight w:val="none"/>
              </w:rPr>
              <w:t xml:space="preserve">+ </w:t>
            </w:r>
            <w:r>
              <w:rPr>
                <w:rFonts w:hint="eastAsia" w:ascii="仿宋_GB2312" w:hAnsi="仿宋_GB2312" w:eastAsia="仿宋_GB2312" w:cs="仿宋_GB2312"/>
                <w:color w:val="auto"/>
                <w:spacing w:val="-13"/>
                <w:sz w:val="24"/>
                <w:szCs w:val="24"/>
                <w:highlight w:val="none"/>
              </w:rPr>
              <w:t>政</w:t>
            </w:r>
            <w:r>
              <w:rPr>
                <w:rFonts w:hint="eastAsia" w:ascii="仿宋_GB2312" w:hAnsi="仿宋_GB2312" w:eastAsia="仿宋_GB2312" w:cs="仿宋_GB2312"/>
                <w:color w:val="auto"/>
                <w:spacing w:val="3"/>
                <w:sz w:val="24"/>
                <w:szCs w:val="24"/>
                <w:highlight w:val="none"/>
              </w:rPr>
              <w:t>务服务</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
                <w:sz w:val="24"/>
                <w:szCs w:val="24"/>
                <w:highlight w:val="none"/>
              </w:rPr>
              <w:t>推进政务服务</w:t>
            </w:r>
            <w:r>
              <w:rPr>
                <w:rFonts w:hint="eastAsia" w:ascii="仿宋_GB2312" w:hAnsi="仿宋_GB2312" w:eastAsia="仿宋_GB2312" w:cs="仿宋_GB2312"/>
                <w:color w:val="auto"/>
                <w:spacing w:val="5"/>
                <w:sz w:val="24"/>
                <w:szCs w:val="24"/>
                <w:highlight w:val="none"/>
              </w:rPr>
              <w:t>“</w:t>
            </w:r>
            <w:r>
              <w:rPr>
                <w:rFonts w:hint="eastAsia" w:ascii="仿宋_GB2312" w:hAnsi="仿宋_GB2312" w:eastAsia="仿宋_GB2312" w:cs="仿宋_GB2312"/>
                <w:color w:val="auto"/>
                <w:spacing w:val="-14"/>
                <w:sz w:val="24"/>
                <w:szCs w:val="24"/>
                <w:highlight w:val="none"/>
              </w:rPr>
              <w:t>一</w:t>
            </w:r>
            <w:r>
              <w:rPr>
                <w:rFonts w:hint="eastAsia" w:ascii="仿宋_GB2312" w:hAnsi="仿宋_GB2312" w:eastAsia="仿宋_GB2312" w:cs="仿宋_GB2312"/>
                <w:color w:val="auto"/>
                <w:spacing w:val="-18"/>
                <w:sz w:val="24"/>
                <w:szCs w:val="24"/>
                <w:highlight w:val="none"/>
              </w:rPr>
              <w:t>网、一门、一次</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4"/>
                <w:sz w:val="24"/>
                <w:szCs w:val="24"/>
                <w:highlight w:val="none"/>
              </w:rPr>
              <w:t>改革实施</w:t>
            </w:r>
            <w:r>
              <w:rPr>
                <w:rFonts w:hint="eastAsia" w:ascii="仿宋_GB2312" w:hAnsi="仿宋_GB2312" w:eastAsia="仿宋_GB2312" w:cs="仿宋_GB2312"/>
                <w:color w:val="auto"/>
                <w:spacing w:val="29"/>
                <w:sz w:val="24"/>
                <w:szCs w:val="24"/>
                <w:highlight w:val="none"/>
              </w:rPr>
              <w:t>方案的通知》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 xml:space="preserve"> 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〔2018〕45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按照有关规定及时公开。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、便民服务中心、</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重点领域信息公开</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精准脱贫</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公开上级及本级政府扶贫相关政策、上级中长期规划、阶段性</w:t>
            </w:r>
            <w:r>
              <w:rPr>
                <w:rFonts w:hint="eastAsia" w:ascii="仿宋_GB2312" w:hAnsi="仿宋_GB2312" w:eastAsia="仿宋_GB2312" w:cs="仿宋_GB2312"/>
                <w:color w:val="auto"/>
                <w:spacing w:val="-11"/>
                <w:sz w:val="24"/>
                <w:szCs w:val="24"/>
                <w:highlight w:val="none"/>
              </w:rPr>
              <w:t>计划；扶贫项目安排、</w:t>
            </w:r>
            <w:r>
              <w:rPr>
                <w:rFonts w:hint="eastAsia" w:ascii="仿宋_GB2312" w:hAnsi="仿宋_GB2312" w:eastAsia="仿宋_GB2312" w:cs="仿宋_GB2312"/>
                <w:color w:val="auto"/>
                <w:spacing w:val="4"/>
                <w:sz w:val="24"/>
                <w:szCs w:val="24"/>
                <w:highlight w:val="none"/>
              </w:rPr>
              <w:t>脱贫攻坚专项行动和专项工程信息及落实情况；扶贫资金安排和管理、资产收益等使用情况；贫困人口退出汇总表；扶贫捐赠款物汇总及使用安排、使用效果或结果等信息。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《山东人民政府办公厅推进重大建设项目批准和实施、公共资源配置、社会公益事业建设领域政府信息公开任务分工方案》</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扶贫</w:t>
            </w:r>
            <w:r>
              <w:rPr>
                <w:rFonts w:hint="eastAsia" w:ascii="仿宋_GB2312" w:hAnsi="仿宋_GB2312" w:eastAsia="仿宋_GB2312" w:cs="仿宋_GB2312"/>
                <w:color w:val="auto"/>
                <w:sz w:val="24"/>
                <w:szCs w:val="24"/>
                <w:highlight w:val="none"/>
                <w:lang w:eastAsia="zh-CN"/>
              </w:rPr>
              <w:t>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教育信息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发布义务教育均衡发展、义务教育控辍保学的政策文件、工作进展和实施成效等信息。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《中华人民共和国义务教</w:t>
            </w:r>
            <w:r>
              <w:rPr>
                <w:rFonts w:hint="eastAsia" w:ascii="仿宋_GB2312" w:hAnsi="仿宋_GB2312" w:eastAsia="仿宋_GB2312" w:cs="仿宋_GB2312"/>
                <w:color w:val="auto"/>
                <w:sz w:val="24"/>
                <w:szCs w:val="24"/>
                <w:highlight w:val="none"/>
              </w:rPr>
              <w:t>育法》</w:t>
            </w:r>
            <w:r>
              <w:rPr>
                <w:rFonts w:hint="eastAsia" w:ascii="仿宋_GB2312" w:hAnsi="仿宋_GB2312" w:eastAsia="仿宋_GB2312" w:cs="仿宋_GB2312"/>
                <w:color w:val="auto"/>
                <w:spacing w:val="-3"/>
                <w:sz w:val="24"/>
                <w:szCs w:val="24"/>
                <w:highlight w:val="none"/>
              </w:rPr>
              <w:t>（2018</w:t>
            </w:r>
            <w:r>
              <w:rPr>
                <w:rFonts w:hint="eastAsia" w:ascii="仿宋_GB2312" w:hAnsi="仿宋_GB2312" w:eastAsia="仿宋_GB2312" w:cs="仿宋_GB2312"/>
                <w:color w:val="auto"/>
                <w:sz w:val="24"/>
                <w:szCs w:val="24"/>
                <w:highlight w:val="none"/>
              </w:rPr>
              <w:t xml:space="preserve"> 修正）；</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1"/>
                <w:sz w:val="24"/>
                <w:szCs w:val="24"/>
                <w:highlight w:val="none"/>
              </w:rPr>
            </w:pPr>
            <w:r>
              <w:rPr>
                <w:rFonts w:hint="eastAsia" w:ascii="仿宋_GB2312" w:hAnsi="仿宋_GB2312" w:eastAsia="仿宋_GB2312" w:cs="仿宋_GB2312"/>
                <w:color w:val="auto"/>
                <w:spacing w:val="-1"/>
                <w:sz w:val="24"/>
                <w:szCs w:val="24"/>
                <w:highlight w:val="none"/>
              </w:rPr>
              <w:t>《国务院办公厅关于进一步加强控辍保学提高义务</w:t>
            </w:r>
            <w:r>
              <w:rPr>
                <w:rFonts w:hint="eastAsia" w:ascii="仿宋_GB2312" w:hAnsi="仿宋_GB2312" w:eastAsia="仿宋_GB2312" w:cs="仿宋_GB2312"/>
                <w:color w:val="auto"/>
                <w:sz w:val="24"/>
                <w:szCs w:val="24"/>
                <w:highlight w:val="none"/>
              </w:rPr>
              <w:t>教育巩固水平的通知</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国</w:t>
            </w:r>
            <w:r>
              <w:rPr>
                <w:rFonts w:hint="eastAsia" w:ascii="仿宋_GB2312" w:hAnsi="仿宋_GB2312" w:eastAsia="仿宋_GB2312" w:cs="仿宋_GB2312"/>
                <w:color w:val="auto"/>
                <w:sz w:val="24"/>
                <w:szCs w:val="24"/>
                <w:highlight w:val="none"/>
              </w:rPr>
              <w:t>办发〔2017〕72</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
                <w:sz w:val="24"/>
                <w:szCs w:val="24"/>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1"/>
                <w:sz w:val="24"/>
                <w:szCs w:val="24"/>
                <w:highlight w:val="none"/>
              </w:rPr>
            </w:pPr>
            <w:r>
              <w:rPr>
                <w:rFonts w:hint="eastAsia" w:ascii="仿宋_GB2312" w:hAnsi="仿宋_GB2312" w:eastAsia="仿宋_GB2312" w:cs="仿宋_GB2312"/>
                <w:color w:val="auto"/>
                <w:spacing w:val="-1"/>
                <w:sz w:val="24"/>
                <w:szCs w:val="24"/>
                <w:highlight w:val="none"/>
              </w:rPr>
              <w:t>《国务院关于深入推进义务教育均衡发展的意见》</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（国发〔2012〕48</w:t>
            </w:r>
            <w:r>
              <w:rPr>
                <w:rFonts w:hint="eastAsia" w:ascii="仿宋_GB2312" w:hAnsi="仿宋_GB2312" w:eastAsia="仿宋_GB2312" w:cs="仿宋_GB2312"/>
                <w:color w:val="auto"/>
                <w:spacing w:val="-5"/>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按照有关规定及时公开。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学区</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基本医疗卫生</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发布突发公共卫生事件、传染病疫情及防控、国家免疫计划、</w:t>
            </w:r>
            <w:r>
              <w:rPr>
                <w:rFonts w:hint="eastAsia" w:ascii="仿宋_GB2312" w:hAnsi="仿宋_GB2312" w:eastAsia="仿宋_GB2312" w:cs="仿宋_GB2312"/>
                <w:color w:val="auto"/>
                <w:spacing w:val="-11"/>
                <w:sz w:val="24"/>
                <w:szCs w:val="24"/>
                <w:highlight w:val="none"/>
              </w:rPr>
              <w:t>重大疾病、预防控制、</w:t>
            </w:r>
            <w:r>
              <w:rPr>
                <w:rFonts w:hint="eastAsia" w:ascii="仿宋_GB2312" w:hAnsi="仿宋_GB2312" w:eastAsia="仿宋_GB2312" w:cs="仿宋_GB2312"/>
                <w:color w:val="auto"/>
                <w:spacing w:val="4"/>
                <w:sz w:val="24"/>
                <w:szCs w:val="24"/>
                <w:highlight w:val="none"/>
              </w:rPr>
              <w:t>健康科普、医疗服务等信息。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《国家卫生计生委关于印发国家卫生计生委政府</w:t>
            </w:r>
            <w:r>
              <w:rPr>
                <w:rFonts w:hint="eastAsia" w:ascii="仿宋_GB2312" w:hAnsi="仿宋_GB2312" w:eastAsia="仿宋_GB2312" w:cs="仿宋_GB2312"/>
                <w:color w:val="auto"/>
                <w:sz w:val="24"/>
                <w:szCs w:val="24"/>
                <w:highlight w:val="none"/>
              </w:rPr>
              <w:t>信息公开管理办法的通知》（国卫办发〔2014〕2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《突发公共卫生事件应急条例》（国务院令第588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社会事务管理办公室、社会保障服务中心、</w:t>
            </w:r>
            <w:r>
              <w:rPr>
                <w:rFonts w:hint="eastAsia" w:ascii="仿宋_GB2312" w:hAnsi="仿宋_GB2312" w:eastAsia="仿宋_GB2312" w:cs="仿宋_GB2312"/>
                <w:color w:val="auto"/>
                <w:sz w:val="24"/>
                <w:szCs w:val="24"/>
                <w:highlight w:val="none"/>
              </w:rPr>
              <w:t>卫生院</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31</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社会保障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城乡低保办理流程、保障标准，按月度或季度发放城乡低保发放花名册；农村五保</w:t>
            </w:r>
            <w:r>
              <w:rPr>
                <w:rFonts w:hint="eastAsia" w:ascii="仿宋_GB2312" w:hAnsi="仿宋_GB2312" w:eastAsia="仿宋_GB2312" w:cs="仿宋_GB2312"/>
                <w:color w:val="auto"/>
                <w:spacing w:val="-11"/>
                <w:sz w:val="24"/>
                <w:szCs w:val="24"/>
                <w:highlight w:val="none"/>
              </w:rPr>
              <w:t xml:space="preserve">办理流程、保障标准， </w:t>
            </w:r>
            <w:r>
              <w:rPr>
                <w:rFonts w:hint="eastAsia" w:ascii="仿宋_GB2312" w:hAnsi="仿宋_GB2312" w:eastAsia="仿宋_GB2312" w:cs="仿宋_GB2312"/>
                <w:color w:val="auto"/>
                <w:spacing w:val="4"/>
                <w:sz w:val="24"/>
                <w:szCs w:val="24"/>
                <w:highlight w:val="none"/>
              </w:rPr>
              <w:t>按月度或季度发布农村五保花名册；供养孤儿办理流程、保障标准，按月度或季度发布供养孤儿人数统</w:t>
            </w:r>
            <w:r>
              <w:rPr>
                <w:rFonts w:hint="eastAsia" w:ascii="仿宋_GB2312" w:hAnsi="仿宋_GB2312" w:eastAsia="仿宋_GB2312" w:cs="仿宋_GB2312"/>
                <w:color w:val="auto"/>
                <w:spacing w:val="14"/>
                <w:sz w:val="24"/>
                <w:szCs w:val="24"/>
                <w:highlight w:val="none"/>
              </w:rPr>
              <w:t>计</w:t>
            </w:r>
            <w:r>
              <w:rPr>
                <w:rFonts w:hint="eastAsia" w:ascii="仿宋_GB2312" w:hAnsi="仿宋_GB2312" w:eastAsia="仿宋_GB2312" w:cs="仿宋_GB2312"/>
                <w:color w:val="auto"/>
                <w:spacing w:val="3"/>
                <w:sz w:val="24"/>
                <w:szCs w:val="24"/>
                <w:highlight w:val="none"/>
              </w:rPr>
              <w:t xml:space="preserve">; </w:t>
            </w:r>
            <w:r>
              <w:rPr>
                <w:rFonts w:hint="eastAsia" w:ascii="仿宋_GB2312" w:hAnsi="仿宋_GB2312" w:eastAsia="仿宋_GB2312" w:cs="仿宋_GB2312"/>
                <w:color w:val="auto"/>
                <w:spacing w:val="10"/>
                <w:sz w:val="24"/>
                <w:szCs w:val="24"/>
                <w:highlight w:val="none"/>
              </w:rPr>
              <w:t>老年人福利补贴</w:t>
            </w:r>
            <w:r>
              <w:rPr>
                <w:rFonts w:hint="eastAsia" w:ascii="仿宋_GB2312" w:hAnsi="仿宋_GB2312" w:eastAsia="仿宋_GB2312" w:cs="仿宋_GB2312"/>
                <w:color w:val="auto"/>
                <w:spacing w:val="37"/>
                <w:sz w:val="24"/>
                <w:szCs w:val="24"/>
                <w:highlight w:val="none"/>
              </w:rPr>
              <w:t>申领及申请审批程</w:t>
            </w:r>
            <w:r>
              <w:rPr>
                <w:rFonts w:hint="eastAsia" w:ascii="仿宋_GB2312" w:hAnsi="仿宋_GB2312" w:eastAsia="仿宋_GB2312" w:cs="仿宋_GB2312"/>
                <w:color w:val="auto"/>
                <w:spacing w:val="4"/>
                <w:sz w:val="24"/>
                <w:szCs w:val="24"/>
                <w:highlight w:val="none"/>
              </w:rPr>
              <w:t>序，福利补贴发放； 残疾人福利补贴申领及申请审批程序，福利补贴发放；儿童福利补贴申领及申请审批程序，福利补贴发放信息。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社会保障服务中心、</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促进就业</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公益性岗位开发、就业驿站、技能培训的上级政策及工作方案、工作推进、工作成效等信息。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监督检查</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发布安全生产、食品</w:t>
            </w:r>
            <w:r>
              <w:rPr>
                <w:rFonts w:hint="eastAsia" w:ascii="仿宋_GB2312" w:hAnsi="仿宋_GB2312" w:eastAsia="仿宋_GB2312" w:cs="仿宋_GB2312"/>
                <w:color w:val="auto"/>
                <w:spacing w:val="-11"/>
                <w:sz w:val="24"/>
                <w:szCs w:val="24"/>
                <w:highlight w:val="none"/>
              </w:rPr>
              <w:t xml:space="preserve">药品、产品质量政策； </w:t>
            </w:r>
            <w:r>
              <w:rPr>
                <w:rFonts w:hint="eastAsia" w:ascii="仿宋_GB2312" w:hAnsi="仿宋_GB2312" w:eastAsia="仿宋_GB2312" w:cs="仿宋_GB2312"/>
                <w:color w:val="auto"/>
                <w:spacing w:val="4"/>
                <w:sz w:val="24"/>
                <w:szCs w:val="24"/>
                <w:highlight w:val="none"/>
              </w:rPr>
              <w:t>监管执法抽查结果、查处情况以及年度抽查工作计划、检查中发现的问题及处理情况等信息。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应急管理办公室、综合治理中心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34</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农业农村政策</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发布与本地区有关的农业农村政策。</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农田水利工程建设运营</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发布农田水利工程建设运营信息。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农村土地承包经营权流转</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发布本辖区的农村土地承包经营权流转政策，推进情况，具体</w:t>
            </w:r>
            <w:r>
              <w:rPr>
                <w:rFonts w:hint="eastAsia" w:ascii="仿宋_GB2312" w:hAnsi="仿宋_GB2312" w:eastAsia="仿宋_GB2312" w:cs="仿宋_GB2312"/>
                <w:color w:val="auto"/>
                <w:spacing w:val="-9"/>
                <w:sz w:val="24"/>
                <w:szCs w:val="24"/>
                <w:highlight w:val="none"/>
              </w:rPr>
              <w:t>宗地流转方、流入方、</w:t>
            </w:r>
            <w:r>
              <w:rPr>
                <w:rFonts w:hint="eastAsia" w:ascii="仿宋_GB2312" w:hAnsi="仿宋_GB2312" w:eastAsia="仿宋_GB2312" w:cs="仿宋_GB2312"/>
                <w:color w:val="auto"/>
                <w:spacing w:val="-11"/>
                <w:sz w:val="24"/>
                <w:szCs w:val="24"/>
                <w:highlight w:val="none"/>
              </w:rPr>
              <w:t xml:space="preserve">流转用途、流转面积、流转价格、流转金额， </w:t>
            </w:r>
            <w:r>
              <w:rPr>
                <w:rFonts w:hint="eastAsia" w:ascii="仿宋_GB2312" w:hAnsi="仿宋_GB2312" w:eastAsia="仿宋_GB2312" w:cs="仿宋_GB2312"/>
                <w:color w:val="auto"/>
                <w:spacing w:val="4"/>
                <w:sz w:val="24"/>
                <w:szCs w:val="24"/>
                <w:highlight w:val="none"/>
              </w:rPr>
              <w:t>实行流转奖励地方的</w:t>
            </w:r>
            <w:r>
              <w:rPr>
                <w:rFonts w:hint="eastAsia" w:ascii="仿宋_GB2312" w:hAnsi="仿宋_GB2312" w:eastAsia="仿宋_GB2312" w:cs="仿宋_GB2312"/>
                <w:color w:val="auto"/>
                <w:spacing w:val="37"/>
                <w:sz w:val="24"/>
                <w:szCs w:val="24"/>
                <w:highlight w:val="none"/>
              </w:rPr>
              <w:t>流转奖励结果等信</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《农村土地承包经营权流</w:t>
            </w:r>
            <w:r>
              <w:rPr>
                <w:rFonts w:hint="eastAsia" w:ascii="仿宋_GB2312" w:hAnsi="仿宋_GB2312" w:eastAsia="仿宋_GB2312" w:cs="仿宋_GB2312"/>
                <w:color w:val="auto"/>
                <w:spacing w:val="-28"/>
                <w:sz w:val="24"/>
                <w:szCs w:val="24"/>
                <w:highlight w:val="none"/>
              </w:rPr>
              <w:t>转管理办法》农业部令</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第</w:t>
            </w:r>
            <w:r>
              <w:rPr>
                <w:rFonts w:hint="eastAsia" w:ascii="仿宋_GB2312" w:hAnsi="仿宋_GB2312" w:eastAsia="仿宋_GB2312" w:cs="仿宋_GB2312"/>
                <w:color w:val="auto"/>
                <w:sz w:val="24"/>
                <w:szCs w:val="24"/>
                <w:highlight w:val="none"/>
              </w:rPr>
              <w:t>47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宅基地使用情况审核</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发布宅基地使用情况审核统计表包括使用人姓名、用地面积、耕地或非耕地等。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土地征收</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转发征收批复、征收公告，发布补偿安置等信息。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房屋征收</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转发征收批复、征收公告，发布补偿安置等信息。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《国有土地上房屋征收与补偿条例》（国务院令第590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筹资筹劳</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发布本辖区的筹资筹劳资金管理办法、筹资筹劳清册、报表等信息。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个工作日内。（征地批复、征地公告自信息形成10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社会救助</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医疗救助办理流程， 救助标准，按月度或季度发布医疗救助花名册；临时救助办理流程，救助标准；按月度或季度发布困难</w:t>
            </w:r>
            <w:r>
              <w:rPr>
                <w:rFonts w:hint="eastAsia" w:ascii="仿宋_GB2312" w:hAnsi="仿宋_GB2312" w:eastAsia="仿宋_GB2312" w:cs="仿宋_GB2312"/>
                <w:color w:val="auto"/>
                <w:spacing w:val="37"/>
                <w:sz w:val="24"/>
                <w:szCs w:val="24"/>
                <w:highlight w:val="none"/>
              </w:rPr>
              <w:t>群众临时救助花名</w:t>
            </w:r>
            <w:r>
              <w:rPr>
                <w:rFonts w:hint="eastAsia" w:ascii="仿宋_GB2312" w:hAnsi="仿宋_GB2312" w:eastAsia="仿宋_GB2312" w:cs="仿宋_GB2312"/>
                <w:color w:val="auto"/>
                <w:spacing w:val="4"/>
                <w:sz w:val="24"/>
                <w:szCs w:val="24"/>
                <w:highlight w:val="none"/>
              </w:rPr>
              <w:t>册；计划生育特殊困</w:t>
            </w:r>
            <w:r>
              <w:rPr>
                <w:rFonts w:hint="eastAsia" w:ascii="仿宋_GB2312" w:hAnsi="仿宋_GB2312" w:eastAsia="仿宋_GB2312" w:cs="仿宋_GB2312"/>
                <w:color w:val="auto"/>
                <w:spacing w:val="37"/>
                <w:sz w:val="24"/>
                <w:szCs w:val="24"/>
                <w:highlight w:val="none"/>
              </w:rPr>
              <w:t>难家庭扶助对象认</w:t>
            </w:r>
            <w:r>
              <w:rPr>
                <w:rFonts w:hint="eastAsia" w:ascii="仿宋_GB2312" w:hAnsi="仿宋_GB2312" w:eastAsia="仿宋_GB2312" w:cs="仿宋_GB2312"/>
                <w:color w:val="auto"/>
                <w:spacing w:val="4"/>
                <w:sz w:val="24"/>
                <w:szCs w:val="24"/>
                <w:highlight w:val="none"/>
              </w:rPr>
              <w:t>定、本年度救助标准；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按月度或按季度公开</w:t>
            </w:r>
            <w:r>
              <w:rPr>
                <w:rFonts w:hint="eastAsia" w:ascii="仿宋_GB2312" w:hAnsi="仿宋_GB2312" w:eastAsia="仿宋_GB2312" w:cs="仿宋_GB2312"/>
                <w:color w:val="auto"/>
                <w:sz w:val="24"/>
                <w:szCs w:val="24"/>
                <w:highlight w:val="none"/>
              </w:rPr>
              <w:t>分配救助款物、资金的管理使用安排；灾情统计核定、救灾工作情况；救灾资金物资调拨使用；贫困精神病患者免费服药调查花名册、送温暖对象花名册等信息。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《社会救助暂行办法</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国</w:t>
            </w:r>
            <w:r>
              <w:rPr>
                <w:rFonts w:hint="eastAsia" w:ascii="仿宋_GB2312" w:hAnsi="仿宋_GB2312" w:eastAsia="仿宋_GB2312" w:cs="仿宋_GB2312"/>
                <w:color w:val="auto"/>
                <w:spacing w:val="-3"/>
                <w:sz w:val="24"/>
                <w:szCs w:val="24"/>
                <w:highlight w:val="none"/>
              </w:rPr>
              <w:t xml:space="preserve">务院令第 </w:t>
            </w:r>
            <w:r>
              <w:rPr>
                <w:rFonts w:hint="eastAsia" w:ascii="仿宋_GB2312" w:hAnsi="仿宋_GB2312" w:eastAsia="仿宋_GB2312" w:cs="仿宋_GB2312"/>
                <w:color w:val="auto"/>
                <w:sz w:val="24"/>
                <w:szCs w:val="24"/>
                <w:highlight w:val="none"/>
              </w:rPr>
              <w:t>649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个工作日内。（征地批复、征地公告自信息形成10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社会保障服务中心、</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生态环境</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河（湖）长制、林长制、畜禽养殖、改水改厕、垃圾治理等环境保护领域政策落实、工作推进监督检查等信息。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《中华人民共和国环境保</w:t>
            </w:r>
            <w:r>
              <w:rPr>
                <w:rFonts w:hint="eastAsia" w:ascii="仿宋_GB2312" w:hAnsi="仿宋_GB2312" w:eastAsia="仿宋_GB2312" w:cs="仿宋_GB2312"/>
                <w:color w:val="auto"/>
                <w:spacing w:val="-29"/>
                <w:sz w:val="24"/>
                <w:szCs w:val="24"/>
                <w:highlight w:val="none"/>
              </w:rPr>
              <w:t>护法》</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 xml:space="preserve">主席令第 </w:t>
            </w:r>
            <w:r>
              <w:rPr>
                <w:rFonts w:hint="eastAsia" w:ascii="仿宋_GB2312" w:hAnsi="仿宋_GB2312" w:eastAsia="仿宋_GB2312" w:cs="仿宋_GB2312"/>
                <w:color w:val="auto"/>
                <w:sz w:val="24"/>
                <w:szCs w:val="24"/>
                <w:highlight w:val="none"/>
              </w:rPr>
              <w:t>9 号</w:t>
            </w:r>
            <w:r>
              <w:rPr>
                <w:rFonts w:hint="eastAsia" w:ascii="仿宋_GB2312" w:hAnsi="仿宋_GB2312" w:eastAsia="仿宋_GB2312" w:cs="仿宋_GB2312"/>
                <w:color w:val="auto"/>
                <w:spacing w:val="-22"/>
                <w:sz w:val="24"/>
                <w:szCs w:val="24"/>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美丽乡村</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发布美丽乡村建设规划、省市县美丽乡村建设示范点；本辖区的美丽乡村建设进展情况等。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乡村规划建设监督管理办公室、农业综合服务中心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土地利用</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发布本辖区土地利用总体规划编制情况、土地整治（土地增减挂钩、新增耕地、工矿废弃地复垦等）实施情况。</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45</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农村危房改造</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实施方案、文件通知、</w:t>
            </w:r>
            <w:r>
              <w:rPr>
                <w:rFonts w:hint="eastAsia" w:ascii="仿宋_GB2312" w:hAnsi="仿宋_GB2312" w:eastAsia="仿宋_GB2312" w:cs="仿宋_GB2312"/>
                <w:color w:val="auto"/>
                <w:spacing w:val="4"/>
                <w:sz w:val="24"/>
                <w:szCs w:val="24"/>
                <w:highlight w:val="none"/>
              </w:rPr>
              <w:t>申请改造条件、申请</w:t>
            </w:r>
            <w:r>
              <w:rPr>
                <w:rFonts w:hint="eastAsia" w:ascii="仿宋_GB2312" w:hAnsi="仿宋_GB2312" w:eastAsia="仿宋_GB2312" w:cs="仿宋_GB2312"/>
                <w:color w:val="auto"/>
                <w:spacing w:val="-11"/>
                <w:sz w:val="24"/>
                <w:szCs w:val="24"/>
                <w:highlight w:val="none"/>
              </w:rPr>
              <w:t xml:space="preserve">程序、危房鉴定标准； 改造资金安排、数量， </w:t>
            </w:r>
            <w:r>
              <w:rPr>
                <w:rFonts w:hint="eastAsia" w:ascii="仿宋_GB2312" w:hAnsi="仿宋_GB2312" w:eastAsia="仿宋_GB2312" w:cs="仿宋_GB2312"/>
                <w:color w:val="auto"/>
                <w:spacing w:val="37"/>
                <w:sz w:val="24"/>
                <w:szCs w:val="24"/>
                <w:highlight w:val="none"/>
              </w:rPr>
              <w:t>年度完成情况等信息。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乡村规划建设监督管理办公室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公共资源交易</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交易公告 280100</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发布交易预算和交易公告。</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《国务院办公厅关于推进公共资源配置领域政府信息公开的意见》（国办发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〔2017〕97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《中华人民共和国政府采购法实施条例》（国务院令第 658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9"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rPr>
              <w:t>中</w:t>
            </w:r>
            <w:r>
              <w:rPr>
                <w:rFonts w:hint="eastAsia" w:ascii="仿宋_GB2312" w:hAnsi="仿宋_GB2312" w:eastAsia="仿宋_GB2312" w:cs="仿宋_GB2312"/>
                <w:color w:val="auto"/>
                <w:sz w:val="24"/>
                <w:szCs w:val="24"/>
                <w:highlight w:val="none"/>
              </w:rPr>
              <w:t>标成交</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公告</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280200</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发布中标成交公告。</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《国务院办公厅关于推进公共资源配置领域政府信息公开的意见》（国办发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〔2017〕97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《中华人民共和国政府采购法实施条例》（国务院令第 658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新闻发布</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新闻发布会及其他形式的新闻宣传信息。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宣传文化（旅游）办公室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6"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49</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政策解读</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上级政策解读；本级相关政策解读；高质量发展政策文件、政策解读、工作推进及成效等信息。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50</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回应关切</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发布针对涉及群众切身利益、影响社会稳定和突发公共事件的重点事项等信息。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按规定及时发布。</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宣传文化（旅游）办公、应急管理办公室、</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51</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监督保障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发布政务公开制度及政务公开工作开展、工作交流等信息。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bl>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sz w:val="24"/>
          <w:szCs w:val="24"/>
        </w:rPr>
      </w:pPr>
    </w:p>
    <w:sectPr>
      <w:footerReference r:id="rId3" w:type="default"/>
      <w:pgSz w:w="23820" w:h="16840" w:orient="landscape"/>
      <w:pgMar w:top="1600" w:right="1840" w:bottom="280" w:left="184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9CA295"/>
    <w:multiLevelType w:val="singleLevel"/>
    <w:tmpl w:val="DB9CA295"/>
    <w:lvl w:ilvl="0" w:tentative="0">
      <w:start w:val="1"/>
      <w:numFmt w:val="bullet"/>
      <w:lvlText w:val=""/>
      <w:lvlJc w:val="left"/>
      <w:pPr>
        <w:ind w:left="420" w:leftChars="0" w:hanging="420" w:firstLineChars="0"/>
      </w:pPr>
      <w:rPr>
        <w:rFonts w:hint="default" w:ascii="Wingdings" w:hAnsi="Wingdings"/>
        <w:sz w:val="24"/>
        <w:szCs w:val="24"/>
      </w:rPr>
    </w:lvl>
  </w:abstractNum>
  <w:abstractNum w:abstractNumId="1">
    <w:nsid w:val="4C1BAE26"/>
    <w:multiLevelType w:val="multilevel"/>
    <w:tmpl w:val="4C1BAE26"/>
    <w:lvl w:ilvl="0" w:tentative="0">
      <w:start w:val="1"/>
      <w:numFmt w:val="decimal"/>
      <w:lvlText w:val="%1."/>
      <w:lvlJc w:val="left"/>
      <w:pPr>
        <w:ind w:left="55" w:hanging="312"/>
        <w:jc w:val="left"/>
      </w:pPr>
      <w:rPr>
        <w:rFonts w:hint="default" w:ascii="Times New Roman" w:hAnsi="Times New Roman" w:eastAsia="Times New Roman" w:cs="Times New Roman"/>
        <w:w w:val="99"/>
        <w:sz w:val="26"/>
        <w:szCs w:val="26"/>
        <w:lang w:val="en-US" w:eastAsia="zh-CN" w:bidi="ar-SA"/>
      </w:rPr>
    </w:lvl>
    <w:lvl w:ilvl="1" w:tentative="0">
      <w:start w:val="0"/>
      <w:numFmt w:val="bullet"/>
      <w:lvlText w:val="•"/>
      <w:lvlJc w:val="left"/>
      <w:pPr>
        <w:ind w:left="350" w:hanging="312"/>
      </w:pPr>
      <w:rPr>
        <w:rFonts w:hint="default"/>
        <w:lang w:val="en-US" w:eastAsia="zh-CN" w:bidi="ar-SA"/>
      </w:rPr>
    </w:lvl>
    <w:lvl w:ilvl="2" w:tentative="0">
      <w:start w:val="0"/>
      <w:numFmt w:val="bullet"/>
      <w:lvlText w:val="•"/>
      <w:lvlJc w:val="left"/>
      <w:pPr>
        <w:ind w:left="641" w:hanging="312"/>
      </w:pPr>
      <w:rPr>
        <w:rFonts w:hint="default"/>
        <w:lang w:val="en-US" w:eastAsia="zh-CN" w:bidi="ar-SA"/>
      </w:rPr>
    </w:lvl>
    <w:lvl w:ilvl="3" w:tentative="0">
      <w:start w:val="0"/>
      <w:numFmt w:val="bullet"/>
      <w:lvlText w:val="•"/>
      <w:lvlJc w:val="left"/>
      <w:pPr>
        <w:ind w:left="931" w:hanging="312"/>
      </w:pPr>
      <w:rPr>
        <w:rFonts w:hint="default"/>
        <w:lang w:val="en-US" w:eastAsia="zh-CN" w:bidi="ar-SA"/>
      </w:rPr>
    </w:lvl>
    <w:lvl w:ilvl="4" w:tentative="0">
      <w:start w:val="0"/>
      <w:numFmt w:val="bullet"/>
      <w:lvlText w:val="•"/>
      <w:lvlJc w:val="left"/>
      <w:pPr>
        <w:ind w:left="1222" w:hanging="312"/>
      </w:pPr>
      <w:rPr>
        <w:rFonts w:hint="default"/>
        <w:lang w:val="en-US" w:eastAsia="zh-CN" w:bidi="ar-SA"/>
      </w:rPr>
    </w:lvl>
    <w:lvl w:ilvl="5" w:tentative="0">
      <w:start w:val="0"/>
      <w:numFmt w:val="bullet"/>
      <w:lvlText w:val="•"/>
      <w:lvlJc w:val="left"/>
      <w:pPr>
        <w:ind w:left="1513" w:hanging="312"/>
      </w:pPr>
      <w:rPr>
        <w:rFonts w:hint="default"/>
        <w:lang w:val="en-US" w:eastAsia="zh-CN" w:bidi="ar-SA"/>
      </w:rPr>
    </w:lvl>
    <w:lvl w:ilvl="6" w:tentative="0">
      <w:start w:val="0"/>
      <w:numFmt w:val="bullet"/>
      <w:lvlText w:val="•"/>
      <w:lvlJc w:val="left"/>
      <w:pPr>
        <w:ind w:left="1803" w:hanging="312"/>
      </w:pPr>
      <w:rPr>
        <w:rFonts w:hint="default"/>
        <w:lang w:val="en-US" w:eastAsia="zh-CN" w:bidi="ar-SA"/>
      </w:rPr>
    </w:lvl>
    <w:lvl w:ilvl="7" w:tentative="0">
      <w:start w:val="0"/>
      <w:numFmt w:val="bullet"/>
      <w:lvlText w:val="•"/>
      <w:lvlJc w:val="left"/>
      <w:pPr>
        <w:ind w:left="2094" w:hanging="312"/>
      </w:pPr>
      <w:rPr>
        <w:rFonts w:hint="default"/>
        <w:lang w:val="en-US" w:eastAsia="zh-CN" w:bidi="ar-SA"/>
      </w:rPr>
    </w:lvl>
    <w:lvl w:ilvl="8" w:tentative="0">
      <w:start w:val="0"/>
      <w:numFmt w:val="bullet"/>
      <w:lvlText w:val="•"/>
      <w:lvlJc w:val="left"/>
      <w:pPr>
        <w:ind w:left="2384" w:hanging="312"/>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D743E"/>
    <w:rsid w:val="1FFC30C1"/>
    <w:rsid w:val="3DC90EE8"/>
    <w:rsid w:val="45D41A82"/>
    <w:rsid w:val="5361276D"/>
    <w:rsid w:val="79355863"/>
    <w:rsid w:val="7DA34B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Microsoft JhengHei" w:hAnsi="Microsoft JhengHei" w:eastAsia="Microsoft JhengHei" w:cs="Microsoft JhengHei"/>
      <w:b/>
      <w:bCs/>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Title"/>
    <w:basedOn w:val="1"/>
    <w:qFormat/>
    <w:uiPriority w:val="1"/>
    <w:pPr>
      <w:spacing w:line="3262" w:lineRule="exact"/>
      <w:ind w:left="877" w:right="1003"/>
      <w:jc w:val="center"/>
    </w:pPr>
    <w:rPr>
      <w:rFonts w:ascii="微软雅黑" w:hAnsi="微软雅黑" w:eastAsia="微软雅黑" w:cs="微软雅黑"/>
      <w:sz w:val="200"/>
      <w:szCs w:val="200"/>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2020-11-26T09:17:00Z</dcterms:created>
  <dc:creator>NTKO</dc:creator>
  <cp:lastModifiedBy>Administrator</cp:lastModifiedBy>
  <dcterms:modified xsi:type="dcterms:W3CDTF">2020-11-30T01:06:23Z</dcterms:modified>
  <dc:title>宿州市民政局政府信息主动公开目录事项标准（2019）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WPS 文字</vt:lpwstr>
  </property>
  <property fmtid="{D5CDD505-2E9C-101B-9397-08002B2CF9AE}" pid="4" name="LastSaved">
    <vt:filetime>2020-11-26T00:00:00Z</vt:filetime>
  </property>
  <property fmtid="{D5CDD505-2E9C-101B-9397-08002B2CF9AE}" pid="5" name="KSOProductBuildVer">
    <vt:lpwstr>2052-11.1.0.9739</vt:lpwstr>
  </property>
</Properties>
</file>