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凫城</w:t>
      </w:r>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公开查阅点</w:t>
            </w:r>
            <w:r>
              <w:rPr>
                <w:rFonts w:hint="eastAsia" w:ascii="仿宋_GB2312" w:hAnsi="仿宋_GB2312" w:eastAsia="仿宋_GB2312" w:cs="仿宋_GB2312"/>
                <w:color w:val="auto"/>
                <w:spacing w:val="14"/>
                <w:sz w:val="24"/>
                <w:szCs w:val="24"/>
                <w:highlight w:val="none"/>
                <w:lang w:val="en-US" w:eastAsia="zh-CN"/>
              </w:rPr>
              <w:t xml:space="preserve">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《重大行政决策程序暂行条例》（国务院令第 713 号）</w:t>
            </w:r>
            <w:r>
              <w:rPr>
                <w:rFonts w:hint="eastAsia" w:ascii="仿宋_GB2312" w:hAnsi="仿宋_GB2312" w:eastAsia="仿宋_GB2312" w:cs="仿宋_GB2312"/>
                <w:color w:val="auto"/>
                <w:sz w:val="24"/>
                <w:szCs w:val="24"/>
                <w:highlight w:val="none"/>
                <w:lang w:eastAsia="zh-CN"/>
              </w:rPr>
              <w:t>。</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w:t>
            </w:r>
            <w:r>
              <w:rPr>
                <w:rFonts w:hint="eastAsia" w:ascii="仿宋_GB2312" w:hAnsi="仿宋_GB2312" w:eastAsia="仿宋_GB2312" w:cs="仿宋_GB2312"/>
                <w:color w:val="auto"/>
                <w:sz w:val="24"/>
                <w:szCs w:val="24"/>
                <w:highlight w:val="none"/>
                <w:lang w:eastAsia="zh-CN"/>
              </w:rPr>
              <w:t>单</w:t>
            </w:r>
            <w:bookmarkStart w:id="0" w:name="_GoBack"/>
            <w:bookmarkEnd w:id="0"/>
            <w:r>
              <w:rPr>
                <w:rFonts w:hint="eastAsia" w:ascii="仿宋_GB2312" w:hAnsi="仿宋_GB2312" w:eastAsia="仿宋_GB2312" w:cs="仿宋_GB2312"/>
                <w:color w:val="auto"/>
                <w:sz w:val="24"/>
                <w:szCs w:val="24"/>
                <w:highlight w:val="none"/>
                <w:lang w:eastAsia="zh-CN"/>
              </w:rPr>
              <w:t>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政府网</w:t>
            </w:r>
            <w:r>
              <w:rPr>
                <w:rFonts w:hint="eastAsia" w:ascii="仿宋_GB2312" w:hAnsi="仿宋_GB2312" w:eastAsia="仿宋_GB2312" w:cs="仿宋_GB2312"/>
                <w:color w:val="auto"/>
                <w:sz w:val="24"/>
                <w:szCs w:val="24"/>
                <w:highlight w:val="none"/>
              </w:rPr>
              <w:t>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召开会议的名称、时</w:t>
            </w:r>
            <w:r>
              <w:rPr>
                <w:rFonts w:hint="eastAsia" w:ascii="仿宋_GB2312" w:hAnsi="仿宋_GB2312" w:eastAsia="仿宋_GB2312" w:cs="仿宋_GB2312"/>
                <w:color w:val="auto"/>
                <w:spacing w:val="-12"/>
                <w:sz w:val="24"/>
                <w:szCs w:val="24"/>
                <w:highlight w:val="none"/>
              </w:rPr>
              <w:t>间、地点、与会人员、</w:t>
            </w:r>
            <w:r>
              <w:rPr>
                <w:rFonts w:hint="eastAsia" w:ascii="仿宋_GB2312" w:hAnsi="仿宋_GB2312" w:eastAsia="仿宋_GB2312" w:cs="仿宋_GB2312"/>
                <w:color w:val="auto"/>
                <w:spacing w:val="4"/>
                <w:sz w:val="24"/>
                <w:szCs w:val="24"/>
                <w:highlight w:val="none"/>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11"/>
                <w:sz w:val="24"/>
                <w:szCs w:val="24"/>
                <w:highlight w:val="none"/>
              </w:rPr>
              <w:t>□精准推送</w:t>
            </w:r>
            <w:r>
              <w:rPr>
                <w:rFonts w:hint="eastAsia" w:ascii="仿宋_GB2312" w:hAnsi="仿宋_GB2312" w:eastAsia="仿宋_GB2312" w:cs="仿宋_GB2312"/>
                <w:color w:val="auto"/>
                <w:spacing w:val="11"/>
                <w:sz w:val="24"/>
                <w:szCs w:val="24"/>
                <w:highlight w:val="none"/>
              </w:rPr>
              <w:tab/>
            </w:r>
            <w:r>
              <w:rPr>
                <w:rFonts w:hint="eastAsia" w:ascii="仿宋_GB2312" w:hAnsi="仿宋_GB2312" w:eastAsia="仿宋_GB2312" w:cs="仿宋_GB2312"/>
                <w:color w:val="auto"/>
                <w:spacing w:val="11"/>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国民经济</w:t>
            </w:r>
            <w:r>
              <w:rPr>
                <w:rFonts w:hint="eastAsia" w:ascii="仿宋_GB2312" w:hAnsi="仿宋_GB2312" w:eastAsia="仿宋_GB2312" w:cs="仿宋_GB2312"/>
                <w:color w:val="auto"/>
                <w:sz w:val="24"/>
                <w:szCs w:val="24"/>
                <w:highlight w:val="none"/>
              </w:rPr>
              <w:t>和社会</w:t>
            </w:r>
            <w:r>
              <w:rPr>
                <w:rFonts w:hint="eastAsia" w:ascii="仿宋_GB2312" w:hAnsi="仿宋_GB2312" w:eastAsia="仿宋_GB2312" w:cs="仿宋_GB2312"/>
                <w:color w:val="auto"/>
                <w:spacing w:val="-4"/>
                <w:sz w:val="24"/>
                <w:szCs w:val="24"/>
                <w:highlight w:val="none"/>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9"/>
                <w:sz w:val="24"/>
                <w:szCs w:val="24"/>
                <w:highlight w:val="none"/>
              </w:rPr>
              <w:t>政府工作报告分解</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1"/>
                <w:sz w:val="24"/>
                <w:szCs w:val="24"/>
                <w:highlight w:val="none"/>
              </w:rPr>
              <w:t>重大决策、重要政策、</w:t>
            </w:r>
            <w:r>
              <w:rPr>
                <w:rFonts w:hint="eastAsia" w:ascii="仿宋_GB2312" w:hAnsi="仿宋_GB2312" w:eastAsia="仿宋_GB2312" w:cs="仿宋_GB2312"/>
                <w:color w:val="auto"/>
                <w:spacing w:val="4"/>
                <w:sz w:val="24"/>
                <w:szCs w:val="24"/>
                <w:highlight w:val="none"/>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highlight w:val="none"/>
              </w:rPr>
              <w:t>段性进展或按月（</w:t>
            </w:r>
            <w:r>
              <w:rPr>
                <w:rFonts w:hint="eastAsia" w:ascii="仿宋_GB2312" w:hAnsi="仿宋_GB2312" w:eastAsia="仿宋_GB2312" w:cs="仿宋_GB2312"/>
                <w:color w:val="auto"/>
                <w:sz w:val="24"/>
                <w:szCs w:val="24"/>
                <w:highlight w:val="none"/>
              </w:rPr>
              <w:t>季</w:t>
            </w:r>
            <w:r>
              <w:rPr>
                <w:rFonts w:hint="eastAsia" w:ascii="仿宋_GB2312" w:hAnsi="仿宋_GB2312" w:eastAsia="仿宋_GB2312" w:cs="仿宋_GB2312"/>
                <w:color w:val="auto"/>
                <w:spacing w:val="7"/>
                <w:sz w:val="24"/>
                <w:szCs w:val="24"/>
                <w:highlight w:val="none"/>
              </w:rPr>
              <w:t>度</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4"/>
                <w:sz w:val="24"/>
                <w:szCs w:val="24"/>
                <w:highlight w:val="none"/>
              </w:rPr>
              <w:t>取得的成效、落实情况通报和后续举</w:t>
            </w:r>
            <w:r>
              <w:rPr>
                <w:rFonts w:hint="eastAsia" w:ascii="仿宋_GB2312" w:hAnsi="仿宋_GB2312" w:eastAsia="仿宋_GB2312" w:cs="仿宋_GB2312"/>
                <w:color w:val="auto"/>
                <w:sz w:val="24"/>
                <w:szCs w:val="24"/>
                <w:highlight w:val="none"/>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基层站所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建议删掉</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 xml:space="preserve">“三公” </w:t>
            </w:r>
            <w:r>
              <w:rPr>
                <w:rFonts w:hint="eastAsia" w:ascii="仿宋_GB2312" w:hAnsi="仿宋_GB2312" w:eastAsia="仿宋_GB2312" w:cs="仿宋_GB2312"/>
                <w:color w:val="auto"/>
                <w:sz w:val="24"/>
                <w:szCs w:val="24"/>
                <w:highlight w:val="none"/>
              </w:rPr>
              <w:t>经费情况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（境</w:t>
            </w:r>
            <w:r>
              <w:rPr>
                <w:rFonts w:hint="eastAsia" w:ascii="仿宋_GB2312" w:hAnsi="仿宋_GB2312" w:eastAsia="仿宋_GB2312" w:cs="仿宋_GB2312"/>
                <w:color w:val="auto"/>
                <w:spacing w:val="-84"/>
                <w:sz w:val="24"/>
                <w:szCs w:val="24"/>
                <w:highlight w:val="none"/>
              </w:rPr>
              <w:t>）</w:t>
            </w:r>
            <w:r>
              <w:rPr>
                <w:rFonts w:hint="eastAsia" w:ascii="仿宋_GB2312" w:hAnsi="仿宋_GB2312" w:eastAsia="仿宋_GB2312" w:cs="仿宋_GB2312"/>
                <w:color w:val="auto"/>
                <w:spacing w:val="-2"/>
                <w:sz w:val="24"/>
                <w:szCs w:val="24"/>
                <w:highlight w:val="none"/>
              </w:rPr>
              <w:t xml:space="preserve">团组数及人数； </w:t>
            </w:r>
            <w:r>
              <w:rPr>
                <w:rFonts w:hint="eastAsia" w:ascii="仿宋_GB2312" w:hAnsi="仿宋_GB2312" w:eastAsia="仿宋_GB2312" w:cs="仿宋_GB2312"/>
                <w:color w:val="auto"/>
                <w:spacing w:val="4"/>
                <w:sz w:val="24"/>
                <w:szCs w:val="24"/>
                <w:highlight w:val="none"/>
              </w:rPr>
              <w:t>公务用车购置数及保有量；国内公务接待</w:t>
            </w:r>
            <w:r>
              <w:rPr>
                <w:rFonts w:hint="eastAsia" w:ascii="仿宋_GB2312" w:hAnsi="仿宋_GB2312" w:eastAsia="仿宋_GB2312" w:cs="仿宋_GB2312"/>
                <w:color w:val="auto"/>
                <w:spacing w:val="-19"/>
                <w:sz w:val="24"/>
                <w:szCs w:val="24"/>
                <w:highlight w:val="none"/>
              </w:rPr>
              <w:t>的批次、人数；</w:t>
            </w:r>
            <w:r>
              <w:rPr>
                <w:rFonts w:hint="eastAsia" w:ascii="仿宋_GB2312" w:hAnsi="仿宋_GB2312" w:eastAsia="仿宋_GB2312" w:cs="仿宋_GB2312"/>
                <w:color w:val="auto"/>
                <w:spacing w:val="-46"/>
                <w:sz w:val="24"/>
                <w:szCs w:val="24"/>
                <w:highlight w:val="none"/>
              </w:rPr>
              <w:t>“</w:t>
            </w:r>
            <w:r>
              <w:rPr>
                <w:rFonts w:hint="eastAsia" w:ascii="仿宋_GB2312" w:hAnsi="仿宋_GB2312" w:eastAsia="仿宋_GB2312" w:cs="仿宋_GB2312"/>
                <w:color w:val="auto"/>
                <w:sz w:val="24"/>
                <w:szCs w:val="24"/>
                <w:highlight w:val="none"/>
              </w:rPr>
              <w:t>三公”</w:t>
            </w:r>
            <w:r>
              <w:rPr>
                <w:rFonts w:hint="eastAsia" w:ascii="仿宋_GB2312" w:hAnsi="仿宋_GB2312" w:eastAsia="仿宋_GB2312" w:cs="仿宋_GB2312"/>
                <w:color w:val="auto"/>
                <w:spacing w:val="4"/>
                <w:sz w:val="24"/>
                <w:szCs w:val="24"/>
                <w:highlight w:val="none"/>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highlight w:val="none"/>
              </w:rPr>
            </w:pPr>
            <w:r>
              <w:rPr>
                <w:rFonts w:hint="eastAsia" w:ascii="仿宋_GB2312" w:hAnsi="仿宋_GB2312" w:eastAsia="仿宋_GB2312" w:cs="仿宋_GB2312"/>
                <w:color w:val="auto"/>
                <w:spacing w:val="23"/>
                <w:sz w:val="24"/>
                <w:szCs w:val="24"/>
                <w:highlight w:val="none"/>
              </w:rPr>
              <w:t>《国务院关于加强地</w:t>
            </w:r>
            <w:r>
              <w:rPr>
                <w:rFonts w:hint="eastAsia" w:ascii="仿宋_GB2312" w:hAnsi="仿宋_GB2312" w:eastAsia="仿宋_GB2312" w:cs="仿宋_GB2312"/>
                <w:color w:val="auto"/>
                <w:spacing w:val="26"/>
                <w:sz w:val="24"/>
                <w:szCs w:val="24"/>
                <w:highlight w:val="none"/>
              </w:rPr>
              <w:t>方政府</w:t>
            </w:r>
            <w:r>
              <w:rPr>
                <w:rFonts w:hint="eastAsia" w:ascii="仿宋_GB2312" w:hAnsi="仿宋_GB2312" w:eastAsia="仿宋_GB2312" w:cs="仿宋_GB2312"/>
                <w:color w:val="auto"/>
                <w:spacing w:val="23"/>
                <w:sz w:val="24"/>
                <w:szCs w:val="24"/>
                <w:highlight w:val="none"/>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 xml:space="preserve">《 财 政 部 关 于 做 </w:t>
            </w:r>
            <w:r>
              <w:rPr>
                <w:rFonts w:hint="eastAsia" w:ascii="仿宋_GB2312" w:hAnsi="仿宋_GB2312" w:eastAsia="仿宋_GB2312" w:cs="仿宋_GB2312"/>
                <w:color w:val="auto"/>
                <w:spacing w:val="-11"/>
                <w:sz w:val="24"/>
                <w:szCs w:val="24"/>
                <w:highlight w:val="none"/>
              </w:rPr>
              <w:t>好</w:t>
            </w:r>
            <w:r>
              <w:rPr>
                <w:rFonts w:hint="eastAsia" w:ascii="仿宋_GB2312" w:hAnsi="仿宋_GB2312" w:eastAsia="仿宋_GB2312" w:cs="仿宋_GB2312"/>
                <w:color w:val="auto"/>
                <w:sz w:val="24"/>
                <w:szCs w:val="24"/>
                <w:highlight w:val="none"/>
              </w:rPr>
              <w:t>2018</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9"/>
                <w:sz w:val="24"/>
                <w:szCs w:val="24"/>
                <w:highlight w:val="none"/>
              </w:rPr>
              <w:t>年地方政府债务管</w:t>
            </w:r>
            <w:r>
              <w:rPr>
                <w:rFonts w:hint="eastAsia" w:ascii="仿宋_GB2312" w:hAnsi="仿宋_GB2312" w:eastAsia="仿宋_GB2312" w:cs="仿宋_GB2312"/>
                <w:color w:val="auto"/>
                <w:spacing w:val="29"/>
                <w:sz w:val="24"/>
                <w:szCs w:val="24"/>
                <w:highlight w:val="none"/>
              </w:rPr>
              <w:t>理工作的通知》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 xml:space="preserve"> 财预</w:t>
            </w:r>
            <w:r>
              <w:rPr>
                <w:rFonts w:hint="eastAsia" w:ascii="仿宋_GB2312" w:hAnsi="仿宋_GB2312" w:eastAsia="仿宋_GB2312" w:cs="仿宋_GB2312"/>
                <w:color w:val="auto"/>
                <w:sz w:val="24"/>
                <w:szCs w:val="24"/>
                <w:highlight w:val="none"/>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《国务院办公厅关于印发突发事件应急预案管理办法的通知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3"/>
                <w:sz w:val="24"/>
                <w:szCs w:val="24"/>
                <w:highlight w:val="none"/>
              </w:rPr>
              <w:t>国办发〔</w:t>
            </w:r>
            <w:r>
              <w:rPr>
                <w:rFonts w:hint="eastAsia" w:ascii="仿宋_GB2312" w:hAnsi="仿宋_GB2312" w:eastAsia="仿宋_GB2312" w:cs="仿宋_GB2312"/>
                <w:color w:val="auto"/>
                <w:sz w:val="24"/>
                <w:szCs w:val="24"/>
                <w:highlight w:val="none"/>
              </w:rPr>
              <w:t>2013</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101</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事故灾害类、社会安全</w:t>
            </w:r>
            <w:r>
              <w:rPr>
                <w:rFonts w:hint="eastAsia" w:ascii="仿宋_GB2312" w:hAnsi="仿宋_GB2312" w:eastAsia="仿宋_GB2312" w:cs="仿宋_GB2312"/>
                <w:color w:val="auto"/>
                <w:spacing w:val="-24"/>
                <w:sz w:val="24"/>
                <w:szCs w:val="24"/>
                <w:highlight w:val="none"/>
              </w:rPr>
              <w:t>事件类、自然灾害类和</w:t>
            </w:r>
            <w:r>
              <w:rPr>
                <w:rFonts w:hint="eastAsia" w:ascii="仿宋_GB2312" w:hAnsi="仿宋_GB2312" w:eastAsia="仿宋_GB2312" w:cs="仿宋_GB2312"/>
                <w:color w:val="auto"/>
                <w:spacing w:val="5"/>
                <w:sz w:val="24"/>
                <w:szCs w:val="24"/>
                <w:highlight w:val="none"/>
              </w:rPr>
              <w:t>公共卫生事件类预警</w:t>
            </w:r>
            <w:r>
              <w:rPr>
                <w:rFonts w:hint="eastAsia" w:ascii="仿宋_GB2312" w:hAnsi="仿宋_GB2312" w:eastAsia="仿宋_GB2312" w:cs="仿宋_GB2312"/>
                <w:color w:val="auto"/>
                <w:spacing w:val="3"/>
                <w:sz w:val="24"/>
                <w:szCs w:val="24"/>
                <w:highlight w:val="none"/>
              </w:rPr>
              <w:t>信息及采取的应急处</w:t>
            </w:r>
            <w:r>
              <w:rPr>
                <w:rFonts w:hint="eastAsia" w:ascii="仿宋_GB2312" w:hAnsi="仿宋_GB2312" w:eastAsia="仿宋_GB2312" w:cs="仿宋_GB2312"/>
                <w:color w:val="auto"/>
                <w:spacing w:val="37"/>
                <w:sz w:val="24"/>
                <w:szCs w:val="24"/>
                <w:highlight w:val="none"/>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《中华人民共和国突发事</w:t>
            </w:r>
            <w:r>
              <w:rPr>
                <w:rFonts w:hint="eastAsia" w:ascii="仿宋_GB2312" w:hAnsi="仿宋_GB2312" w:eastAsia="仿宋_GB2312" w:cs="仿宋_GB2312"/>
                <w:color w:val="auto"/>
                <w:spacing w:val="-13"/>
                <w:sz w:val="24"/>
                <w:szCs w:val="24"/>
                <w:highlight w:val="none"/>
              </w:rPr>
              <w:t>件应对法》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主席令第</w:t>
            </w:r>
            <w:r>
              <w:rPr>
                <w:rFonts w:hint="eastAsia" w:ascii="仿宋_GB2312" w:hAnsi="仿宋_GB2312" w:eastAsia="仿宋_GB2312" w:cs="仿宋_GB2312"/>
                <w:color w:val="auto"/>
                <w:spacing w:val="-7"/>
                <w:sz w:val="24"/>
                <w:szCs w:val="24"/>
                <w:highlight w:val="none"/>
              </w:rPr>
              <w:t xml:space="preserve">69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（鲁政字〔2019〕247</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30"/>
                <w:sz w:val="24"/>
                <w:szCs w:val="24"/>
                <w:highlight w:val="none"/>
              </w:rPr>
              <w:t>）</w:t>
            </w:r>
            <w:r>
              <w:rPr>
                <w:rFonts w:hint="eastAsia" w:ascii="仿宋_GB2312" w:hAnsi="仿宋_GB2312" w:eastAsia="仿宋_GB2312" w:cs="仿宋_GB2312"/>
                <w:color w:val="auto"/>
                <w:spacing w:val="-97"/>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《国家卫生计生委办公厅关于印发医院、计划生育</w:t>
            </w:r>
            <w:r>
              <w:rPr>
                <w:rFonts w:hint="eastAsia" w:ascii="仿宋_GB2312" w:hAnsi="仿宋_GB2312" w:eastAsia="仿宋_GB2312" w:cs="仿宋_GB2312"/>
                <w:color w:val="auto"/>
                <w:spacing w:val="-2"/>
                <w:sz w:val="24"/>
                <w:szCs w:val="24"/>
                <w:highlight w:val="none"/>
              </w:rPr>
              <w:t>技术服务机构等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pacing w:val="-5"/>
                <w:sz w:val="24"/>
                <w:szCs w:val="24"/>
                <w:highlight w:val="none"/>
              </w:rPr>
              <w:t>类医疗</w:t>
            </w:r>
            <w:r>
              <w:rPr>
                <w:rFonts w:hint="eastAsia" w:ascii="仿宋_GB2312" w:hAnsi="仿宋_GB2312" w:eastAsia="仿宋_GB2312" w:cs="仿宋_GB2312"/>
                <w:color w:val="auto"/>
                <w:spacing w:val="-1"/>
                <w:sz w:val="24"/>
                <w:szCs w:val="24"/>
                <w:highlight w:val="none"/>
              </w:rPr>
              <w:t>卫生机构信息公开目录的</w:t>
            </w:r>
            <w:r>
              <w:rPr>
                <w:rFonts w:hint="eastAsia" w:ascii="仿宋_GB2312" w:hAnsi="仿宋_GB2312" w:eastAsia="仿宋_GB2312" w:cs="仿宋_GB2312"/>
                <w:color w:val="auto"/>
                <w:spacing w:val="29"/>
                <w:sz w:val="24"/>
                <w:szCs w:val="24"/>
                <w:highlight w:val="none"/>
              </w:rPr>
              <w:t>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0"/>
                <w:sz w:val="24"/>
                <w:szCs w:val="24"/>
                <w:highlight w:val="none"/>
              </w:rPr>
              <w:t xml:space="preserve"> 国卫办政务发</w:t>
            </w:r>
            <w:r>
              <w:rPr>
                <w:rFonts w:hint="eastAsia" w:ascii="仿宋_GB2312" w:hAnsi="仿宋_GB2312" w:eastAsia="仿宋_GB2312" w:cs="仿宋_GB2312"/>
                <w:color w:val="auto"/>
                <w:sz w:val="24"/>
                <w:szCs w:val="24"/>
                <w:highlight w:val="none"/>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社会事务管理办公室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6"/>
                <w:sz w:val="24"/>
                <w:szCs w:val="24"/>
                <w:highlight w:val="none"/>
              </w:rPr>
              <w:t xml:space="preserve">《国务院关于加快推进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互联网</w:t>
            </w:r>
            <w:r>
              <w:rPr>
                <w:rFonts w:hint="eastAsia" w:ascii="仿宋_GB2312" w:hAnsi="仿宋_GB2312" w:eastAsia="仿宋_GB2312" w:cs="仿宋_GB2312"/>
                <w:color w:val="auto"/>
                <w:spacing w:val="14"/>
                <w:sz w:val="24"/>
                <w:szCs w:val="24"/>
                <w:highlight w:val="none"/>
              </w:rPr>
              <w:t>+政务服务</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7"/>
                <w:sz w:val="24"/>
                <w:szCs w:val="24"/>
                <w:highlight w:val="none"/>
              </w:rPr>
              <w:t>工作的指导意见</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2"/>
                <w:sz w:val="24"/>
                <w:szCs w:val="24"/>
                <w:highlight w:val="none"/>
              </w:rPr>
              <w:t>国发〔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《国务院办公厅关于印发</w:t>
            </w:r>
            <w:r>
              <w:rPr>
                <w:rFonts w:hint="eastAsia" w:ascii="仿宋_GB2312" w:hAnsi="仿宋_GB2312" w:eastAsia="仿宋_GB2312" w:cs="仿宋_GB2312"/>
                <w:color w:val="auto"/>
                <w:spacing w:val="26"/>
                <w:sz w:val="24"/>
                <w:szCs w:val="24"/>
                <w:highlight w:val="none"/>
              </w:rPr>
              <w:t>进一步深化</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7"/>
                <w:sz w:val="24"/>
                <w:szCs w:val="24"/>
                <w:highlight w:val="none"/>
              </w:rPr>
              <w:t>互联网</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13"/>
                <w:sz w:val="24"/>
                <w:szCs w:val="24"/>
                <w:highlight w:val="none"/>
              </w:rPr>
              <w:t>政</w:t>
            </w:r>
            <w:r>
              <w:rPr>
                <w:rFonts w:hint="eastAsia" w:ascii="仿宋_GB2312" w:hAnsi="仿宋_GB2312" w:eastAsia="仿宋_GB2312" w:cs="仿宋_GB2312"/>
                <w:color w:val="auto"/>
                <w:spacing w:val="3"/>
                <w:sz w:val="24"/>
                <w:szCs w:val="24"/>
                <w:highlight w:val="none"/>
              </w:rPr>
              <w:t>务服务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推进政务服务</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14"/>
                <w:sz w:val="24"/>
                <w:szCs w:val="24"/>
                <w:highlight w:val="none"/>
              </w:rPr>
              <w:t>一</w:t>
            </w:r>
            <w:r>
              <w:rPr>
                <w:rFonts w:hint="eastAsia" w:ascii="仿宋_GB2312" w:hAnsi="仿宋_GB2312" w:eastAsia="仿宋_GB2312" w:cs="仿宋_GB2312"/>
                <w:color w:val="auto"/>
                <w:spacing w:val="-18"/>
                <w:sz w:val="24"/>
                <w:szCs w:val="24"/>
                <w:highlight w:val="none"/>
              </w:rPr>
              <w:t>网、一门、一次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
                <w:sz w:val="24"/>
                <w:szCs w:val="24"/>
                <w:highlight w:val="none"/>
              </w:rPr>
              <w:t>改革实施</w:t>
            </w:r>
            <w:r>
              <w:rPr>
                <w:rFonts w:hint="eastAsia" w:ascii="仿宋_GB2312" w:hAnsi="仿宋_GB2312" w:eastAsia="仿宋_GB2312" w:cs="仿宋_GB2312"/>
                <w:color w:val="auto"/>
                <w:spacing w:val="29"/>
                <w:sz w:val="24"/>
                <w:szCs w:val="24"/>
                <w:highlight w:val="none"/>
              </w:rPr>
              <w:t>方案的通知》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公开上级及本级政府扶贫相关政策、上级中长期规划、阶段性</w:t>
            </w:r>
            <w:r>
              <w:rPr>
                <w:rFonts w:hint="eastAsia" w:ascii="仿宋_GB2312" w:hAnsi="仿宋_GB2312" w:eastAsia="仿宋_GB2312" w:cs="仿宋_GB2312"/>
                <w:color w:val="auto"/>
                <w:spacing w:val="-11"/>
                <w:sz w:val="24"/>
                <w:szCs w:val="24"/>
                <w:highlight w:val="none"/>
              </w:rPr>
              <w:t>计划；扶贫项目安排、</w:t>
            </w:r>
            <w:r>
              <w:rPr>
                <w:rFonts w:hint="eastAsia" w:ascii="仿宋_GB2312" w:hAnsi="仿宋_GB2312" w:eastAsia="仿宋_GB2312" w:cs="仿宋_GB2312"/>
                <w:color w:val="auto"/>
                <w:spacing w:val="4"/>
                <w:sz w:val="24"/>
                <w:szCs w:val="24"/>
                <w:highlight w:val="none"/>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扶贫</w:t>
            </w:r>
            <w:r>
              <w:rPr>
                <w:rFonts w:hint="eastAsia" w:ascii="仿宋_GB2312" w:hAnsi="仿宋_GB2312" w:eastAsia="仿宋_GB2312" w:cs="仿宋_GB2312"/>
                <w:color w:val="auto"/>
                <w:sz w:val="24"/>
                <w:szCs w:val="24"/>
                <w:highlight w:val="none"/>
                <w:lang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《中华人民共和国义务教</w:t>
            </w:r>
            <w:r>
              <w:rPr>
                <w:rFonts w:hint="eastAsia" w:ascii="仿宋_GB2312" w:hAnsi="仿宋_GB2312" w:eastAsia="仿宋_GB2312" w:cs="仿宋_GB2312"/>
                <w:color w:val="auto"/>
                <w:sz w:val="24"/>
                <w:szCs w:val="24"/>
                <w:highlight w:val="none"/>
              </w:rPr>
              <w:t>育法》</w:t>
            </w:r>
            <w:r>
              <w:rPr>
                <w:rFonts w:hint="eastAsia" w:ascii="仿宋_GB2312" w:hAnsi="仿宋_GB2312" w:eastAsia="仿宋_GB2312" w:cs="仿宋_GB2312"/>
                <w:color w:val="auto"/>
                <w:spacing w:val="-3"/>
                <w:sz w:val="24"/>
                <w:szCs w:val="24"/>
                <w:highlight w:val="none"/>
              </w:rPr>
              <w:t>（2018</w:t>
            </w:r>
            <w:r>
              <w:rPr>
                <w:rFonts w:hint="eastAsia" w:ascii="仿宋_GB2312" w:hAnsi="仿宋_GB2312" w:eastAsia="仿宋_GB2312" w:cs="仿宋_GB2312"/>
                <w:color w:val="auto"/>
                <w:sz w:val="24"/>
                <w:szCs w:val="24"/>
                <w:highlight w:val="none"/>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《国务院办公厅关于进一步加强控辍保学提高义务</w:t>
            </w:r>
            <w:r>
              <w:rPr>
                <w:rFonts w:hint="eastAsia" w:ascii="仿宋_GB2312" w:hAnsi="仿宋_GB2312" w:eastAsia="仿宋_GB2312" w:cs="仿宋_GB2312"/>
                <w:color w:val="auto"/>
                <w:sz w:val="24"/>
                <w:szCs w:val="24"/>
                <w:highlight w:val="none"/>
              </w:rPr>
              <w:t>教育巩固水平的通知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z w:val="24"/>
                <w:szCs w:val="24"/>
                <w:highlight w:val="none"/>
              </w:rPr>
              <w:t>办发〔2017〕72</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（国发〔2012〕48</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学区</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发布突发公共卫生事件、传染病疫情及防控、国家免疫计划、</w:t>
            </w:r>
            <w:r>
              <w:rPr>
                <w:rFonts w:hint="eastAsia" w:ascii="仿宋_GB2312" w:hAnsi="仿宋_GB2312" w:eastAsia="仿宋_GB2312" w:cs="仿宋_GB2312"/>
                <w:color w:val="auto"/>
                <w:spacing w:val="-11"/>
                <w:sz w:val="24"/>
                <w:szCs w:val="24"/>
                <w:highlight w:val="none"/>
              </w:rPr>
              <w:t>重大疾病、预防控制、</w:t>
            </w:r>
            <w:r>
              <w:rPr>
                <w:rFonts w:hint="eastAsia" w:ascii="仿宋_GB2312" w:hAnsi="仿宋_GB2312" w:eastAsia="仿宋_GB2312" w:cs="仿宋_GB2312"/>
                <w:color w:val="auto"/>
                <w:spacing w:val="4"/>
                <w:sz w:val="24"/>
                <w:szCs w:val="24"/>
                <w:highlight w:val="none"/>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《国家卫生计生委关于印发国家卫生计生委政府</w:t>
            </w:r>
            <w:r>
              <w:rPr>
                <w:rFonts w:hint="eastAsia" w:ascii="仿宋_GB2312" w:hAnsi="仿宋_GB2312" w:eastAsia="仿宋_GB2312" w:cs="仿宋_GB2312"/>
                <w:color w:val="auto"/>
                <w:sz w:val="24"/>
                <w:szCs w:val="24"/>
                <w:highlight w:val="none"/>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社会事务管理办公室、社会保障服务中心、</w:t>
            </w:r>
            <w:r>
              <w:rPr>
                <w:rFonts w:hint="eastAsia" w:ascii="仿宋_GB2312" w:hAnsi="仿宋_GB2312" w:eastAsia="仿宋_GB2312" w:cs="仿宋_GB2312"/>
                <w:color w:val="auto"/>
                <w:sz w:val="24"/>
                <w:szCs w:val="24"/>
                <w:highlight w:val="none"/>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highlight w:val="none"/>
              </w:rPr>
              <w:t xml:space="preserve">办理流程、保障标准， </w:t>
            </w:r>
            <w:r>
              <w:rPr>
                <w:rFonts w:hint="eastAsia" w:ascii="仿宋_GB2312" w:hAnsi="仿宋_GB2312" w:eastAsia="仿宋_GB2312" w:cs="仿宋_GB2312"/>
                <w:color w:val="auto"/>
                <w:spacing w:val="4"/>
                <w:sz w:val="24"/>
                <w:szCs w:val="24"/>
                <w:highlight w:val="none"/>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highlight w:val="none"/>
              </w:rPr>
              <w:t>计</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0"/>
                <w:sz w:val="24"/>
                <w:szCs w:val="24"/>
                <w:highlight w:val="none"/>
              </w:rPr>
              <w:t>老年人福利补贴</w:t>
            </w:r>
            <w:r>
              <w:rPr>
                <w:rFonts w:hint="eastAsia" w:ascii="仿宋_GB2312" w:hAnsi="仿宋_GB2312" w:eastAsia="仿宋_GB2312" w:cs="仿宋_GB2312"/>
                <w:color w:val="auto"/>
                <w:spacing w:val="37"/>
                <w:sz w:val="24"/>
                <w:szCs w:val="24"/>
                <w:highlight w:val="none"/>
              </w:rPr>
              <w:t>申领及申请审批程</w:t>
            </w:r>
            <w:r>
              <w:rPr>
                <w:rFonts w:hint="eastAsia" w:ascii="仿宋_GB2312" w:hAnsi="仿宋_GB2312" w:eastAsia="仿宋_GB2312" w:cs="仿宋_GB2312"/>
                <w:color w:val="auto"/>
                <w:spacing w:val="4"/>
                <w:sz w:val="24"/>
                <w:szCs w:val="24"/>
                <w:highlight w:val="none"/>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发布安全生产、食品</w:t>
            </w:r>
            <w:r>
              <w:rPr>
                <w:rFonts w:hint="eastAsia" w:ascii="仿宋_GB2312" w:hAnsi="仿宋_GB2312" w:eastAsia="仿宋_GB2312" w:cs="仿宋_GB2312"/>
                <w:color w:val="auto"/>
                <w:spacing w:val="-11"/>
                <w:sz w:val="24"/>
                <w:szCs w:val="24"/>
                <w:highlight w:val="none"/>
              </w:rPr>
              <w:t xml:space="preserve">药品、产品质量政策； </w:t>
            </w:r>
            <w:r>
              <w:rPr>
                <w:rFonts w:hint="eastAsia" w:ascii="仿宋_GB2312" w:hAnsi="仿宋_GB2312" w:eastAsia="仿宋_GB2312" w:cs="仿宋_GB2312"/>
                <w:color w:val="auto"/>
                <w:spacing w:val="4"/>
                <w:sz w:val="24"/>
                <w:szCs w:val="24"/>
                <w:highlight w:val="none"/>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应急管理办公室、综合治理中心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发布本辖区的农村土地承包经营权流转政策，推进情况，具体</w:t>
            </w:r>
            <w:r>
              <w:rPr>
                <w:rFonts w:hint="eastAsia" w:ascii="仿宋_GB2312" w:hAnsi="仿宋_GB2312" w:eastAsia="仿宋_GB2312" w:cs="仿宋_GB2312"/>
                <w:color w:val="auto"/>
                <w:spacing w:val="-9"/>
                <w:sz w:val="24"/>
                <w:szCs w:val="24"/>
                <w:highlight w:val="none"/>
              </w:rPr>
              <w:t>宗地流转方、流入方、</w:t>
            </w:r>
            <w:r>
              <w:rPr>
                <w:rFonts w:hint="eastAsia" w:ascii="仿宋_GB2312" w:hAnsi="仿宋_GB2312" w:eastAsia="仿宋_GB2312" w:cs="仿宋_GB2312"/>
                <w:color w:val="auto"/>
                <w:spacing w:val="-11"/>
                <w:sz w:val="24"/>
                <w:szCs w:val="24"/>
                <w:highlight w:val="none"/>
              </w:rPr>
              <w:t xml:space="preserve">流转用途、流转面积、流转价格、流转金额， </w:t>
            </w:r>
            <w:r>
              <w:rPr>
                <w:rFonts w:hint="eastAsia" w:ascii="仿宋_GB2312" w:hAnsi="仿宋_GB2312" w:eastAsia="仿宋_GB2312" w:cs="仿宋_GB2312"/>
                <w:color w:val="auto"/>
                <w:spacing w:val="4"/>
                <w:sz w:val="24"/>
                <w:szCs w:val="24"/>
                <w:highlight w:val="none"/>
              </w:rPr>
              <w:t>实行流转奖励地方的</w:t>
            </w:r>
            <w:r>
              <w:rPr>
                <w:rFonts w:hint="eastAsia" w:ascii="仿宋_GB2312" w:hAnsi="仿宋_GB2312" w:eastAsia="仿宋_GB2312" w:cs="仿宋_GB2312"/>
                <w:color w:val="auto"/>
                <w:spacing w:val="37"/>
                <w:sz w:val="24"/>
                <w:szCs w:val="24"/>
                <w:highlight w:val="none"/>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《农村土地承包经营权流</w:t>
            </w:r>
            <w:r>
              <w:rPr>
                <w:rFonts w:hint="eastAsia" w:ascii="仿宋_GB2312" w:hAnsi="仿宋_GB2312" w:eastAsia="仿宋_GB2312" w:cs="仿宋_GB2312"/>
                <w:color w:val="auto"/>
                <w:spacing w:val="-28"/>
                <w:sz w:val="24"/>
                <w:szCs w:val="24"/>
                <w:highlight w:val="none"/>
              </w:rPr>
              <w:t>转管理办法》农业部令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第</w:t>
            </w:r>
            <w:r>
              <w:rPr>
                <w:rFonts w:hint="eastAsia" w:ascii="仿宋_GB2312" w:hAnsi="仿宋_GB2312" w:eastAsia="仿宋_GB2312" w:cs="仿宋_GB2312"/>
                <w:color w:val="auto"/>
                <w:sz w:val="24"/>
                <w:szCs w:val="24"/>
                <w:highlight w:val="none"/>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highlight w:val="none"/>
              </w:rPr>
              <w:t>群众临时救助花名</w:t>
            </w:r>
            <w:r>
              <w:rPr>
                <w:rFonts w:hint="eastAsia" w:ascii="仿宋_GB2312" w:hAnsi="仿宋_GB2312" w:eastAsia="仿宋_GB2312" w:cs="仿宋_GB2312"/>
                <w:color w:val="auto"/>
                <w:spacing w:val="4"/>
                <w:sz w:val="24"/>
                <w:szCs w:val="24"/>
                <w:highlight w:val="none"/>
              </w:rPr>
              <w:t>册；计划生育特殊困</w:t>
            </w:r>
            <w:r>
              <w:rPr>
                <w:rFonts w:hint="eastAsia" w:ascii="仿宋_GB2312" w:hAnsi="仿宋_GB2312" w:eastAsia="仿宋_GB2312" w:cs="仿宋_GB2312"/>
                <w:color w:val="auto"/>
                <w:spacing w:val="37"/>
                <w:sz w:val="24"/>
                <w:szCs w:val="24"/>
                <w:highlight w:val="none"/>
              </w:rPr>
              <w:t>难家庭扶助对象认</w:t>
            </w:r>
            <w:r>
              <w:rPr>
                <w:rFonts w:hint="eastAsia" w:ascii="仿宋_GB2312" w:hAnsi="仿宋_GB2312" w:eastAsia="仿宋_GB2312" w:cs="仿宋_GB2312"/>
                <w:color w:val="auto"/>
                <w:spacing w:val="4"/>
                <w:sz w:val="24"/>
                <w:szCs w:val="24"/>
                <w:highlight w:val="none"/>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按月度或按季度公开</w:t>
            </w:r>
            <w:r>
              <w:rPr>
                <w:rFonts w:hint="eastAsia" w:ascii="仿宋_GB2312" w:hAnsi="仿宋_GB2312" w:eastAsia="仿宋_GB2312" w:cs="仿宋_GB2312"/>
                <w:color w:val="auto"/>
                <w:sz w:val="24"/>
                <w:szCs w:val="24"/>
                <w:highlight w:val="none"/>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《社会救助暂行办法</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pacing w:val="-3"/>
                <w:sz w:val="24"/>
                <w:szCs w:val="24"/>
                <w:highlight w:val="none"/>
              </w:rPr>
              <w:t xml:space="preserve">务院令第 </w:t>
            </w:r>
            <w:r>
              <w:rPr>
                <w:rFonts w:hint="eastAsia" w:ascii="仿宋_GB2312" w:hAnsi="仿宋_GB2312" w:eastAsia="仿宋_GB2312" w:cs="仿宋_GB2312"/>
                <w:color w:val="auto"/>
                <w:sz w:val="24"/>
                <w:szCs w:val="24"/>
                <w:highlight w:val="none"/>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《中华人民共和国环境保</w:t>
            </w:r>
            <w:r>
              <w:rPr>
                <w:rFonts w:hint="eastAsia" w:ascii="仿宋_GB2312" w:hAnsi="仿宋_GB2312" w:eastAsia="仿宋_GB2312" w:cs="仿宋_GB2312"/>
                <w:color w:val="auto"/>
                <w:spacing w:val="-29"/>
                <w:sz w:val="24"/>
                <w:szCs w:val="24"/>
                <w:highlight w:val="none"/>
              </w:rPr>
              <w:t>护法》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主席令第 </w:t>
            </w:r>
            <w:r>
              <w:rPr>
                <w:rFonts w:hint="eastAsia" w:ascii="仿宋_GB2312" w:hAnsi="仿宋_GB2312" w:eastAsia="仿宋_GB2312" w:cs="仿宋_GB2312"/>
                <w:color w:val="auto"/>
                <w:sz w:val="24"/>
                <w:szCs w:val="24"/>
                <w:highlight w:val="none"/>
              </w:rPr>
              <w:t>9 号</w:t>
            </w:r>
            <w:r>
              <w:rPr>
                <w:rFonts w:hint="eastAsia" w:ascii="仿宋_GB2312" w:hAnsi="仿宋_GB2312" w:eastAsia="仿宋_GB2312" w:cs="仿宋_GB2312"/>
                <w:color w:val="auto"/>
                <w:spacing w:val="-22"/>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实施方案、文件通知、</w:t>
            </w:r>
            <w:r>
              <w:rPr>
                <w:rFonts w:hint="eastAsia" w:ascii="仿宋_GB2312" w:hAnsi="仿宋_GB2312" w:eastAsia="仿宋_GB2312" w:cs="仿宋_GB2312"/>
                <w:color w:val="auto"/>
                <w:spacing w:val="4"/>
                <w:sz w:val="24"/>
                <w:szCs w:val="24"/>
                <w:highlight w:val="none"/>
              </w:rPr>
              <w:t>申请改造条件、申请</w:t>
            </w:r>
            <w:r>
              <w:rPr>
                <w:rFonts w:hint="eastAsia" w:ascii="仿宋_GB2312" w:hAnsi="仿宋_GB2312" w:eastAsia="仿宋_GB2312" w:cs="仿宋_GB2312"/>
                <w:color w:val="auto"/>
                <w:spacing w:val="-11"/>
                <w:sz w:val="24"/>
                <w:szCs w:val="24"/>
                <w:highlight w:val="none"/>
              </w:rPr>
              <w:t xml:space="preserve">程序、危房鉴定标准； 改造资金安排、数量， </w:t>
            </w:r>
            <w:r>
              <w:rPr>
                <w:rFonts w:hint="eastAsia" w:ascii="仿宋_GB2312" w:hAnsi="仿宋_GB2312" w:eastAsia="仿宋_GB2312" w:cs="仿宋_GB2312"/>
                <w:color w:val="auto"/>
                <w:spacing w:val="37"/>
                <w:sz w:val="24"/>
                <w:szCs w:val="24"/>
                <w:highlight w:val="none"/>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中</w:t>
            </w:r>
            <w:r>
              <w:rPr>
                <w:rFonts w:hint="eastAsia" w:ascii="仿宋_GB2312" w:hAnsi="仿宋_GB2312" w:eastAsia="仿宋_GB2312" w:cs="仿宋_GB2312"/>
                <w:color w:val="auto"/>
                <w:sz w:val="24"/>
                <w:szCs w:val="24"/>
                <w:highlight w:val="none"/>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宣传文化（旅游）办公室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宣传文化（旅游）办公、应急管理办公室、</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DC90EE8"/>
    <w:rsid w:val="45D41A82"/>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2020-11-30T01:01:19Z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2052-11.1.0.9739</vt:lpwstr>
  </property>
</Properties>
</file>