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b w:val="0"/>
          <w:color w:val="0040A1"/>
          <w:sz w:val="39"/>
          <w:szCs w:val="39"/>
        </w:rPr>
      </w:pPr>
      <w:r>
        <w:rPr>
          <w:b w:val="0"/>
          <w:color w:val="0040A1"/>
          <w:sz w:val="39"/>
          <w:szCs w:val="39"/>
          <w:bdr w:val="none" w:color="auto" w:sz="0" w:space="0"/>
        </w:rPr>
        <w:t>保障农民工工资支付条例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rPr>
          <w:sz w:val="24"/>
          <w:szCs w:val="24"/>
        </w:rPr>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jc w:val="center"/>
        <w:rPr>
          <w:b w:val="0"/>
          <w:i w:val="0"/>
          <w:spacing w:val="0"/>
          <w:sz w:val="24"/>
          <w:szCs w:val="24"/>
        </w:rPr>
      </w:pPr>
      <w:r>
        <w:rPr>
          <w:rFonts w:ascii="方正小标宋简体" w:hAnsi="方正小标宋简体" w:eastAsia="方正小标宋简体" w:cs="方正小标宋简体"/>
          <w:b w:val="0"/>
          <w:i w:val="0"/>
          <w:color w:val="333333"/>
          <w:spacing w:val="0"/>
          <w:sz w:val="44"/>
          <w:szCs w:val="44"/>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i w:val="0"/>
          <w:spacing w:val="0"/>
          <w:sz w:val="24"/>
          <w:szCs w:val="24"/>
        </w:rPr>
      </w:pPr>
      <w:r>
        <w:rPr>
          <w:rFonts w:ascii="楷体" w:hAnsi="楷体" w:eastAsia="楷体" w:cs="楷体"/>
          <w:i w:val="0"/>
          <w:color w:val="333333"/>
          <w:spacing w:val="0"/>
          <w:sz w:val="24"/>
          <w:szCs w:val="24"/>
          <w:bdr w:val="none" w:color="auto" w:sz="0" w:space="0"/>
          <w:shd w:val="clear" w:fill="FFFFFF"/>
        </w:rPr>
        <w:t>第</w:t>
      </w:r>
      <w:r>
        <w:rPr>
          <w:rFonts w:hint="eastAsia" w:ascii="楷体" w:hAnsi="楷体" w:eastAsia="楷体" w:cs="楷体"/>
          <w:i w:val="0"/>
          <w:color w:val="333333"/>
          <w:spacing w:val="0"/>
          <w:sz w:val="24"/>
          <w:szCs w:val="24"/>
          <w:bdr w:val="none" w:color="auto" w:sz="0" w:space="0"/>
          <w:shd w:val="clear" w:fill="FFFFFF"/>
        </w:rPr>
        <w:t>724号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ascii="仿宋_GB2312" w:eastAsia="仿宋_GB2312" w:cs="仿宋_GB2312"/>
          <w:i w:val="0"/>
          <w:color w:val="333333"/>
          <w:spacing w:val="0"/>
          <w:sz w:val="28"/>
          <w:szCs w:val="28"/>
          <w:bdr w:val="none" w:color="auto" w:sz="0" w:space="0"/>
          <w:shd w:val="clear" w:fill="FFFFFF"/>
        </w:rPr>
        <w:t>《保障农民工工资支付条例》已经</w:t>
      </w:r>
      <w:r>
        <w:rPr>
          <w:rFonts w:hint="default" w:ascii="仿宋_GB2312" w:eastAsia="仿宋_GB2312" w:cs="仿宋_GB2312"/>
          <w:i w:val="0"/>
          <w:color w:val="333333"/>
          <w:spacing w:val="0"/>
          <w:sz w:val="28"/>
          <w:szCs w:val="28"/>
          <w:bdr w:val="none" w:color="auto" w:sz="0" w:space="0"/>
          <w:shd w:val="clear" w:fill="FFFFFF"/>
        </w:rPr>
        <w:t>2019年12月4日国务院第73次常务会议通过，现予公布，自2020年5月1日起施行。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both"/>
        <w:rPr>
          <w:sz w:val="24"/>
          <w:szCs w:val="24"/>
        </w:rPr>
      </w:pPr>
      <w:r>
        <w:rPr>
          <w:color w:val="333333"/>
          <w:spacing w:val="0"/>
          <w:sz w:val="24"/>
          <w:szCs w:val="24"/>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总理　　李克强 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right"/>
        <w:rPr>
          <w:sz w:val="24"/>
          <w:szCs w:val="24"/>
        </w:rPr>
      </w:pPr>
      <w:r>
        <w:rPr>
          <w:rFonts w:hint="default" w:ascii="仿宋_GB2312" w:eastAsia="仿宋_GB2312" w:cs="仿宋_GB2312"/>
          <w:i w:val="0"/>
          <w:color w:val="333333"/>
          <w:spacing w:val="0"/>
          <w:sz w:val="28"/>
          <w:szCs w:val="28"/>
          <w:bdr w:val="none" w:color="auto" w:sz="0" w:space="0"/>
          <w:shd w:val="clear" w:fill="FFFFFF"/>
        </w:rPr>
        <w:t>2019</w:t>
      </w:r>
      <w:r>
        <w:rPr>
          <w:rFonts w:hint="default" w:ascii="仿宋_GB2312" w:hAnsi="宋体" w:eastAsia="仿宋_GB2312" w:cs="仿宋_GB2312"/>
          <w:i w:val="0"/>
          <w:sz w:val="28"/>
          <w:szCs w:val="28"/>
          <w:bdr w:val="none" w:color="auto" w:sz="0" w:space="0"/>
          <w:shd w:val="clear" w:fill="FFFFFF"/>
        </w:rPr>
        <w:t>年</w:t>
      </w:r>
      <w:r>
        <w:rPr>
          <w:rFonts w:hint="default" w:ascii="仿宋_GB2312" w:eastAsia="仿宋_GB2312" w:cs="仿宋_GB2312"/>
          <w:i w:val="0"/>
          <w:sz w:val="28"/>
          <w:szCs w:val="28"/>
          <w:bdr w:val="none" w:color="auto" w:sz="0" w:space="0"/>
          <w:shd w:val="clear" w:fill="FFFFFF"/>
        </w:rPr>
        <w:t>12</w:t>
      </w:r>
      <w:r>
        <w:rPr>
          <w:rFonts w:hint="default" w:ascii="仿宋_GB2312" w:hAnsi="宋体" w:eastAsia="仿宋_GB2312" w:cs="仿宋_GB2312"/>
          <w:i w:val="0"/>
          <w:sz w:val="28"/>
          <w:szCs w:val="28"/>
          <w:bdr w:val="none" w:color="auto" w:sz="0" w:space="0"/>
          <w:shd w:val="clear" w:fill="FFFFFF"/>
        </w:rPr>
        <w:t>月</w:t>
      </w:r>
      <w:r>
        <w:rPr>
          <w:rFonts w:hint="default" w:ascii="仿宋_GB2312" w:eastAsia="仿宋_GB2312" w:cs="仿宋_GB2312"/>
          <w:i w:val="0"/>
          <w:sz w:val="28"/>
          <w:szCs w:val="28"/>
          <w:bdr w:val="none" w:color="auto" w:sz="0" w:space="0"/>
          <w:shd w:val="clear" w:fill="FFFFFF"/>
        </w:rPr>
        <w:t>30</w:t>
      </w:r>
      <w:r>
        <w:rPr>
          <w:rFonts w:hint="default" w:ascii="仿宋_GB2312" w:hAnsi="宋体" w:eastAsia="仿宋_GB2312" w:cs="仿宋_GB2312"/>
          <w:i w:val="0"/>
          <w:sz w:val="28"/>
          <w:szCs w:val="28"/>
          <w:bdr w:val="none" w:color="auto" w:sz="0" w:space="0"/>
          <w:shd w:val="clear" w:fill="FFFFFF"/>
        </w:rPr>
        <w:t>日 </w:t>
      </w:r>
      <w:r>
        <w:rPr>
          <w:rFonts w:hint="eastAsia" w:ascii="宋体" w:hAnsi="宋体" w:eastAsia="宋体" w:cs="宋体"/>
          <w:i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i w:val="0"/>
          <w:spacing w:val="0"/>
          <w:sz w:val="24"/>
          <w:szCs w:val="24"/>
        </w:rPr>
      </w:pPr>
      <w:r>
        <w:rPr>
          <w:rStyle w:val="5"/>
          <w:rFonts w:hint="eastAsia" w:ascii="宋体" w:hAnsi="宋体" w:eastAsia="宋体" w:cs="宋体"/>
          <w:i w:val="0"/>
          <w:color w:val="333333"/>
          <w:spacing w:val="0"/>
          <w:sz w:val="36"/>
          <w:szCs w:val="36"/>
          <w:bdr w:val="none" w:color="auto" w:sz="0" w:space="0"/>
          <w:shd w:val="clear" w:fill="FFFFFF"/>
        </w:rPr>
        <w:t>保障农民工工资支付条例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ascii="黑体" w:hAnsi="宋体" w:eastAsia="黑体" w:cs="黑体"/>
          <w:b w:val="0"/>
          <w:i w:val="0"/>
          <w:color w:val="333333"/>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第一条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为了规范农民工工资支付行为，保障农民工按时足额获得工资，根据《中华人民共和国劳动法》及有关法律规定，制定本条例。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保障农民工工资支付，适用本条例。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本条例所称农民工，是指为用人单位提供劳动的农村居民。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本条例所称工资，是指农民工为用人单位提供劳动后应当获得的劳动报酬。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农民工有按时足额获得工资的权利。任何单位和个人不得拖欠农民工工资。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农民工应当遵守劳动纪律和职业道德，执行劳动安全卫生规程，完成劳动任务。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乡镇人民政府、街道办事处应当加强对拖欠农民工工资矛盾的排查和调处工作，防范和化解矛盾，及时调解纠纷。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保障农民工工资支付，应当坚持市场主体负责、政府依法监管、社会协同监督，按照源头治理、预防为主、防治结合、标本兼治的要求，依法根治拖欠农民工工资问题。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第六条</w:t>
      </w:r>
      <w:r>
        <w:rPr>
          <w:rFonts w:hint="default" w:ascii="仿宋_GB2312" w:hAnsi="宋体" w:eastAsia="仿宋_GB2312" w:cs="仿宋_GB2312"/>
          <w:i w:val="0"/>
          <w:color w:val="333333"/>
          <w:spacing w:val="0"/>
          <w:sz w:val="28"/>
          <w:szCs w:val="28"/>
          <w:bdr w:val="none" w:color="auto" w:sz="0" w:space="0"/>
          <w:shd w:val="clear" w:fill="FFFFFF"/>
        </w:rPr>
        <w:t>　用人单位实行农民工劳动用工实名制管理，与招用的农民工书面约定或者通过依法制定的规章制度规定工资支付标准、支付时间、支付方式等内容。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第七条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人力资源社会保障行政部门负责保障农民工工资支付工作的组织协调、管理指导和农民工工资支付情况的监督检查，查处有关拖欠农民工工资案件。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住房城乡建设、交通运输、水利等相关行业工程建设主管部门按照职责履行行业监管责任，督办因违法发包、转包、违法分包、挂靠、拖欠工程款等导致的拖欠农民工工资案件。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财政部门负责政府投资资金的预算管理，根据经批准的预算按规定及时足额拨付政府投资资金。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公安机关负责及时受理、侦办涉嫌拒不支付劳动报酬刑事案件，依法处置因农民工工资拖欠引发的社会治安案件。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司法行政、自然资源、人民银行、审计、国有资产管理、税务、市场监管、金融监管等部门，按照职责做好与保障农民工工资支付相关的工作。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第八条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工会、共产主义青年团、妇女联合会、残疾人联合会等组织按照职责依法维护农民工获得工资的权利。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第九条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被拖欠工资的农民工有权依法投诉，或者申请劳动争议调解仲裁和提起诉讼。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任何单位和个人对拖欠农民工工资的行为，有权向人力资源社会保障行政部门或者其他有关部门举报。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第二章　工资支付形式与周期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第十一条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农民工工资应当以货币形式，通过银行转账或者现金支付给农民工本人，不得以实物或者有价证券等其他形式替代。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第十二条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用人单位应当按照与农民工书面约定或者依法制定的规章制度规定的工资支付周期和具体支付日期足额支付工资。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第十三条　</w:t>
      </w:r>
      <w:r>
        <w:rPr>
          <w:rFonts w:hint="default" w:ascii="仿宋_GB2312" w:hAnsi="宋体" w:eastAsia="仿宋_GB2312" w:cs="仿宋_GB2312"/>
          <w:i w:val="0"/>
          <w:color w:val="333333"/>
          <w:spacing w:val="0"/>
          <w:sz w:val="28"/>
          <w:szCs w:val="28"/>
          <w:bdr w:val="none" w:color="auto" w:sz="0" w:space="0"/>
          <w:shd w:val="clear" w:fill="FFFFFF"/>
        </w:rPr>
        <w:t>实行月、周、日、小时工资制的，按照月、周、日、小时为周期支付工资；实行计件工资制的，工资支付周期由双方依法约定。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用人单位与农民工书面约定或者依法制定的规章制度规定的具体支付日期，可以在农民工提供劳动的当期或者次期。具体支付日期遇法定节假日或者休息日的，应当在法定节假日或者休息日前支付。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用人单位因不可抗力未能在支付日期支付工资的，应当在不可抗力消除后及时支付。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用人单位应当按照工资支付周期编制书面工资支付台账，并至少保存</w:t>
      </w:r>
      <w:r>
        <w:rPr>
          <w:rFonts w:hint="default" w:ascii="仿宋_GB2312" w:eastAsia="仿宋_GB2312" w:cs="仿宋_GB2312"/>
          <w:i w:val="0"/>
          <w:color w:val="333333"/>
          <w:spacing w:val="0"/>
          <w:sz w:val="28"/>
          <w:szCs w:val="28"/>
          <w:bdr w:val="none" w:color="auto" w:sz="0" w:space="0"/>
          <w:shd w:val="clear" w:fill="FFFFFF"/>
        </w:rPr>
        <w:t>3</w:t>
      </w:r>
      <w:r>
        <w:rPr>
          <w:rFonts w:hint="default" w:ascii="仿宋_GB2312" w:hAnsi="宋体" w:eastAsia="仿宋_GB2312" w:cs="仿宋_GB2312"/>
          <w:i w:val="0"/>
          <w:sz w:val="28"/>
          <w:szCs w:val="28"/>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用人单位向农民工支付工资时，应当提供农民工本人的工资清单。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第三章　工资清偿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第十六条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用人单位拖欠农民工工资的，应当依法予以清偿。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第十七条　不具备合法经营资格的单位招用农民工，农民工已经付出劳动而未获得工资的，依照有关法律规定执行。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第十八条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用工单位使用个人、不具备合法经营资格的单位或者未依法取得劳务派遣许可证的单位派遣的农民工，拖欠农民工工资的，由用工单位清偿，并可以依法进行追偿。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第十九条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用人单位将工作任务发包给个人或者不具备合法经营资格的单位，导致拖欠所招用农民工工资的，依照有关法律规定执行。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用人单位允许个人、不具备合法经营资格或者未取得相应资质的单位以用人单位的名义对外经营，导致拖欠所招用农民工工资的，由用人单位清偿，并可以依法进行追偿。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合伙企业、个人独资企业、个体经济组织等用人单位拖欠农民工工资的，应当依法予以清偿；不清偿的，由出资人依法清偿。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第二十一条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用人单位合并或者分立时，应当在实施合并或者分立前依法清偿拖欠的农民工工资；经与农民工书面协商一致的，可以由合并或者分立后承继其权利和义务的用人单位清偿。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第二十二条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用人单位被依法吊销营业执照或者登记证书、被责令关闭、被撤销或者依法解散的，应当在申请注销登记前依法清偿拖欠的农民工工资。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未依据前款规定清偿农民工工资的用人单位主要出资人，应当在注册新用人单位前清偿拖欠的农民工工资。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第四章　工程建设领域特别规定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第二十三条</w:t>
      </w:r>
      <w:r>
        <w:rPr>
          <w:rFonts w:hint="default" w:ascii="仿宋_GB2312" w:hAnsi="宋体" w:eastAsia="仿宋_GB2312" w:cs="仿宋_GB2312"/>
          <w:i w:val="0"/>
          <w:color w:val="333333"/>
          <w:spacing w:val="0"/>
          <w:sz w:val="28"/>
          <w:szCs w:val="28"/>
          <w:bdr w:val="none" w:color="auto" w:sz="0" w:space="0"/>
          <w:shd w:val="clear" w:fill="FFFFFF"/>
        </w:rPr>
        <w:t>　建设单位应当有满足施工所需要的资金安排。没有满足施工所需要的资金安排的，工程建设项目不得开工建设；依法需要办理施工许可证的，相关行业工程建设主管部门不予颁发施工许可证。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政府投资项目所需资金，应当按照国家有关规定落实到位，不得由施工单位垫资建设。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建设单位应当向施工单位提供工程款支付担保。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建设单位与施工总承包单位应当将工程施工合同保存备查。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施工总承包单位与分包单位依法订立书面分包合同，应当约定工程款计量周期、工程款进度结算办法。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第二十六条</w:t>
      </w:r>
      <w:r>
        <w:rPr>
          <w:rFonts w:hint="default" w:ascii="仿宋_GB2312" w:hAnsi="宋体" w:eastAsia="仿宋_GB2312" w:cs="仿宋_GB2312"/>
          <w:i w:val="0"/>
          <w:color w:val="333333"/>
          <w:spacing w:val="0"/>
          <w:sz w:val="28"/>
          <w:szCs w:val="28"/>
          <w:bdr w:val="none" w:color="auto" w:sz="0" w:space="0"/>
          <w:shd w:val="clear" w:fill="FFFFFF"/>
        </w:rPr>
        <w:t>　施工总承包单位应当按照有关规定开设农民工工资专用账户，专项用于支付该工程建设项目农民工工资。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开设、使用农民工工资专用账户有关资料应当由施工总承包单位妥善保存备查。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第二十七条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工程完工且未拖欠农民工工资的，施工总承包单位公示30日后，可以申请注销农民工工资专用账户，账户内余额归施工总承包单位所有。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第二十八条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施工总承包单位应当在工程项目部配备劳资专管员，对分包单位劳动用工实施监督管理，掌握施工现场用工、考勤、工资支付等情况，审核分包单位编制的农民工工资支付表，分包单位应当予以配合。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施工总承包单位、分包单位应当建立用工管理台账，并保存至工程完工且工资全部结清后至少3年。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第二十九条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建设单位应当按照合同约定及时拨付工程款，并将人工费用及时足额拨付至农民工工资专用账户，加强对施工总承包单位按时足额支付农民工工资的监督。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因建设单位未按照合同约定及时拨付工程款导致农民工工资拖欠的，建设单位应当以未结清的工程款为限先行垫付被拖欠的农民工工资。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分包单位对所招用农民工的实名制管理和工资支付负直接责任。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施工总承包单位对分包单位劳动用工和工资发放等情况进行监督。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分包单位拖欠农民工工资的，由施工总承包单位先行清偿，再依法进行追偿。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工程建设项目转包，拖欠农民工工资的，由施工总承包单位先行清偿，再依法进行追偿。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第三十一条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工程建设领域推行分包单位农民工工资委托施工总承包单位代发制度。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分包单位应当按月考核农民工工作量并编制工资支付表，经农民工本人签字确认后，与当月工程进度等情况一并交施工总承包单位。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施工总承包单位根据分包单位编制的工资支付表，通过农民工工资专用账户直接将工资支付到农民工本人的银行账户，并向分包单位提供代发工资凭证。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用于支付农民工工资的银行账户所绑定的农民工本人社会保障卡或者银行卡，用人单位或者其他人员不得以任何理由扣押或者变相扣押。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第三十二条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施工总承包单位应当按照有关规定存储工资保证金，专项用于支付为所承包工程提供劳动的农民工被拖欠的工资。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工资保证金实行差异化存储办法，对一定时期内未发生工资拖欠的单位实行减免措施，对发生工资拖欠的单位适当提高存储比例。工资保证金可以用金融机构保函替代。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工资保证金的存储比例、存储形式、减免措施等具体办法，由国务院人力资源社会保障行政部门会同有关部门制定。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第三十三条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除法律另有规定外，农民工工资专用账户资金和工资保证金不得因支付为本项目提供劳动的农民工工资之外的原因被查封、冻结或者划拨。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施工总承包单位应当在施工现场醒目位置设立维权信息告示牌，明示下列事项：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（一）建设单位、施工总承包单位及所在项目部、分包单位、相关行业工程建设主管部门、劳资专管员等基本信息；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（二）当地最低工资标准、工资支付日期等基本信息；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（三）相关行业工程建设主管部门和劳动保障监察投诉举报电话、劳动争议调解仲裁申请渠道、法律援助申请渠道、公共法律服务热线等信息。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第三十六条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建设单位或者施工总承包单位将建设工程发包或者分包给个人或者不具备合法经营资格的单位，导致拖欠农民工工资的，由建设单位或者施工总承包单位清偿。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施工单位允许其他单位和个人以施工单位的名义对外承揽建设工程，导致拖欠农民工工资的，由施工单位清偿。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第三十七条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工程建设项目违反国土空间规划、工程建设等法律法规，导致拖欠农民工工资的，由建设单位清偿。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第三十八条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人力资源社会保障行政部门根据水电燃气供应、物业管理、信贷、税收等反映企业生产经营相关指标的变化情况，及时监控和预警工资支付隐患并做好防范工作，市场监管、金融监管、税务等部门应当予以配合。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第三十九条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第四十一条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人力资源社会保障行政部门在查处拖欠农民工工资案件时，发生用人单位拒不配合调查、清偿责任主体及相关当事人无法联系等情形的，可以请求公安机关和其他有关部门协助处理。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人力资源社会保障行政部门发现拖欠农民工工资的违法行为涉嫌构成拒不支付劳动报酬罪的，应当按照有关规定及时移送公安机关审查并作出决定。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第四十二条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人力资源社会保障行政部门作出责令支付被拖欠的农民工工资的决定，相关单位不支付的，可以依法申请人民法院强制执行。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第四十三条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相关行业工程建设主管部门应当依法规范本领域建设市场秩序，对违法发包、转包、违法分包、挂靠等行为进行查处，并对导致拖欠农民工工资的违法行为及时予以制止、纠正。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财政部门、审计机关和相关行业工程建设主管部门按照职责，依法对政府投资项目建设单位按照工程施工合同约定向农民工工资专用账户拨付资金情况进行监督。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司法行政部门和法律援助机构应当将农民工列为法律援助的重点对象，并依法为请求支付工资的农民工提供便捷的法律援助。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公共法律服务相关机构应当积极参与相关诉讼、咨询、调解等活动，帮助解决拖欠农民工工资问题。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第四十六条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人力资源社会保障行政部门、相关行业工程建设主管部门和其他有关部门应当按照“谁执法谁普法”普法责任制的要求，通过以案释法等多种形式，加大对保障农民工工资支付相关法律法规的普及宣传。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第四十七条　</w:t>
      </w:r>
      <w:r>
        <w:rPr>
          <w:rFonts w:hint="default" w:ascii="仿宋_GB2312" w:hAnsi="宋体" w:eastAsia="仿宋_GB2312" w:cs="仿宋_GB2312"/>
          <w:i w:val="0"/>
          <w:color w:val="333333"/>
          <w:spacing w:val="0"/>
          <w:sz w:val="28"/>
          <w:szCs w:val="28"/>
          <w:bdr w:val="none" w:color="auto" w:sz="0" w:space="0"/>
          <w:shd w:val="clear" w:fill="FFFFFF"/>
        </w:rPr>
        <w:t>人力资源社会保障行政部门应当建立用人单位及相关责任人劳动保障守法诚信档案，对用人单位开展守法诚信等级评价。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用人单位有严重拖欠农民工工资违法行为的，由人力资源社会保障行政部门向社会公布，必要时可以通过召开新闻发布会等形式向媒体公开曝光。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第四十八条　</w:t>
      </w:r>
      <w:r>
        <w:rPr>
          <w:rFonts w:hint="default" w:ascii="仿宋_GB2312" w:hAnsi="宋体" w:eastAsia="仿宋_GB2312" w:cs="仿宋_GB2312"/>
          <w:i w:val="0"/>
          <w:color w:val="333333"/>
          <w:spacing w:val="0"/>
          <w:sz w:val="28"/>
          <w:szCs w:val="28"/>
          <w:bdr w:val="none" w:color="auto" w:sz="0" w:space="0"/>
          <w:shd w:val="clear" w:fill="FFFFFF"/>
        </w:rPr>
        <w:t>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拖欠农民工工资需要列入失信联合惩戒名单的具体情形，由国务院人力资源社会保障行政部门规定。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第四十九条　</w:t>
      </w:r>
      <w:r>
        <w:rPr>
          <w:rFonts w:hint="default" w:ascii="仿宋_GB2312" w:hAnsi="宋体" w:eastAsia="仿宋_GB2312" w:cs="仿宋_GB2312"/>
          <w:i w:val="0"/>
          <w:color w:val="333333"/>
          <w:spacing w:val="0"/>
          <w:sz w:val="28"/>
          <w:szCs w:val="28"/>
          <w:bdr w:val="none" w:color="auto" w:sz="0" w:space="0"/>
          <w:shd w:val="clear" w:fill="FFFFFF"/>
        </w:rPr>
        <w:t>建设单位未依法提供工程款支付担保或者政府投资项目拖欠工程款，导致拖欠农民工工资的，县级以上地方人民政府应当限制其新建项目，并记入信用记录，纳入国家信用信息系统进行公示。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第五十条　</w:t>
      </w:r>
      <w:r>
        <w:rPr>
          <w:rFonts w:hint="default" w:ascii="仿宋_GB2312" w:hAnsi="宋体" w:eastAsia="仿宋_GB2312" w:cs="仿宋_GB2312"/>
          <w:i w:val="0"/>
          <w:color w:val="333333"/>
          <w:spacing w:val="0"/>
          <w:sz w:val="28"/>
          <w:szCs w:val="28"/>
          <w:bdr w:val="none" w:color="auto" w:sz="0" w:space="0"/>
          <w:shd w:val="clear" w:fill="FFFFFF"/>
        </w:rPr>
        <w:t>农民工与用人单位就拖欠工资存在争议，用人单位应当提供依法由其保存的劳动合同、职工名册、工资支付台账和清单等材料；不提供的，依法承担不利后果。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第五十一条　</w:t>
      </w:r>
      <w:r>
        <w:rPr>
          <w:rFonts w:hint="default" w:ascii="仿宋_GB2312" w:hAnsi="宋体" w:eastAsia="仿宋_GB2312" w:cs="仿宋_GB2312"/>
          <w:i w:val="0"/>
          <w:color w:val="333333"/>
          <w:spacing w:val="0"/>
          <w:sz w:val="28"/>
          <w:szCs w:val="28"/>
          <w:bdr w:val="none" w:color="auto" w:sz="0" w:space="0"/>
          <w:shd w:val="clear" w:fill="FFFFFF"/>
        </w:rPr>
        <w:t>工会依法维护农民工工资权益，对用人单位工资支付情况进行监督；发现拖欠农民工工资的，可以要求用人单位改正，拒不改正的，可以请求人力资源社会保障行政部门和其他有关部门依法处理。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第五十二条　</w:t>
      </w:r>
      <w:r>
        <w:rPr>
          <w:rFonts w:hint="default" w:ascii="仿宋_GB2312" w:hAnsi="宋体" w:eastAsia="仿宋_GB2312" w:cs="仿宋_GB2312"/>
          <w:i w:val="0"/>
          <w:color w:val="333333"/>
          <w:spacing w:val="0"/>
          <w:sz w:val="28"/>
          <w:szCs w:val="28"/>
          <w:bdr w:val="none" w:color="auto" w:sz="0" w:space="0"/>
          <w:shd w:val="clear" w:fill="FFFFFF"/>
        </w:rPr>
        <w:t>单位或者个人编造虚假事实或者采取非法手段讨要农民工工资，或者以拖欠农民工工资为名讨要工程款的，依法予以处理。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第五十三条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违反本条例规定拖欠农民工工资的，依照有关法律规定执行。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第五十四条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有下列情形之一的，由人力资源社会保障行政部门责令限期改正；逾期不改正的，对单位处</w:t>
      </w:r>
      <w:r>
        <w:rPr>
          <w:rFonts w:hint="default" w:ascii="仿宋_GB2312" w:eastAsia="仿宋_GB2312" w:cs="仿宋_GB2312"/>
          <w:i w:val="0"/>
          <w:color w:val="333333"/>
          <w:spacing w:val="0"/>
          <w:sz w:val="28"/>
          <w:szCs w:val="28"/>
          <w:bdr w:val="none" w:color="auto" w:sz="0" w:space="0"/>
          <w:shd w:val="clear" w:fill="FFFFFF"/>
        </w:rPr>
        <w:t>2</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万元以下的罚款，对法定代表人或者主要负责人、直接负责的主管人员和其他直接责任人员处</w:t>
      </w:r>
      <w:r>
        <w:rPr>
          <w:rFonts w:hint="default" w:ascii="仿宋_GB2312" w:eastAsia="仿宋_GB2312" w:cs="仿宋_GB2312"/>
          <w:i w:val="0"/>
          <w:sz w:val="28"/>
          <w:szCs w:val="28"/>
          <w:bdr w:val="none" w:color="auto" w:sz="0" w:space="0"/>
          <w:shd w:val="clear" w:fill="FFFFFF"/>
        </w:rPr>
        <w:t>1</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3</w:t>
      </w:r>
      <w:r>
        <w:rPr>
          <w:rFonts w:hint="default" w:ascii="仿宋_GB2312" w:hAnsi="宋体" w:eastAsia="仿宋_GB2312" w:cs="仿宋_GB2312"/>
          <w:i w:val="0"/>
          <w:sz w:val="28"/>
          <w:szCs w:val="28"/>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（一）以实物、有价证券等形式代替货币支付农民工工资；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（二）未编制工资支付台账并依法保存，或者未向农民工提供工资清单；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（三）扣押或者变相扣押用于支付农民工工资的银行账户所绑定的农民工本人社会保障卡或者银行卡。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第五十五条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有下列情形之一的，由人力资源社会保障行政部门、相关行业工程建设主管部门按照职责责令限期改正；逾期不改正的，责令项目停工，并处</w:t>
      </w:r>
      <w:r>
        <w:rPr>
          <w:rFonts w:hint="default" w:ascii="仿宋_GB2312" w:eastAsia="仿宋_GB2312" w:cs="仿宋_GB2312"/>
          <w:i w:val="0"/>
          <w:color w:val="333333"/>
          <w:spacing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10</w:t>
      </w:r>
      <w:r>
        <w:rPr>
          <w:rFonts w:hint="default" w:ascii="仿宋_GB2312" w:hAnsi="宋体" w:eastAsia="仿宋_GB2312" w:cs="仿宋_GB2312"/>
          <w:i w:val="0"/>
          <w:sz w:val="28"/>
          <w:szCs w:val="28"/>
          <w:bdr w:val="none" w:color="auto" w:sz="0" w:space="0"/>
          <w:shd w:val="clear" w:fill="FFFFFF"/>
        </w:rPr>
        <w:t>万元以下的罚款；情节严重的，给予施工单位限制承接新工程、降低资质等级、吊销资质证书等处罚：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（一）施工总承包单位未按规定开设或者使用农民工工资专用账户；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（二）施工总承包单位未按规定存储工资保证金或者未提供金融机构保函；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（三）施工总承包单位、分包单位未实行劳动用工实名制管理。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第五十六条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有下列情形之一的，由人力资源社会保障行政部门、相关行业工程建设主管部门按照职责责令限期改正；逾期不改正的，处</w:t>
      </w:r>
      <w:r>
        <w:rPr>
          <w:rFonts w:hint="default" w:ascii="仿宋_GB2312" w:eastAsia="仿宋_GB2312" w:cs="仿宋_GB2312"/>
          <w:i w:val="0"/>
          <w:color w:val="333333"/>
          <w:spacing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10</w:t>
      </w:r>
      <w:r>
        <w:rPr>
          <w:rFonts w:hint="default" w:ascii="仿宋_GB2312" w:hAnsi="宋体" w:eastAsia="仿宋_GB2312" w:cs="仿宋_GB2312"/>
          <w:i w:val="0"/>
          <w:sz w:val="28"/>
          <w:szCs w:val="28"/>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（一）分包单位未按月考核农民工工作量、编制工资支付表并经农民工本人签字确认；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（二）施工总承包单位未对分包单位劳动用工实施监督管理；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（三）分包单位未配合施工总承包单位对其劳动用工进行监督管理；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（四）施工总承包单位未实行施工现场维权信息公示制度。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第五十七条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有下列情形之一的，由人力资源社会保障行政部门、相关行业工程建设主管部门按照职责责令限期改正；逾期不改正的，责令项目停工，并处</w:t>
      </w:r>
      <w:r>
        <w:rPr>
          <w:rFonts w:hint="default" w:ascii="仿宋_GB2312" w:eastAsia="仿宋_GB2312" w:cs="仿宋_GB2312"/>
          <w:i w:val="0"/>
          <w:color w:val="333333"/>
          <w:spacing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10</w:t>
      </w:r>
      <w:r>
        <w:rPr>
          <w:rFonts w:hint="default" w:ascii="仿宋_GB2312" w:hAnsi="宋体" w:eastAsia="仿宋_GB2312" w:cs="仿宋_GB2312"/>
          <w:i w:val="0"/>
          <w:sz w:val="28"/>
          <w:szCs w:val="28"/>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（一）建设单位未依法提供工程款支付担保；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（二）建设单位未按约定及时足额向农民工工资专用账户拨付工程款中的人工费用；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r>
        <w:rPr>
          <w:rFonts w:hint="default" w:ascii="仿宋_GB2312" w:eastAsia="仿宋_GB2312" w:cs="仿宋_GB2312"/>
          <w:i w:val="0"/>
          <w:color w:val="333333"/>
          <w:spacing w:val="0"/>
          <w:sz w:val="28"/>
          <w:szCs w:val="28"/>
          <w:bdr w:val="none" w:color="auto" w:sz="0" w:space="0"/>
          <w:shd w:val="clear" w:fill="FFFFFF"/>
        </w:rPr>
        <w:t>（三）建设单位或者施工总承包单位拒不提供或者无法提供工程施工合同、农民工工资专用账户有关资料。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第五十八条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不依法配合人力资源社会保障行政部门查询相关单位金融账户的，由金融监管部门责令改正；拒不改正的，处</w:t>
      </w:r>
      <w:r>
        <w:rPr>
          <w:rFonts w:hint="default" w:ascii="仿宋_GB2312" w:eastAsia="仿宋_GB2312" w:cs="仿宋_GB2312"/>
          <w:i w:val="0"/>
          <w:color w:val="333333"/>
          <w:spacing w:val="0"/>
          <w:sz w:val="28"/>
          <w:szCs w:val="28"/>
          <w:bdr w:val="none" w:color="auto" w:sz="0" w:space="0"/>
          <w:shd w:val="clear" w:fill="FFFFFF"/>
        </w:rPr>
        <w:t>2</w:t>
      </w:r>
      <w:r>
        <w:rPr>
          <w:rFonts w:hint="default" w:ascii="仿宋_GB2312" w:hAnsi="宋体" w:eastAsia="仿宋_GB2312" w:cs="仿宋_GB2312"/>
          <w:i w:val="0"/>
          <w:sz w:val="28"/>
          <w:szCs w:val="28"/>
          <w:bdr w:val="none" w:color="auto" w:sz="0" w:space="0"/>
          <w:shd w:val="clear" w:fill="FFFFFF"/>
        </w:rPr>
        <w:t>万元以上</w:t>
      </w:r>
      <w:r>
        <w:rPr>
          <w:rFonts w:hint="default" w:ascii="仿宋_GB2312" w:eastAsia="仿宋_GB2312" w:cs="仿宋_GB2312"/>
          <w:i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第五十九条　</w:t>
      </w:r>
      <w:r>
        <w:rPr>
          <w:rFonts w:hint="default" w:ascii="仿宋_GB2312" w:hAnsi="宋体" w:eastAsia="仿宋_GB2312" w:cs="仿宋_GB2312"/>
          <w:i w:val="0"/>
          <w:color w:val="333333"/>
          <w:spacing w:val="0"/>
          <w:sz w:val="28"/>
          <w:szCs w:val="28"/>
          <w:bdr w:val="none" w:color="auto" w:sz="0" w:space="0"/>
          <w:shd w:val="clear" w:fill="FFFFFF"/>
        </w:rPr>
        <w:t>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第六十条　</w:t>
      </w:r>
      <w:r>
        <w:rPr>
          <w:rFonts w:hint="default" w:ascii="仿宋_GB2312" w:hAnsi="宋体" w:eastAsia="仿宋_GB2312" w:cs="仿宋_GB2312"/>
          <w:i w:val="0"/>
          <w:color w:val="333333"/>
          <w:spacing w:val="0"/>
          <w:sz w:val="28"/>
          <w:szCs w:val="28"/>
          <w:bdr w:val="none" w:color="auto" w:sz="0" w:space="0"/>
          <w:shd w:val="clear" w:fill="FFFFFF"/>
        </w:rPr>
        <w:t>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第六十一条　</w:t>
      </w:r>
      <w:r>
        <w:rPr>
          <w:rFonts w:hint="default" w:ascii="仿宋_GB2312" w:hAnsi="宋体" w:eastAsia="仿宋_GB2312" w:cs="仿宋_GB2312"/>
          <w:i w:val="0"/>
          <w:color w:val="333333"/>
          <w:spacing w:val="0"/>
          <w:sz w:val="28"/>
          <w:szCs w:val="28"/>
          <w:bdr w:val="none" w:color="auto" w:sz="0" w:space="0"/>
          <w:shd w:val="clear" w:fill="FFFFFF"/>
        </w:rPr>
        <w:t>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第六十二条　</w:t>
      </w:r>
      <w:r>
        <w:rPr>
          <w:rFonts w:hint="default" w:ascii="仿宋_GB2312" w:hAnsi="宋体" w:eastAsia="仿宋_GB2312" w:cs="仿宋_GB2312"/>
          <w:i w:val="0"/>
          <w:color w:val="333333"/>
          <w:spacing w:val="0"/>
          <w:sz w:val="28"/>
          <w:szCs w:val="28"/>
          <w:bdr w:val="none" w:color="auto" w:sz="0" w:space="0"/>
          <w:shd w:val="clear" w:fill="FFFFFF"/>
        </w:rPr>
        <w:t>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jc w:val="center"/>
        <w:rPr>
          <w:b w:val="0"/>
          <w:i w:val="0"/>
          <w:spacing w:val="0"/>
          <w:sz w:val="24"/>
          <w:szCs w:val="24"/>
        </w:rPr>
      </w:pPr>
      <w:r>
        <w:rPr>
          <w:rFonts w:hint="eastAsia" w:ascii="黑体" w:hAnsi="宋体" w:eastAsia="黑体" w:cs="黑体"/>
          <w:b w:val="0"/>
          <w:i w:val="0"/>
          <w:color w:val="333333"/>
          <w:spacing w:val="0"/>
          <w:sz w:val="28"/>
          <w:szCs w:val="28"/>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b w:val="0"/>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第六十三条</w:t>
      </w:r>
      <w:r>
        <w:rPr>
          <w:rFonts w:hint="eastAsia" w:ascii="宋体" w:hAnsi="宋体" w:eastAsia="宋体" w:cs="宋体"/>
          <w:i w:val="0"/>
          <w:color w:val="333333"/>
          <w:spacing w:val="0"/>
          <w:sz w:val="28"/>
          <w:szCs w:val="28"/>
          <w:bdr w:val="none" w:color="auto" w:sz="0" w:space="0"/>
          <w:shd w:val="clear" w:fill="FFFFFF"/>
        </w:rPr>
        <w:t>　</w:t>
      </w:r>
      <w:r>
        <w:rPr>
          <w:rFonts w:hint="default" w:ascii="仿宋_GB2312" w:hAnsi="宋体" w:eastAsia="仿宋_GB2312" w:cs="仿宋_GB2312"/>
          <w:i w:val="0"/>
          <w:color w:val="333333"/>
          <w:spacing w:val="0"/>
          <w:sz w:val="28"/>
          <w:szCs w:val="28"/>
          <w:bdr w:val="none" w:color="auto" w:sz="0" w:space="0"/>
          <w:shd w:val="clear" w:fill="FFFFFF"/>
        </w:rPr>
        <w:t>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sz w:val="24"/>
          <w:szCs w:val="24"/>
        </w:rPr>
      </w:pPr>
      <w:r>
        <w:rPr>
          <w:rFonts w:hint="eastAsia" w:ascii="黑体" w:hAnsi="宋体" w:eastAsia="黑体" w:cs="黑体"/>
          <w:b w:val="0"/>
          <w:i w:val="0"/>
          <w:color w:val="333333"/>
          <w:spacing w:val="0"/>
          <w:sz w:val="28"/>
          <w:szCs w:val="28"/>
          <w:bdr w:val="none" w:color="auto" w:sz="0" w:space="0"/>
          <w:shd w:val="clear" w:fill="FFFFFF"/>
        </w:rPr>
        <w:t>第六十四条　</w:t>
      </w:r>
      <w:r>
        <w:rPr>
          <w:rFonts w:hint="default" w:ascii="仿宋_GB2312" w:hAnsi="宋体" w:eastAsia="仿宋_GB2312" w:cs="仿宋_GB2312"/>
          <w:i w:val="0"/>
          <w:color w:val="333333"/>
          <w:spacing w:val="0"/>
          <w:sz w:val="28"/>
          <w:szCs w:val="28"/>
          <w:bdr w:val="none" w:color="auto" w:sz="0" w:space="0"/>
          <w:shd w:val="clear" w:fill="FFFFFF"/>
        </w:rPr>
        <w:t>本条例自</w:t>
      </w:r>
      <w:r>
        <w:rPr>
          <w:rFonts w:hint="default" w:ascii="仿宋_GB2312" w:eastAsia="仿宋_GB2312" w:cs="仿宋_GB2312"/>
          <w:i w:val="0"/>
          <w:color w:val="333333"/>
          <w:spacing w:val="0"/>
          <w:sz w:val="28"/>
          <w:szCs w:val="28"/>
          <w:bdr w:val="none" w:color="auto" w:sz="0" w:space="0"/>
          <w:shd w:val="clear" w:fill="FFFFFF"/>
        </w:rPr>
        <w:t>2020</w:t>
      </w:r>
      <w:r>
        <w:rPr>
          <w:rFonts w:hint="default" w:ascii="仿宋_GB2312" w:hAnsi="宋体" w:eastAsia="仿宋_GB2312" w:cs="仿宋_GB2312"/>
          <w:i w:val="0"/>
          <w:sz w:val="28"/>
          <w:szCs w:val="28"/>
          <w:bdr w:val="none" w:color="auto" w:sz="0" w:space="0"/>
          <w:shd w:val="clear" w:fill="FFFFFF"/>
        </w:rPr>
        <w:t>年</w:t>
      </w:r>
      <w:r>
        <w:rPr>
          <w:rFonts w:hint="default" w:ascii="仿宋_GB2312" w:eastAsia="仿宋_GB2312" w:cs="仿宋_GB2312"/>
          <w:i w:val="0"/>
          <w:sz w:val="28"/>
          <w:szCs w:val="28"/>
          <w:bdr w:val="none" w:color="auto" w:sz="0" w:space="0"/>
          <w:shd w:val="clear" w:fill="FFFFFF"/>
        </w:rPr>
        <w:t>5</w:t>
      </w:r>
      <w:r>
        <w:rPr>
          <w:rFonts w:hint="default" w:ascii="仿宋_GB2312" w:hAnsi="宋体" w:eastAsia="仿宋_GB2312" w:cs="仿宋_GB2312"/>
          <w:i w:val="0"/>
          <w:sz w:val="28"/>
          <w:szCs w:val="28"/>
          <w:bdr w:val="none" w:color="auto" w:sz="0" w:space="0"/>
          <w:shd w:val="clear" w:fill="FFFFFF"/>
        </w:rPr>
        <w:t>月</w:t>
      </w:r>
      <w:r>
        <w:rPr>
          <w:rFonts w:hint="default" w:ascii="仿宋_GB2312" w:eastAsia="仿宋_GB2312" w:cs="仿宋_GB2312"/>
          <w:i w:val="0"/>
          <w:sz w:val="28"/>
          <w:szCs w:val="28"/>
          <w:bdr w:val="none" w:color="auto" w:sz="0" w:space="0"/>
          <w:shd w:val="clear" w:fill="FFFFFF"/>
        </w:rPr>
        <w:t>1</w:t>
      </w:r>
      <w:r>
        <w:rPr>
          <w:rFonts w:hint="default" w:ascii="仿宋_GB2312" w:hAnsi="宋体" w:eastAsia="仿宋_GB2312" w:cs="仿宋_GB2312"/>
          <w:i w:val="0"/>
          <w:sz w:val="28"/>
          <w:szCs w:val="28"/>
          <w:bdr w:val="none" w:color="auto" w:sz="0" w:space="0"/>
          <w:shd w:val="clear" w:fill="FFFFFF"/>
        </w:rPr>
        <w:t>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8" w:lineRule="atLeast"/>
        <w:ind w:left="0" w:right="0" w:firstLine="418"/>
        <w:jc w:val="both"/>
        <w:rPr>
          <w:i w:val="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3200B"/>
    <w:rsid w:val="6843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2021-08-12T06:27:00Z</dcterms:created>
  <dc:creator>1</dc:creator>
  <cp:lastModifiedBy>1</cp:lastModifiedBy>
  <dcterms:modified xsi:type="dcterms:W3CDTF">2021-08-12T06:27:56Z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