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解读：关于公布2020年度山亭区工业企业“亩产效益”综合评价结果的通知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bidi="ar-SA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评价背景</w:t>
      </w:r>
    </w:p>
    <w:p>
      <w:pPr>
        <w:autoSpaceDE/>
        <w:autoSpaceDN/>
        <w:spacing w:line="560" w:lineRule="exact"/>
        <w:ind w:firstLine="624" w:firstLineChars="200"/>
        <w:jc w:val="both"/>
        <w:rPr>
          <w:rFonts w:hint="eastAsia" w:ascii="仿宋_GB2312" w:hAnsi="Times New Roman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pacing w:val="-4"/>
          <w:sz w:val="32"/>
          <w:szCs w:val="32"/>
        </w:rPr>
        <w:t>深入贯彻落实省、市关于实施新旧动能转换重大工程的决策部署，进一步引导企业树立集约节约发展理念，优化资源要素配置，加快推进工业经济高质量发展</w:t>
      </w:r>
      <w:r>
        <w:rPr>
          <w:rFonts w:hint="eastAsia" w:ascii="仿宋_GB2312" w:hAnsi="Times New Roman" w:eastAsia="仿宋_GB2312"/>
          <w:spacing w:val="-4"/>
          <w:sz w:val="32"/>
          <w:szCs w:val="32"/>
          <w:lang w:eastAsia="zh-CN"/>
        </w:rPr>
        <w:t>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二、评价依据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关于做好2021年“亩产效益”评价改革工作的通知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（鲁工信运〔2021〕43号）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关于做好2021年“亩产效益”评价改革工作的通知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（枣工信字〔2021〕30号）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、山亭区人民政府关于印发《山亭区工业企业“亩产效益”评价改革工作实施方案》的通知（山政发〔2021〕6号）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三、出台目的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通过公布《2020年度山亭区工业企业“亩产效益”综合评价结果》，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使得被</w:t>
      </w:r>
      <w:r>
        <w:rPr>
          <w:rFonts w:ascii="仿宋_GB2312" w:eastAsia="仿宋_GB2312"/>
          <w:sz w:val="32"/>
          <w:szCs w:val="32"/>
        </w:rPr>
        <w:t>评价企业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了解自己的评价等级。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促进各种资源要素向优质企业流动，倒逼落后产能有序退出，努力发挥资源要素最大效益，推动企业由要素驱动向创新驱动转变，最大限度地调动企业高质量发展的积极性。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“亩产效益”综合评价评级结果。规上：30家规上参评企业，按照A级比例不大于20％，D级比例不小于5％的标准，最终评级结果为：6个A级，18个B级，4个C级，2个D级。规下：108家规上参评企业，按照A级比例不大于20％，D级比例不小于5％的标准，最终评级结果为：20个A级，65个B级，14个C级，9个D级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重要举措</w:t>
      </w:r>
      <w:bookmarkStart w:id="0" w:name="_GoBack"/>
    </w:p>
    <w:p>
      <w:pPr>
        <w:pStyle w:val="7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按照A、B、C、D四类划分评级结果。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帮助企业快速了解自己的评价等级，调动A、B类企业的发展劲头，促进C、D类企业加快转型升级，提升企业发展的积极性。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2F76A3-FF4B-401B-839D-43044CA9D0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AB0118-E73D-4FFB-A84D-EA8DBB4D697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EE1E64A-4C88-4B45-9641-3E2093E945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197DD3-1257-44B0-B073-0E9030839F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BD45853-43C9-43AB-8FBC-88A8CD6C90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0B01"/>
    <w:rsid w:val="1F2B77BB"/>
    <w:rsid w:val="289F63B7"/>
    <w:rsid w:val="33E34367"/>
    <w:rsid w:val="37D80DD3"/>
    <w:rsid w:val="4054551F"/>
    <w:rsid w:val="56550211"/>
    <w:rsid w:val="62BB068F"/>
    <w:rsid w:val="64301122"/>
    <w:rsid w:val="6E942C81"/>
    <w:rsid w:val="6E9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ind w:firstLine="200" w:firstLineChars="200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  <w:pPr>
      <w:widowControl/>
      <w:tabs>
        <w:tab w:val="right" w:leader="dot" w:pos="9060"/>
      </w:tabs>
      <w:spacing w:after="100" w:line="600" w:lineRule="exact"/>
    </w:pPr>
    <w:rPr>
      <w:rFonts w:ascii="Calibri" w:hAnsi="Calibri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2021-08-07T06:49:00Z</dcterms:created>
  <dc:creator>Administrator</dc:creator>
  <cp:lastModifiedBy>晓涵露</cp:lastModifiedBy>
  <dcterms:modified xsi:type="dcterms:W3CDTF">2021-11-10T03:14:51Z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F4670FA8B22E4C9EA745F48B01D3D26D</vt:lpwstr>
  </property>
  <property fmtid="{D5CDD505-2E9C-101B-9397-08002B2CF9AE}" pid="4" name="KSOSaveFontToCloudKey">
    <vt:lpwstr>318336108_btnclosed</vt:lpwstr>
  </property>
</Properties>
</file>