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center"/>
        <w:rPr>
          <w:rFonts w:ascii="方正小标宋简体" w:hAnsi="方正小标宋简体" w:eastAsia="方正小标宋简体" w:cs="方正小标宋简体"/>
          <w:sz w:val="44"/>
        </w:rPr>
      </w:pPr>
    </w:p>
    <w:p>
      <w:pPr>
        <w:spacing w:line="700" w:lineRule="exact"/>
        <w:jc w:val="center"/>
        <w:rPr>
          <w:rFonts w:hint="eastAsia" w:ascii="方正小标宋简体" w:hAnsi="方正小标宋简体" w:eastAsia="方正小标宋简体" w:cs="方正小标宋简体"/>
          <w:sz w:val="44"/>
        </w:rPr>
      </w:pPr>
      <w:r>
        <w:rPr>
          <w:rFonts w:hint="eastAsia" w:ascii="方正小标宋简体" w:hAnsi="方正小标宋简体" w:eastAsia="方正小标宋简体" w:cs="方正小标宋简体"/>
          <w:sz w:val="44"/>
        </w:rPr>
        <w:t>山亭区人力资源和社会保障局</w:t>
      </w:r>
    </w:p>
    <w:p>
      <w:pPr>
        <w:spacing w:line="700" w:lineRule="exact"/>
        <w:jc w:val="center"/>
        <w:rPr>
          <w:rFonts w:hint="default" w:ascii="方正小标宋简体" w:hAnsi="方正小标宋简体" w:eastAsia="方正小标宋简体" w:cs="方正小标宋简体"/>
          <w:sz w:val="44"/>
          <w:lang w:val="en-US" w:eastAsia="zh-CN"/>
        </w:rPr>
      </w:pPr>
      <w:r>
        <w:rPr>
          <w:rFonts w:hint="eastAsia" w:ascii="方正小标宋简体" w:hAnsi="方正小标宋简体" w:eastAsia="方正小标宋简体" w:cs="方正小标宋简体"/>
          <w:sz w:val="44"/>
        </w:rPr>
        <w:t>2021年工作总结</w:t>
      </w:r>
      <w:r>
        <w:rPr>
          <w:rFonts w:hint="eastAsia" w:ascii="方正小标宋简体" w:hAnsi="方正小标宋简体" w:eastAsia="方正小标宋简体" w:cs="方正小标宋简体"/>
          <w:sz w:val="44"/>
          <w:lang w:eastAsia="zh-CN"/>
        </w:rPr>
        <w:t>及</w:t>
      </w:r>
      <w:r>
        <w:rPr>
          <w:rFonts w:hint="eastAsia" w:ascii="方正小标宋简体" w:hAnsi="方正小标宋简体" w:eastAsia="方正小标宋简体" w:cs="方正小标宋简体"/>
          <w:sz w:val="44"/>
          <w:lang w:val="en-US" w:eastAsia="zh-CN"/>
        </w:rPr>
        <w:t>2022年工作计划</w:t>
      </w:r>
    </w:p>
    <w:p>
      <w:pPr>
        <w:pStyle w:val="7"/>
        <w:spacing w:line="700" w:lineRule="exact"/>
        <w:ind w:firstLine="640"/>
        <w:rPr>
          <w:rFonts w:ascii="仿宋_GB2312" w:hAnsi="仿宋_GB2312" w:cs="仿宋_GB2312"/>
          <w:szCs w:val="32"/>
        </w:rPr>
      </w:pPr>
    </w:p>
    <w:p>
      <w:pPr>
        <w:overflowPunct w:val="0"/>
        <w:spacing w:line="570" w:lineRule="exact"/>
        <w:ind w:firstLine="640" w:firstLineChars="200"/>
        <w:rPr>
          <w:rFonts w:ascii="仿宋" w:hAnsi="仿宋" w:eastAsia="仿宋" w:cs="仿宋"/>
          <w:sz w:val="32"/>
          <w:szCs w:val="32"/>
        </w:rPr>
      </w:pPr>
      <w:r>
        <w:rPr>
          <w:rFonts w:hint="eastAsia" w:ascii="仿宋" w:hAnsi="仿宋" w:eastAsia="仿宋" w:cs="仿宋"/>
          <w:sz w:val="32"/>
          <w:szCs w:val="32"/>
        </w:rPr>
        <w:t>2021年，在区委、区政府的坚强领导下，全区人社系统紧紧围绕“工业强区、产业兴区”战略，坚持“民生为本、人才优先”工作主线，创新工作举措，狠抓队伍建设，各项考核指标均走在全市前列，被省人社厅评为“山东省人力资源社会保障系统先进集体”，被市精神文明委员会评为“枣庄市级精神文明单位”。现将工作开展情况简要汇报如下：</w:t>
      </w:r>
    </w:p>
    <w:p>
      <w:pPr>
        <w:pStyle w:val="2"/>
        <w:spacing w:line="570" w:lineRule="exact"/>
        <w:ind w:firstLine="640"/>
        <w:rPr>
          <w:rFonts w:ascii="黑体" w:hAnsi="黑体" w:eastAsia="黑体" w:cs="黑体"/>
          <w:sz w:val="32"/>
          <w:szCs w:val="32"/>
        </w:rPr>
      </w:pPr>
      <w:r>
        <w:rPr>
          <w:rFonts w:hint="eastAsia" w:ascii="黑体" w:hAnsi="黑体" w:eastAsia="黑体" w:cs="黑体"/>
          <w:sz w:val="32"/>
          <w:szCs w:val="32"/>
        </w:rPr>
        <w:t>一、工作开展情况</w:t>
      </w:r>
    </w:p>
    <w:p>
      <w:pPr>
        <w:pStyle w:val="6"/>
        <w:widowControl/>
        <w:spacing w:before="0" w:beforeAutospacing="0" w:after="0" w:afterAutospacing="0" w:line="570" w:lineRule="exact"/>
        <w:ind w:firstLine="640" w:firstLineChars="200"/>
        <w:jc w:val="both"/>
        <w:rPr>
          <w:rFonts w:ascii="仿宋" w:hAnsi="仿宋" w:eastAsia="仿宋" w:cs="仿宋"/>
          <w:kern w:val="2"/>
          <w:sz w:val="32"/>
          <w:szCs w:val="32"/>
        </w:rPr>
      </w:pPr>
      <w:r>
        <w:rPr>
          <w:rFonts w:hint="eastAsia" w:ascii="楷体" w:hAnsi="楷体" w:eastAsia="楷体" w:cs="楷体"/>
          <w:sz w:val="32"/>
          <w:szCs w:val="32"/>
        </w:rPr>
        <w:t>（一）就业形势持续向好。</w:t>
      </w:r>
      <w:r>
        <w:rPr>
          <w:rFonts w:hint="eastAsia" w:ascii="仿宋" w:hAnsi="仿宋" w:eastAsia="仿宋" w:cs="仿宋"/>
          <w:b/>
          <w:bCs/>
          <w:sz w:val="32"/>
          <w:szCs w:val="32"/>
        </w:rPr>
        <w:t>一是扎实做好稳就业工作。</w:t>
      </w:r>
      <w:r>
        <w:rPr>
          <w:rFonts w:hint="eastAsia" w:ascii="仿宋" w:hAnsi="仿宋" w:eastAsia="仿宋" w:cs="仿宋"/>
          <w:sz w:val="32"/>
          <w:szCs w:val="32"/>
        </w:rPr>
        <w:t>积极</w:t>
      </w:r>
      <w:r>
        <w:rPr>
          <w:rFonts w:hint="eastAsia" w:ascii="仿宋" w:hAnsi="仿宋" w:eastAsia="仿宋" w:cs="仿宋"/>
          <w:kern w:val="2"/>
          <w:sz w:val="32"/>
          <w:szCs w:val="32"/>
        </w:rPr>
        <w:t>开展促就业进基层、稳岗留工暖冬行动、赶大集等活动，广泛开展线上、线下用工招聘，实现城镇新增就业3536人，失业再就业1142人，困难人员再就业250人，城镇登记失业人数1111人，城镇失业目标控制在2.0%左右，就业结构性矛盾得到有效缓解。“就业行动进基层 稳就业保用工”活动被央视新闻频道宣传报道。</w:t>
      </w:r>
      <w:r>
        <w:rPr>
          <w:rFonts w:hint="eastAsia" w:ascii="仿宋" w:hAnsi="仿宋" w:eastAsia="仿宋" w:cs="仿宋"/>
          <w:b/>
          <w:bCs/>
          <w:kern w:val="2"/>
          <w:sz w:val="32"/>
          <w:szCs w:val="32"/>
        </w:rPr>
        <w:t>二是高度重视重点群体就业。</w:t>
      </w:r>
      <w:r>
        <w:rPr>
          <w:rFonts w:hint="eastAsia" w:ascii="仿宋" w:hAnsi="仿宋" w:eastAsia="仿宋" w:cs="仿宋"/>
          <w:kern w:val="2"/>
          <w:sz w:val="32"/>
          <w:szCs w:val="32"/>
        </w:rPr>
        <w:t>安置青年见习152人，开发公益性岗位安置困难人员就业70人，设立建档立卡脱贫户“失能人员护理岗”600个。持续做好脱贫享受政策人口就业帮扶工作，认定乡村振兴劳务基地2家。</w:t>
      </w:r>
      <w:r>
        <w:rPr>
          <w:rFonts w:hint="eastAsia" w:ascii="仿宋" w:hAnsi="仿宋" w:eastAsia="仿宋" w:cs="仿宋"/>
          <w:b/>
          <w:bCs/>
          <w:kern w:val="2"/>
          <w:sz w:val="32"/>
          <w:szCs w:val="32"/>
        </w:rPr>
        <w:t>三是全力服务全区产业发展。</w:t>
      </w:r>
      <w:r>
        <w:rPr>
          <w:rFonts w:hint="eastAsia" w:ascii="仿宋" w:hAnsi="仿宋" w:eastAsia="仿宋" w:cs="仿宋"/>
          <w:kern w:val="2"/>
          <w:sz w:val="32"/>
          <w:szCs w:val="32"/>
        </w:rPr>
        <w:t>围绕“工业强区、产业兴区”战略，大力开展职业技能提升行动 ，6273</w:t>
      </w:r>
      <w:bookmarkStart w:id="0" w:name="_GoBack"/>
      <w:bookmarkEnd w:id="0"/>
      <w:r>
        <w:rPr>
          <w:rFonts w:hint="eastAsia" w:ascii="仿宋" w:hAnsi="仿宋" w:eastAsia="仿宋" w:cs="仿宋"/>
          <w:kern w:val="2"/>
          <w:sz w:val="32"/>
          <w:szCs w:val="32"/>
        </w:rPr>
        <w:t>人享受补贴性职业技能培训。围绕“双十镇”建设，大力实施乡村人才振兴“雁阵工程”培育计划，已通过市首席技师评审2人，培育新型职业农民10人，完成乡村振兴继续教育培训700余人，培训农村转移劳动者2358人。</w:t>
      </w:r>
      <w:r>
        <w:rPr>
          <w:rFonts w:hint="eastAsia" w:ascii="仿宋" w:hAnsi="仿宋" w:eastAsia="仿宋" w:cs="仿宋"/>
          <w:b/>
          <w:bCs/>
          <w:kern w:val="2"/>
          <w:sz w:val="32"/>
          <w:szCs w:val="32"/>
        </w:rPr>
        <w:t>四是积极构建公共就业服务体系。</w:t>
      </w:r>
      <w:r>
        <w:rPr>
          <w:rFonts w:hint="eastAsia" w:ascii="仿宋" w:hAnsi="仿宋" w:eastAsia="仿宋" w:cs="仿宋"/>
          <w:kern w:val="2"/>
          <w:sz w:val="32"/>
          <w:szCs w:val="32"/>
        </w:rPr>
        <w:t>充分发挥</w:t>
      </w:r>
      <w:r>
        <w:rPr>
          <w:rFonts w:hint="eastAsia" w:ascii="仿宋" w:hAnsi="仿宋" w:eastAsia="仿宋" w:cs="仿宋"/>
          <w:kern w:val="32"/>
          <w:sz w:val="32"/>
          <w:szCs w:val="32"/>
        </w:rPr>
        <w:t>创业担保贷款贴息和</w:t>
      </w:r>
      <w:r>
        <w:rPr>
          <w:rFonts w:hint="eastAsia" w:ascii="仿宋" w:hAnsi="仿宋" w:eastAsia="仿宋" w:cs="仿宋"/>
          <w:kern w:val="2"/>
          <w:sz w:val="32"/>
          <w:szCs w:val="32"/>
        </w:rPr>
        <w:t>稳岗返还补贴政策</w:t>
      </w:r>
      <w:r>
        <w:rPr>
          <w:rFonts w:hint="eastAsia" w:ascii="仿宋" w:hAnsi="仿宋" w:eastAsia="仿宋" w:cs="仿宋"/>
          <w:kern w:val="32"/>
          <w:sz w:val="32"/>
          <w:szCs w:val="32"/>
        </w:rPr>
        <w:t>支持创业、稳定就业的作用，</w:t>
      </w:r>
      <w:r>
        <w:rPr>
          <w:rFonts w:hint="eastAsia" w:ascii="仿宋" w:hAnsi="仿宋" w:eastAsia="仿宋" w:cs="仿宋"/>
          <w:kern w:val="2"/>
          <w:sz w:val="32"/>
          <w:szCs w:val="32"/>
        </w:rPr>
        <w:t>发放担保贷款1534万元，惠及95家个体工商户，实现大学生创业引领170人，新增大学生就业创业1707人，高校毕业生总体就业率达94%；发放各类补贴</w:t>
      </w:r>
      <w:r>
        <w:rPr>
          <w:rFonts w:hint="eastAsia" w:ascii="仿宋" w:hAnsi="仿宋" w:eastAsia="仿宋" w:cs="仿宋"/>
          <w:sz w:val="32"/>
          <w:szCs w:val="32"/>
        </w:rPr>
        <w:t>1116.2万元</w:t>
      </w:r>
      <w:r>
        <w:rPr>
          <w:rFonts w:hint="eastAsia" w:ascii="仿宋" w:hAnsi="仿宋" w:eastAsia="仿宋" w:cs="仿宋"/>
          <w:kern w:val="2"/>
          <w:sz w:val="32"/>
          <w:szCs w:val="32"/>
        </w:rPr>
        <w:t>，惠及企业和个体工商户323家、职工22351人。与北京华普亿方集团签订战略合作协议，全面推进创业培训。推选的枣庄唯品商贸有限公司荣获全市“创赢未来、业兴枣庄”返乡创业大赛三等奖。</w:t>
      </w:r>
    </w:p>
    <w:p>
      <w:pPr>
        <w:pStyle w:val="6"/>
        <w:widowControl/>
        <w:spacing w:before="0" w:beforeAutospacing="0" w:after="0" w:afterAutospacing="0" w:line="570" w:lineRule="exact"/>
        <w:ind w:firstLine="640" w:firstLineChars="200"/>
        <w:jc w:val="both"/>
        <w:rPr>
          <w:rFonts w:ascii="仿宋" w:hAnsi="仿宋" w:eastAsia="仿宋" w:cs="仿宋"/>
          <w:sz w:val="32"/>
          <w:szCs w:val="32"/>
        </w:rPr>
      </w:pPr>
      <w:r>
        <w:rPr>
          <w:rFonts w:hint="eastAsia" w:ascii="楷体" w:hAnsi="楷体" w:eastAsia="楷体" w:cs="楷体"/>
          <w:sz w:val="32"/>
          <w:szCs w:val="32"/>
        </w:rPr>
        <w:t>（二）社会保障更加有力。</w:t>
      </w:r>
      <w:r>
        <w:rPr>
          <w:rFonts w:hint="eastAsia" w:ascii="仿宋" w:hAnsi="仿宋" w:eastAsia="仿宋" w:cs="仿宋"/>
          <w:b/>
          <w:bCs/>
          <w:sz w:val="32"/>
          <w:szCs w:val="32"/>
        </w:rPr>
        <w:t>一是持续推进全民参保。</w:t>
      </w:r>
      <w:r>
        <w:rPr>
          <w:rFonts w:hint="eastAsia" w:ascii="仿宋" w:hAnsi="仿宋" w:eastAsia="仿宋" w:cs="仿宋"/>
          <w:sz w:val="32"/>
          <w:szCs w:val="32"/>
        </w:rPr>
        <w:t>新增参保登记3789人，养老、失业、工伤保险参保总人数达43.06万人，征缴各项社保费6.5亿元，新开工工程建设项目工伤保险参保率达100%。为增加社保缴费透明度，方便群众了解缴费信息，对水泉镇3个村城乡居民养老保险缴费记录进行集中公示，持续扩大社会监督范围。</w:t>
      </w:r>
      <w:r>
        <w:rPr>
          <w:rFonts w:hint="eastAsia" w:ascii="仿宋" w:hAnsi="仿宋" w:eastAsia="仿宋" w:cs="仿宋"/>
          <w:b/>
          <w:bCs/>
          <w:sz w:val="32"/>
          <w:szCs w:val="32"/>
        </w:rPr>
        <w:t>二是及时兑现社保待遇。</w:t>
      </w:r>
      <w:r>
        <w:rPr>
          <w:rFonts w:hint="eastAsia" w:ascii="仿宋" w:hAnsi="仿宋" w:eastAsia="仿宋" w:cs="仿宋"/>
          <w:sz w:val="32"/>
          <w:szCs w:val="32"/>
        </w:rPr>
        <w:t>办理机关事业单位到龄退休人员225人，审核企业到龄退休人员档案材料692份，办理退休手续580人，申请特殊工种及因病提前退休122人，办理一次性抚恤金手续149人，确保社保待遇应享尽享。稳步提高机关事业单位退休人员基本养老金水平、城乡居民养老保险基础养老金标准、工伤保险三项定期待遇标准、失业保险金标准。争取财政资金拨付社保待遇6.9亿元，区直部门、镇街及教师退休人员养老金均按月足额发放。</w:t>
      </w:r>
      <w:r>
        <w:rPr>
          <w:rFonts w:hint="eastAsia" w:ascii="仿宋" w:hAnsi="仿宋" w:eastAsia="仿宋" w:cs="仿宋"/>
          <w:b/>
          <w:bCs/>
          <w:sz w:val="32"/>
          <w:szCs w:val="32"/>
        </w:rPr>
        <w:t>三是积极服务全区大局。</w:t>
      </w:r>
      <w:r>
        <w:rPr>
          <w:rFonts w:hint="eastAsia" w:ascii="仿宋" w:hAnsi="仿宋" w:eastAsia="仿宋" w:cs="仿宋"/>
          <w:sz w:val="32"/>
          <w:szCs w:val="32"/>
        </w:rPr>
        <w:t>紧跟各批次征地项目，率先落实被征地农民社会保障金约2.5亿元，受到区领导批示表扬，有力地推动了经济发展和城市化进程。坚决扛起“社保兜底”重任，为13319人代缴城乡居民养老保险费，为864名重残人员提前发放养老保险待遇，为1723名年满60周岁脱贫人员按月发放居民养老保险待遇，扎实推进巩固拓展脱贫攻坚成果与乡村振兴有效衔接。</w:t>
      </w:r>
      <w:r>
        <w:rPr>
          <w:rFonts w:hint="eastAsia" w:ascii="仿宋" w:hAnsi="仿宋" w:eastAsia="仿宋" w:cs="仿宋"/>
          <w:kern w:val="32"/>
          <w:sz w:val="32"/>
          <w:szCs w:val="32"/>
        </w:rPr>
        <w:t>大力推进电子社保卡申领办理工作，全区社保卡持卡人数达42.6万人，人社应用领域达95项，大大方便了人民群众生产生活。</w:t>
      </w:r>
      <w:r>
        <w:rPr>
          <w:rFonts w:hint="eastAsia" w:ascii="仿宋" w:hAnsi="仿宋" w:eastAsia="仿宋" w:cs="仿宋"/>
          <w:b/>
          <w:bCs/>
          <w:sz w:val="32"/>
          <w:szCs w:val="32"/>
        </w:rPr>
        <w:t>四是切实维护社会稳定。</w:t>
      </w:r>
      <w:r>
        <w:rPr>
          <w:rFonts w:hint="eastAsia" w:ascii="仿宋" w:hAnsi="仿宋" w:eastAsia="仿宋" w:cs="仿宋"/>
          <w:sz w:val="32"/>
          <w:szCs w:val="32"/>
        </w:rPr>
        <w:t>通过微信公众号、发传单、公开栏等多种形式宣传社保政策，热情接待群众来信来访,耐心做好政策解释工作,有效化解信访矛盾。先后核查企业142家，下达补缴通知61份、社会保险稽核意见书48份，有力保障了职工的参保权益。</w:t>
      </w:r>
      <w:r>
        <w:rPr>
          <w:rFonts w:hint="eastAsia" w:ascii="仿宋" w:hAnsi="仿宋" w:eastAsia="仿宋" w:cs="仿宋"/>
          <w:b/>
          <w:bCs/>
          <w:sz w:val="32"/>
          <w:szCs w:val="32"/>
        </w:rPr>
        <w:t>五是维护社保基金安全。</w:t>
      </w:r>
      <w:r>
        <w:rPr>
          <w:rFonts w:hint="eastAsia" w:ascii="仿宋" w:hAnsi="仿宋" w:eastAsia="仿宋" w:cs="仿宋"/>
          <w:sz w:val="32"/>
          <w:szCs w:val="32"/>
        </w:rPr>
        <w:t xml:space="preserve">加大社保基金风险排查力度，已筛查、整改疑点信息4000余条，实现了“边整改、边规范、边提高”,有效保障了社保基金安全。规划财务专班严格履行财务收支审批手续，如实反映社会保险基金的财务状况和收支情况，做到账实相符、收支平衡，保障社保基金安全运行。 </w:t>
      </w:r>
    </w:p>
    <w:p>
      <w:pPr>
        <w:spacing w:line="570" w:lineRule="exact"/>
        <w:ind w:firstLine="640" w:firstLineChars="200"/>
        <w:rPr>
          <w:rStyle w:val="10"/>
          <w:rFonts w:ascii="仿宋" w:hAnsi="仿宋" w:eastAsia="仿宋" w:cs="仿宋"/>
          <w:sz w:val="32"/>
          <w:szCs w:val="32"/>
        </w:rPr>
      </w:pPr>
      <w:r>
        <w:rPr>
          <w:rFonts w:hint="eastAsia" w:ascii="楷体" w:hAnsi="楷体" w:eastAsia="楷体" w:cs="楷体"/>
          <w:kern w:val="0"/>
          <w:sz w:val="32"/>
          <w:szCs w:val="32"/>
        </w:rPr>
        <w:t>（三）人事人才再创佳绩。</w:t>
      </w:r>
      <w:r>
        <w:rPr>
          <w:rFonts w:hint="eastAsia" w:ascii="仿宋" w:hAnsi="仿宋" w:eastAsia="仿宋" w:cs="仿宋"/>
          <w:b/>
          <w:bCs/>
          <w:sz w:val="32"/>
          <w:szCs w:val="32"/>
        </w:rPr>
        <w:t>一是大力招引人才。</w:t>
      </w:r>
      <w:r>
        <w:rPr>
          <w:rFonts w:hint="eastAsia" w:ascii="仿宋" w:hAnsi="仿宋" w:eastAsia="仿宋" w:cs="仿宋"/>
          <w:sz w:val="32"/>
          <w:szCs w:val="32"/>
        </w:rPr>
        <w:t>聚焦“6+3”产业体系，征集并发布全区企业急需紧缺人才需求，涉及12家企业、22个专业（岗位），需求40人。柔性引进国家级高层次人才1人，</w:t>
      </w:r>
      <w:r>
        <w:rPr>
          <w:rFonts w:hint="eastAsia" w:ascii="仿宋" w:hAnsi="仿宋" w:eastAsia="仿宋" w:cs="仿宋"/>
          <w:bCs/>
          <w:color w:val="000000"/>
          <w:sz w:val="32"/>
          <w:szCs w:val="32"/>
        </w:rPr>
        <w:t>完成青年人才集聚博士4人、硕士82人、大学生1707人，引进海外留学人才11人。</w:t>
      </w:r>
      <w:r>
        <w:rPr>
          <w:rFonts w:hint="eastAsia" w:ascii="仿宋" w:hAnsi="仿宋" w:eastAsia="仿宋" w:cs="仿宋"/>
          <w:sz w:val="32"/>
          <w:szCs w:val="32"/>
        </w:rPr>
        <w:t>先后招引国企“管培生”39人、急需紧缺人才49人、青年人才123人。丰谷种业、同泰维润2家企业成功引进2名博士后研究人员进站（基地）开展项目研究。</w:t>
      </w:r>
      <w:r>
        <w:rPr>
          <w:rFonts w:hint="eastAsia" w:ascii="仿宋" w:hAnsi="仿宋" w:eastAsia="仿宋" w:cs="仿宋"/>
          <w:b/>
          <w:bCs/>
          <w:sz w:val="32"/>
          <w:szCs w:val="32"/>
        </w:rPr>
        <w:t>二是积极培育人才。</w:t>
      </w:r>
      <w:r>
        <w:rPr>
          <w:rFonts w:hint="eastAsia" w:ascii="仿宋" w:hAnsi="仿宋" w:eastAsia="仿宋" w:cs="仿宋"/>
          <w:color w:val="000000"/>
          <w:sz w:val="32"/>
          <w:szCs w:val="32"/>
          <w:shd w:val="clear" w:color="auto" w:fill="FFFFFF"/>
        </w:rPr>
        <w:t>交发集团王海涛成功进入</w:t>
      </w:r>
      <w:r>
        <w:rPr>
          <w:rFonts w:hint="eastAsia" w:ascii="仿宋" w:hAnsi="仿宋" w:eastAsia="仿宋" w:cs="仿宋"/>
          <w:sz w:val="32"/>
          <w:szCs w:val="32"/>
        </w:rPr>
        <w:t>枣庄市有突出贡献的中青年专家</w:t>
      </w:r>
      <w:r>
        <w:rPr>
          <w:rFonts w:hint="eastAsia" w:ascii="仿宋" w:hAnsi="仿宋" w:eastAsia="仿宋" w:cs="仿宋"/>
          <w:color w:val="000000"/>
          <w:sz w:val="32"/>
          <w:szCs w:val="32"/>
          <w:shd w:val="clear" w:color="auto" w:fill="FFFFFF"/>
        </w:rPr>
        <w:t>公示考察人选范围</w:t>
      </w:r>
      <w:r>
        <w:rPr>
          <w:rFonts w:hint="eastAsia" w:ascii="仿宋" w:hAnsi="仿宋" w:eastAsia="仿宋" w:cs="仿宋"/>
          <w:sz w:val="32"/>
          <w:szCs w:val="32"/>
        </w:rPr>
        <w:t>。汉诺集团牛强、快能电子张浩通过枣庄市首席技师专家评审。山东莺歌食品有限公司“益生菌、益生元功能性花生酱产品研发及产业化项目”成功入选省重点扶持区域引进急需紧缺人才项目计划。</w:t>
      </w:r>
      <w:r>
        <w:rPr>
          <w:rFonts w:hint="eastAsia" w:ascii="仿宋" w:hAnsi="仿宋" w:eastAsia="仿宋" w:cs="仿宋"/>
          <w:b/>
          <w:bCs/>
          <w:sz w:val="32"/>
          <w:szCs w:val="32"/>
        </w:rPr>
        <w:t>三是加强人才平台载体建设。</w:t>
      </w:r>
      <w:r>
        <w:rPr>
          <w:rFonts w:hint="eastAsia" w:ascii="仿宋" w:hAnsi="仿宋" w:eastAsia="仿宋" w:cs="仿宋"/>
          <w:sz w:val="32"/>
          <w:szCs w:val="32"/>
        </w:rPr>
        <w:t>推荐银光新型建材有限公司申报省级专家服务基地、山东莺歌食品有限公司申报省级乡村振兴专家服务基地。丰谷种业有限公司、同泰维润食品科技有限公司2家单位成功获批省博士后创新实践基地，填补了山亭区联合培养博士后研究人员的空白。</w:t>
      </w:r>
      <w:r>
        <w:rPr>
          <w:rFonts w:hint="eastAsia" w:ascii="仿宋" w:hAnsi="仿宋" w:eastAsia="仿宋" w:cs="仿宋"/>
          <w:b/>
          <w:bCs/>
          <w:sz w:val="32"/>
          <w:szCs w:val="32"/>
        </w:rPr>
        <w:t>四是加强事业单位人员管理。</w:t>
      </w:r>
      <w:r>
        <w:rPr>
          <w:rFonts w:hint="eastAsia" w:ascii="仿宋" w:hAnsi="仿宋" w:eastAsia="仿宋" w:cs="仿宋"/>
          <w:sz w:val="32"/>
          <w:szCs w:val="32"/>
        </w:rPr>
        <w:t>圆满完成事业单位一般工作人员年度考核工作，评定优秀等次1195人。完成事业单位公开招聘综合类46人，教育类97人，卫生类24人。事业单位岗位设置备案59家，聘用备案129人，兼职聘用审批12人。受理全区各单位供查借阅档案1650人次，接收各单位补充档案材料1920余份，转递考录、辞职等人员档案95卷，接收组织部转递科级退休人员档案59卷。</w:t>
      </w:r>
      <w:r>
        <w:rPr>
          <w:rFonts w:hint="eastAsia" w:ascii="仿宋" w:hAnsi="仿宋" w:eastAsia="仿宋" w:cs="仿宋"/>
          <w:b/>
          <w:bCs/>
          <w:sz w:val="32"/>
          <w:szCs w:val="32"/>
        </w:rPr>
        <w:t>五是深化</w:t>
      </w:r>
      <w:r>
        <w:rPr>
          <w:rStyle w:val="10"/>
          <w:rFonts w:hint="eastAsia" w:ascii="仿宋" w:hAnsi="仿宋" w:eastAsia="仿宋" w:cs="仿宋"/>
          <w:b/>
          <w:bCs/>
          <w:sz w:val="32"/>
          <w:szCs w:val="32"/>
        </w:rPr>
        <w:t>职称制度改革。</w:t>
      </w:r>
      <w:r>
        <w:rPr>
          <w:rStyle w:val="10"/>
          <w:rFonts w:hint="eastAsia" w:ascii="仿宋" w:hAnsi="仿宋" w:eastAsia="仿宋" w:cs="仿宋"/>
          <w:sz w:val="32"/>
          <w:szCs w:val="32"/>
        </w:rPr>
        <w:t xml:space="preserve">突出基层导向，着力打破基层专技人才“天花板”。2021年，共评审通过高级229人、中级647人、初级222人。打通高技能人才和与专业技术人才职业发展通道，3人通过贯通政策申报工程技术职称。 </w:t>
      </w:r>
    </w:p>
    <w:p>
      <w:pPr>
        <w:pStyle w:val="6"/>
        <w:widowControl/>
        <w:spacing w:before="0" w:beforeAutospacing="0" w:after="0" w:afterAutospacing="0" w:line="570" w:lineRule="exact"/>
        <w:ind w:firstLine="640" w:firstLineChars="200"/>
        <w:jc w:val="both"/>
        <w:rPr>
          <w:rFonts w:ascii="仿宋" w:hAnsi="仿宋" w:eastAsia="仿宋" w:cs="仿宋"/>
          <w:kern w:val="32"/>
          <w:sz w:val="32"/>
          <w:szCs w:val="32"/>
        </w:rPr>
      </w:pPr>
      <w:r>
        <w:rPr>
          <w:rFonts w:hint="eastAsia" w:ascii="楷体" w:hAnsi="楷体" w:eastAsia="楷体" w:cs="楷体"/>
          <w:sz w:val="32"/>
          <w:szCs w:val="32"/>
        </w:rPr>
        <w:t>（四）劳动关系和谐稳固。</w:t>
      </w:r>
      <w:r>
        <w:rPr>
          <w:rFonts w:hint="eastAsia" w:ascii="仿宋" w:hAnsi="仿宋" w:eastAsia="仿宋" w:cs="仿宋"/>
          <w:b/>
          <w:bCs/>
          <w:sz w:val="32"/>
          <w:szCs w:val="32"/>
        </w:rPr>
        <w:t>一是强化</w:t>
      </w:r>
      <w:r>
        <w:rPr>
          <w:rFonts w:hint="eastAsia" w:ascii="仿宋" w:hAnsi="仿宋" w:eastAsia="仿宋" w:cs="仿宋"/>
          <w:b/>
          <w:bCs/>
          <w:kern w:val="32"/>
          <w:sz w:val="32"/>
          <w:szCs w:val="32"/>
        </w:rPr>
        <w:t>劳动监察执法。</w:t>
      </w:r>
      <w:r>
        <w:rPr>
          <w:rFonts w:hint="eastAsia" w:ascii="仿宋" w:hAnsi="仿宋" w:eastAsia="仿宋" w:cs="仿宋"/>
          <w:sz w:val="32"/>
          <w:szCs w:val="32"/>
        </w:rPr>
        <w:t>持续开展日常巡查、专项检查、投诉专查等活动，共检查用人单位96户，涉及职工3000余人，累计核处欠薪平台线索106个，为2000余名职工追发工资2500余万元。建立法院、检察院、公安、司法等多部门协调联动机制，联合商讨处理案件10余起，与住建部门合力办理工程建设领域欠薪案件8件，公安机关提前介入联系欠薪人接受调查询问案件6件，以涉嫌拒不支付劳动报酬罪移交公安机关2件，共为50余人追回工资60余万元。根治欠薪的经验做法被省人社厅宣传推广。</w:t>
      </w:r>
      <w:r>
        <w:rPr>
          <w:rFonts w:hint="eastAsia" w:ascii="仿宋" w:hAnsi="仿宋" w:eastAsia="仿宋" w:cs="仿宋"/>
          <w:b/>
          <w:bCs/>
          <w:kern w:val="32"/>
          <w:sz w:val="32"/>
          <w:szCs w:val="32"/>
        </w:rPr>
        <w:t>二是不断提升调解仲裁效能。</w:t>
      </w:r>
      <w:r>
        <w:rPr>
          <w:rFonts w:hint="eastAsia" w:ascii="仿宋" w:hAnsi="仿宋" w:eastAsia="仿宋" w:cs="仿宋"/>
          <w:kern w:val="32"/>
          <w:sz w:val="32"/>
          <w:szCs w:val="32"/>
        </w:rPr>
        <w:t>建立劳动人事争议多元化处理机制，依法处理案件295起，按期结案率100%，调解率70%以上。推选2个镇和3家企业试点实施“听竹”工程,徐庄镇劳动人事争议调解委员会入选全市首批金牌劳动人事争议调解组织。</w:t>
      </w:r>
      <w:r>
        <w:rPr>
          <w:rFonts w:hint="eastAsia" w:ascii="仿宋" w:hAnsi="仿宋" w:eastAsia="仿宋" w:cs="仿宋"/>
          <w:sz w:val="32"/>
          <w:szCs w:val="32"/>
        </w:rPr>
        <w:t>集中优势办案力量，充分发挥劳动争议仲裁“依法、高效、快捷”特点，集中办理了华悦玩具厂信访事项，有效化解了该群体性上访事件。</w:t>
      </w:r>
      <w:r>
        <w:rPr>
          <w:rFonts w:hint="eastAsia" w:ascii="仿宋" w:hAnsi="仿宋" w:eastAsia="仿宋" w:cs="仿宋"/>
          <w:b/>
          <w:bCs/>
          <w:kern w:val="32"/>
          <w:sz w:val="32"/>
          <w:szCs w:val="32"/>
        </w:rPr>
        <w:t>三是依法规范工伤认定工作。</w:t>
      </w:r>
      <w:r>
        <w:rPr>
          <w:rFonts w:hint="eastAsia" w:ascii="仿宋" w:hAnsi="仿宋" w:eastAsia="仿宋" w:cs="仿宋"/>
          <w:kern w:val="32"/>
          <w:sz w:val="32"/>
          <w:szCs w:val="32"/>
        </w:rPr>
        <w:t>坚持“以人为本”理念，严格工伤认定程序，已出具一次性补正告知26件，材料齐正并已受理50件，限期举证12件，做出认定工伤决定共计53件，送达工伤决定文书106份，及时做好案卷归档工作，在市局组织的年度案卷评查中获得好评。完成34人劳动能力鉴定，完成率达到76%。</w:t>
      </w:r>
    </w:p>
    <w:p>
      <w:pPr>
        <w:widowControl/>
        <w:spacing w:line="570" w:lineRule="exact"/>
        <w:ind w:firstLine="640" w:firstLineChars="200"/>
        <w:rPr>
          <w:rFonts w:ascii="仿宋" w:hAnsi="仿宋" w:eastAsia="仿宋" w:cs="仿宋"/>
          <w:kern w:val="32"/>
          <w:sz w:val="32"/>
          <w:szCs w:val="32"/>
        </w:rPr>
      </w:pPr>
      <w:r>
        <w:rPr>
          <w:rFonts w:hint="eastAsia" w:ascii="楷体" w:hAnsi="楷体" w:eastAsia="楷体" w:cs="楷体"/>
          <w:kern w:val="0"/>
          <w:sz w:val="32"/>
          <w:szCs w:val="32"/>
        </w:rPr>
        <w:t>（五）党风建设成效显著。</w:t>
      </w:r>
      <w:r>
        <w:rPr>
          <w:rFonts w:hint="eastAsia" w:ascii="仿宋" w:hAnsi="仿宋" w:eastAsia="仿宋" w:cs="仿宋"/>
          <w:b/>
          <w:bCs/>
          <w:sz w:val="32"/>
          <w:szCs w:val="32"/>
        </w:rPr>
        <w:t>一是管党治党纵深推进。</w:t>
      </w:r>
      <w:r>
        <w:rPr>
          <w:rFonts w:hint="eastAsia" w:ascii="仿宋" w:hAnsi="仿宋" w:eastAsia="仿宋" w:cs="仿宋"/>
          <w:color w:val="000000"/>
          <w:sz w:val="32"/>
          <w:szCs w:val="32"/>
        </w:rPr>
        <w:t>召开局党组会议69次，其中24次研究部署全面从严治党工作。先后召开党史学习教育会议8次，组织党员干部通过“学习强国”、灯塔-党建在线、专题学习班等平台载体，深入学习党的历史和党的十九届六中全会精神，推动党史学习教育走深走实，思想根基进一步夯实。</w:t>
      </w:r>
      <w:r>
        <w:rPr>
          <w:rFonts w:hint="eastAsia" w:ascii="仿宋" w:hAnsi="仿宋" w:eastAsia="仿宋" w:cs="仿宋"/>
          <w:b/>
          <w:bCs/>
          <w:color w:val="000000"/>
          <w:sz w:val="32"/>
          <w:szCs w:val="32"/>
        </w:rPr>
        <w:t>二是队伍建设更加过硬。</w:t>
      </w:r>
      <w:r>
        <w:rPr>
          <w:rFonts w:hint="eastAsia" w:ascii="仿宋" w:hAnsi="仿宋" w:eastAsia="仿宋" w:cs="仿宋"/>
          <w:color w:val="000000"/>
          <w:sz w:val="32"/>
          <w:szCs w:val="32"/>
        </w:rPr>
        <w:t>新成立政务服务专班，窗口服务质量和效能得到显著提升，政务服务窗口被授予全区“优质服务窗口”称号。严格按照程序发展入党积极分子1人，接收预备党员1人，预备党员转正1人。建立健全公章管理、首问负责制等规章制度20余项，经常性开展“干部上讲台”、周一例会提问等活动，人社干部的工作效能和业务水平得到大幅提升。</w:t>
      </w:r>
      <w:r>
        <w:rPr>
          <w:rFonts w:hint="eastAsia" w:ascii="仿宋" w:hAnsi="仿宋" w:eastAsia="仿宋" w:cs="仿宋"/>
          <w:b/>
          <w:bCs/>
          <w:color w:val="000000"/>
          <w:sz w:val="32"/>
          <w:szCs w:val="32"/>
        </w:rPr>
        <w:t>三是工作作风持续转化。</w:t>
      </w:r>
      <w:r>
        <w:rPr>
          <w:rFonts w:hint="eastAsia" w:ascii="仿宋" w:hAnsi="仿宋" w:eastAsia="仿宋" w:cs="仿宋"/>
          <w:kern w:val="32"/>
          <w:sz w:val="32"/>
          <w:szCs w:val="32"/>
        </w:rPr>
        <w:t>深入开展“人社快办行动”“人社干部走流程”“利民惠企服务”等活动，人社政务服务好评率、12345政务服务热线办结率均达100%。</w:t>
      </w:r>
      <w:r>
        <w:rPr>
          <w:rFonts w:hint="eastAsia" w:ascii="仿宋" w:hAnsi="仿宋" w:eastAsia="仿宋" w:cs="仿宋"/>
          <w:color w:val="000000"/>
          <w:sz w:val="32"/>
          <w:szCs w:val="32"/>
        </w:rPr>
        <w:t>创新开展“开门办公”活动，主动转变作风，力促为民办事见实效。在全区人社系统继续开展“人社先锋”评选活动，党风政风行风建设取得显著成效。</w:t>
      </w:r>
      <w:r>
        <w:rPr>
          <w:rFonts w:hint="eastAsia" w:ascii="仿宋" w:hAnsi="仿宋" w:eastAsia="仿宋" w:cs="仿宋"/>
          <w:b/>
          <w:bCs/>
          <w:color w:val="000000"/>
          <w:sz w:val="32"/>
          <w:szCs w:val="32"/>
        </w:rPr>
        <w:t>四是</w:t>
      </w:r>
      <w:r>
        <w:rPr>
          <w:rFonts w:hint="eastAsia" w:ascii="仿宋" w:hAnsi="仿宋" w:eastAsia="仿宋" w:cs="仿宋"/>
          <w:b/>
          <w:bCs/>
          <w:kern w:val="32"/>
          <w:sz w:val="32"/>
          <w:szCs w:val="32"/>
        </w:rPr>
        <w:t>宣传工作成效显著。</w:t>
      </w:r>
      <w:r>
        <w:rPr>
          <w:rFonts w:hint="eastAsia" w:ascii="仿宋" w:hAnsi="仿宋" w:eastAsia="仿宋" w:cs="仿宋"/>
          <w:sz w:val="32"/>
          <w:szCs w:val="32"/>
        </w:rPr>
        <w:t>结合群众关注的就业、社保等民生热点问题，积极向各级媒体报送高质量新闻稿件100余篇，其中市级以上报刊媒体刊发30余篇。“就业进基层暖冬行动”被央视新闻频道报道，“山亭做好四篇文章 助力乡村人才振兴”在《大众日报》刊发 。在区人社局微信公众号发布766篇新闻报道，在线阅读22.6万次，总用户数3775人。</w:t>
      </w:r>
      <w:r>
        <w:rPr>
          <w:rFonts w:hint="eastAsia" w:ascii="仿宋" w:hAnsi="仿宋" w:eastAsia="仿宋" w:cs="仿宋"/>
          <w:b/>
          <w:bCs/>
          <w:kern w:val="32"/>
          <w:sz w:val="32"/>
          <w:szCs w:val="32"/>
        </w:rPr>
        <w:t>五是</w:t>
      </w:r>
      <w:r>
        <w:rPr>
          <w:rFonts w:hint="eastAsia" w:ascii="仿宋" w:hAnsi="仿宋" w:eastAsia="仿宋" w:cs="仿宋"/>
          <w:b/>
          <w:bCs/>
          <w:sz w:val="32"/>
          <w:szCs w:val="32"/>
        </w:rPr>
        <w:t>营商环境不断优化。</w:t>
      </w:r>
      <w:r>
        <w:rPr>
          <w:rFonts w:hint="eastAsia" w:ascii="仿宋" w:hAnsi="仿宋" w:eastAsia="仿宋" w:cs="仿宋"/>
          <w:kern w:val="32"/>
          <w:sz w:val="32"/>
          <w:szCs w:val="32"/>
        </w:rPr>
        <w:t>开发应用溯源管理系统，实现了多岗位信息的互通交流，大大推进了“一网通办”进程，其经验做法被</w:t>
      </w:r>
      <w:r>
        <w:rPr>
          <w:rFonts w:hint="eastAsia" w:ascii="仿宋" w:hAnsi="仿宋" w:eastAsia="仿宋" w:cs="仿宋"/>
          <w:sz w:val="32"/>
          <w:szCs w:val="32"/>
        </w:rPr>
        <w:t>《山东卫视新闻联播》、《</w:t>
      </w:r>
      <w:r>
        <w:rPr>
          <w:rFonts w:hint="eastAsia" w:ascii="仿宋" w:hAnsi="仿宋" w:eastAsia="仿宋" w:cs="仿宋"/>
          <w:kern w:val="32"/>
          <w:sz w:val="32"/>
          <w:szCs w:val="32"/>
        </w:rPr>
        <w:t>山东人社杂志</w:t>
      </w:r>
      <w:r>
        <w:rPr>
          <w:rFonts w:hint="eastAsia" w:ascii="仿宋" w:hAnsi="仿宋" w:eastAsia="仿宋" w:cs="仿宋"/>
          <w:sz w:val="32"/>
          <w:szCs w:val="32"/>
        </w:rPr>
        <w:t>》宣传</w:t>
      </w:r>
      <w:r>
        <w:rPr>
          <w:rFonts w:hint="eastAsia" w:ascii="仿宋" w:hAnsi="仿宋" w:eastAsia="仿宋" w:cs="仿宋"/>
          <w:kern w:val="32"/>
          <w:sz w:val="32"/>
          <w:szCs w:val="32"/>
        </w:rPr>
        <w:t>报道。</w:t>
      </w:r>
      <w:r>
        <w:rPr>
          <w:rFonts w:hint="eastAsia" w:ascii="仿宋" w:hAnsi="仿宋" w:eastAsia="仿宋" w:cs="仿宋"/>
          <w:sz w:val="32"/>
          <w:szCs w:val="32"/>
        </w:rPr>
        <w:t>以电子证照方式上传历史数据50余万条，大大提升了政务服务效率。</w:t>
      </w:r>
      <w:r>
        <w:rPr>
          <w:rFonts w:hint="eastAsia" w:ascii="仿宋" w:hAnsi="仿宋" w:eastAsia="仿宋" w:cs="仿宋"/>
          <w:kern w:val="32"/>
          <w:sz w:val="32"/>
          <w:szCs w:val="32"/>
        </w:rPr>
        <w:t>抽调48名干部组建11个工作组，深入180余家企业开展利民惠企服务活动，妥善解决各类问题33个，其经验做法</w:t>
      </w:r>
      <w:r>
        <w:rPr>
          <w:rFonts w:hint="eastAsia" w:ascii="仿宋" w:hAnsi="仿宋" w:eastAsia="仿宋" w:cs="仿宋"/>
          <w:sz w:val="32"/>
          <w:szCs w:val="32"/>
        </w:rPr>
        <w:t>被《中国产业信息网》宣传报道。</w:t>
      </w:r>
      <w:r>
        <w:rPr>
          <w:rFonts w:hint="eastAsia" w:ascii="仿宋" w:hAnsi="仿宋" w:eastAsia="仿宋" w:cs="仿宋"/>
          <w:b/>
          <w:bCs/>
          <w:kern w:val="32"/>
          <w:sz w:val="32"/>
          <w:szCs w:val="32"/>
        </w:rPr>
        <w:t>六是信访矛盾妥善化解。</w:t>
      </w:r>
      <w:r>
        <w:rPr>
          <w:rFonts w:hint="eastAsia" w:ascii="仿宋" w:hAnsi="仿宋" w:eastAsia="仿宋" w:cs="仿宋"/>
          <w:kern w:val="32"/>
          <w:sz w:val="32"/>
          <w:szCs w:val="32"/>
        </w:rPr>
        <w:t>建立领导干部接访日及包案制度和信访案件登记、实体性受理、延长办理期限、复查复核等制度，积极构建信访、监察、仲裁三位一体大信访格局，受理</w:t>
      </w:r>
      <w:r>
        <w:rPr>
          <w:rFonts w:hint="eastAsia" w:ascii="仿宋" w:hAnsi="仿宋" w:eastAsia="仿宋" w:cs="仿宋"/>
          <w:sz w:val="32"/>
          <w:szCs w:val="32"/>
        </w:rPr>
        <w:t>信访件8起，办结信访件7起，12345热线750余件，接待来人来访460人次，召开信访听证会4次。</w:t>
      </w:r>
      <w:r>
        <w:rPr>
          <w:rFonts w:hint="eastAsia" w:ascii="仿宋" w:hAnsi="仿宋" w:eastAsia="仿宋" w:cs="仿宋"/>
          <w:kern w:val="32"/>
          <w:sz w:val="32"/>
          <w:szCs w:val="32"/>
        </w:rPr>
        <w:t>目前，受理的信访事项</w:t>
      </w:r>
      <w:r>
        <w:rPr>
          <w:rFonts w:hint="eastAsia" w:ascii="仿宋" w:hAnsi="仿宋" w:eastAsia="仿宋" w:cs="仿宋"/>
          <w:sz w:val="32"/>
          <w:szCs w:val="32"/>
        </w:rPr>
        <w:t>均</w:t>
      </w:r>
      <w:r>
        <w:rPr>
          <w:rFonts w:hint="eastAsia" w:ascii="仿宋" w:hAnsi="仿宋" w:eastAsia="仿宋" w:cs="仿宋"/>
          <w:kern w:val="32"/>
          <w:sz w:val="32"/>
          <w:szCs w:val="32"/>
        </w:rPr>
        <w:t>已</w:t>
      </w:r>
      <w:r>
        <w:rPr>
          <w:rFonts w:hint="eastAsia" w:ascii="仿宋" w:hAnsi="仿宋" w:eastAsia="仿宋" w:cs="仿宋"/>
          <w:sz w:val="32"/>
          <w:szCs w:val="32"/>
        </w:rPr>
        <w:t>按政策落实到位</w:t>
      </w:r>
      <w:r>
        <w:rPr>
          <w:rFonts w:hint="eastAsia" w:ascii="仿宋" w:hAnsi="仿宋" w:eastAsia="仿宋" w:cs="仿宋"/>
          <w:kern w:val="32"/>
          <w:sz w:val="32"/>
          <w:szCs w:val="32"/>
        </w:rPr>
        <w:t>，真正做到了事事有回音、件件有着落。</w:t>
      </w:r>
    </w:p>
    <w:p>
      <w:pPr>
        <w:pStyle w:val="2"/>
        <w:spacing w:line="570" w:lineRule="exact"/>
        <w:ind w:firstLine="640"/>
        <w:rPr>
          <w:rFonts w:ascii="黑体" w:hAnsi="黑体" w:eastAsia="黑体" w:cs="黑体"/>
        </w:rPr>
      </w:pPr>
      <w:r>
        <w:rPr>
          <w:rFonts w:hint="eastAsia" w:ascii="黑体" w:hAnsi="黑体" w:eastAsia="黑体" w:cs="黑体"/>
          <w:kern w:val="32"/>
          <w:sz w:val="32"/>
          <w:szCs w:val="32"/>
        </w:rPr>
        <w:t>二、存在问题及2022年工作计划</w:t>
      </w:r>
    </w:p>
    <w:p>
      <w:pPr>
        <w:spacing w:line="570" w:lineRule="exact"/>
        <w:ind w:firstLine="640" w:firstLineChars="200"/>
        <w:rPr>
          <w:rFonts w:ascii="仿宋" w:hAnsi="仿宋" w:eastAsia="仿宋" w:cs="仿宋"/>
          <w:sz w:val="32"/>
          <w:szCs w:val="32"/>
        </w:rPr>
      </w:pPr>
      <w:r>
        <w:rPr>
          <w:rFonts w:hint="eastAsia" w:ascii="仿宋" w:hAnsi="仿宋" w:eastAsia="仿宋" w:cs="仿宋"/>
          <w:sz w:val="32"/>
          <w:szCs w:val="32"/>
        </w:rPr>
        <w:t>尽管取得了一些成绩，但距离上级的要求和群众的期望还有不少差距，主要表现在：全区就业总量压力大，结构性矛盾突出；新就业形态从业人员、灵活就业人员参保覆盖率不广；技能人才总量和素质难以满足产业发展和市场需求；根治农民工欠薪任务依然艰巨，构建和谐劳动关系压力增大；工作亮点不突出，个别干部工作效能有待提高，等等。今后，我们将以更大决心和努力认真加以解决。</w:t>
      </w:r>
    </w:p>
    <w:p>
      <w:pPr>
        <w:spacing w:line="570" w:lineRule="exact"/>
        <w:ind w:firstLine="640" w:firstLineChars="200"/>
        <w:rPr>
          <w:rFonts w:ascii="仿宋" w:hAnsi="仿宋" w:eastAsia="仿宋" w:cs="仿宋"/>
          <w:sz w:val="32"/>
          <w:szCs w:val="32"/>
          <w:lang w:val="zh-CN"/>
        </w:rPr>
      </w:pPr>
      <w:r>
        <w:rPr>
          <w:rFonts w:hint="eastAsia" w:ascii="仿宋" w:hAnsi="仿宋" w:eastAsia="仿宋" w:cs="仿宋"/>
          <w:sz w:val="32"/>
          <w:szCs w:val="32"/>
        </w:rPr>
        <w:t>2022年，将重点做好以下几项工作：</w:t>
      </w:r>
      <w:r>
        <w:rPr>
          <w:rFonts w:hint="eastAsia" w:ascii="楷体" w:hAnsi="楷体" w:eastAsia="楷体" w:cs="楷体"/>
          <w:sz w:val="32"/>
          <w:szCs w:val="32"/>
        </w:rPr>
        <w:t>一是千方百计稳定和扩大就业。</w:t>
      </w:r>
      <w:r>
        <w:rPr>
          <w:rFonts w:hint="eastAsia" w:ascii="仿宋" w:hAnsi="仿宋" w:eastAsia="仿宋" w:cs="仿宋"/>
          <w:sz w:val="32"/>
          <w:szCs w:val="32"/>
        </w:rPr>
        <w:t>广泛开展“送政策、送岗位、送服务”活动，深入实施城乡公益性岗位扩容提质行动、“利民惠企”活动，扎实做好稳岗留工工作。积极推进与北京华普亿方集团的战略性合作，全力打造综合性、链条式、专业化的新型“双创”载体和平台。强化职业技能培训，新增5家自主评价企业、2家新型学徒制培训企业，培训各类人员3872人。力争实现城镇新增就业4000人，单位就业中初次就业人员参加社会保险比例维持在90%以上，城镇失业率控制在2.0%左右。</w:t>
      </w:r>
      <w:r>
        <w:rPr>
          <w:rFonts w:hint="eastAsia" w:ascii="楷体" w:hAnsi="楷体" w:eastAsia="楷体" w:cs="楷体"/>
          <w:sz w:val="32"/>
          <w:szCs w:val="32"/>
        </w:rPr>
        <w:t>二是深入推进社会保障体系建设。</w:t>
      </w:r>
      <w:r>
        <w:rPr>
          <w:rFonts w:hint="eastAsia" w:ascii="仿宋" w:hAnsi="仿宋" w:eastAsia="仿宋" w:cs="仿宋"/>
          <w:sz w:val="32"/>
          <w:szCs w:val="32"/>
        </w:rPr>
        <w:t>以农民工、个体从业者、灵活就业和新业态从业人员等群体为重点，深入实施全民参保计划，推动参保人数稳步增长、覆盖面持续扩大。严格落实省、市要求，适时提高离退休人员基本养老金待遇，继续提高居民基础养老金最低标准，确保养老金及时足额发放到位。扎实推进社会保险规范化管理，建立健全各项规章制度，有效规范职工、居民参保工作。积极完善政策、经办、信息、监督四位一体的基金风险防控体系，大力提升社保基金监管信息化水平。</w:t>
      </w:r>
      <w:r>
        <w:rPr>
          <w:rFonts w:hint="eastAsia" w:ascii="楷体" w:hAnsi="楷体" w:eastAsia="楷体" w:cs="楷体"/>
          <w:sz w:val="32"/>
          <w:szCs w:val="32"/>
        </w:rPr>
        <w:t>三是加快人才工作体制机制创新。</w:t>
      </w:r>
      <w:r>
        <w:rPr>
          <w:rFonts w:hint="eastAsia" w:ascii="仿宋" w:hAnsi="仿宋" w:eastAsia="仿宋" w:cs="仿宋"/>
          <w:sz w:val="32"/>
          <w:szCs w:val="32"/>
        </w:rPr>
        <w:t>加大招才引智政策宣传和招引力度，积极组织企业参加“高校行”等活动，吸引更多博士、硕士和“双一流”高校本科毕业生等人才来山亭区就业创业。持续做好人才与企业的跟踪服务工作，确保人才引得进、留得住、用的好。强化人才培养，积极搭建高技能人才培养载体，持续开展企业新型学徒制培训，大力推动乡村振兴人才振兴。进一步提升人事管理规范化水平，继续深化职称制度改革，扎实做好事业单位管理岗位职员等级晋升工作。</w:t>
      </w:r>
      <w:r>
        <w:rPr>
          <w:rFonts w:hint="eastAsia" w:ascii="楷体" w:hAnsi="楷体" w:eastAsia="楷体" w:cs="楷体"/>
          <w:sz w:val="32"/>
          <w:szCs w:val="32"/>
        </w:rPr>
        <w:t>四是积极构建和谐稳定劳动关系。</w:t>
      </w:r>
      <w:r>
        <w:rPr>
          <w:rFonts w:hint="eastAsia" w:ascii="仿宋" w:hAnsi="仿宋" w:eastAsia="仿宋" w:cs="仿宋"/>
          <w:sz w:val="32"/>
          <w:szCs w:val="32"/>
        </w:rPr>
        <w:t>深入贯彻全国根治拖欠农民工工资暨农民工工作电视电话会议精神，进一步强化部门联动机制，完善应急工作预案，狠抓建筑业等重点领域，努力形成优势互补、资源共享、齐抓共管的工作态势，切实让农民工劳有所得。</w:t>
      </w:r>
      <w:r>
        <w:rPr>
          <w:rFonts w:hint="eastAsia" w:ascii="仿宋" w:hAnsi="仿宋" w:eastAsia="仿宋" w:cs="仿宋"/>
          <w:sz w:val="32"/>
          <w:szCs w:val="32"/>
          <w:lang w:val="zh-CN"/>
        </w:rPr>
        <w:t>进一步加强仲裁机构、“听竹工程”调解组织和企业仲裁调解委员会建设，</w:t>
      </w:r>
      <w:r>
        <w:rPr>
          <w:rFonts w:hint="eastAsia" w:ascii="仿宋" w:hAnsi="仿宋" w:eastAsia="仿宋" w:cs="仿宋"/>
          <w:sz w:val="32"/>
          <w:szCs w:val="32"/>
        </w:rPr>
        <w:t>持续</w:t>
      </w:r>
      <w:r>
        <w:rPr>
          <w:rFonts w:hint="eastAsia" w:ascii="仿宋" w:hAnsi="仿宋" w:eastAsia="仿宋" w:cs="仿宋"/>
          <w:sz w:val="32"/>
          <w:szCs w:val="32"/>
          <w:lang w:val="zh-CN"/>
        </w:rPr>
        <w:t>强化仲裁人员业务培训，逐步在镇街建立劳动争议仲裁庭，</w:t>
      </w:r>
      <w:r>
        <w:rPr>
          <w:rFonts w:hint="eastAsia" w:ascii="仿宋" w:hAnsi="仿宋" w:eastAsia="仿宋" w:cs="仿宋"/>
          <w:sz w:val="32"/>
          <w:szCs w:val="32"/>
        </w:rPr>
        <w:t>努力</w:t>
      </w:r>
      <w:r>
        <w:rPr>
          <w:rFonts w:hint="eastAsia" w:ascii="仿宋" w:hAnsi="仿宋" w:eastAsia="仿宋" w:cs="仿宋"/>
          <w:sz w:val="32"/>
          <w:szCs w:val="32"/>
          <w:lang w:val="zh-CN"/>
        </w:rPr>
        <w:t>形成完整的劳动争议仲裁网络，</w:t>
      </w:r>
      <w:r>
        <w:rPr>
          <w:rFonts w:hint="eastAsia" w:ascii="仿宋" w:hAnsi="仿宋" w:eastAsia="仿宋" w:cs="仿宋"/>
          <w:sz w:val="32"/>
          <w:szCs w:val="32"/>
        </w:rPr>
        <w:t>有效保障劳动者的合法权益</w:t>
      </w:r>
      <w:r>
        <w:rPr>
          <w:rFonts w:hint="eastAsia" w:ascii="仿宋" w:hAnsi="仿宋" w:eastAsia="仿宋" w:cs="仿宋"/>
          <w:sz w:val="32"/>
          <w:szCs w:val="32"/>
          <w:lang w:val="zh-CN"/>
        </w:rPr>
        <w:t>。</w:t>
      </w:r>
    </w:p>
    <w:p>
      <w:pPr>
        <w:pStyle w:val="2"/>
        <w:ind w:firstLine="640"/>
        <w:rPr>
          <w:rFonts w:ascii="仿宋" w:hAnsi="仿宋" w:eastAsia="仿宋" w:cs="仿宋"/>
          <w:sz w:val="32"/>
          <w:szCs w:val="32"/>
          <w:lang w:val="zh-CN"/>
        </w:rPr>
      </w:pPr>
    </w:p>
    <w:p>
      <w:pPr>
        <w:spacing w:line="570" w:lineRule="exact"/>
        <w:ind w:firstLine="640" w:firstLineChars="200"/>
        <w:jc w:val="right"/>
        <w:rPr>
          <w:rFonts w:ascii="仿宋" w:hAnsi="仿宋" w:eastAsia="仿宋" w:cs="仿宋"/>
        </w:rPr>
      </w:pPr>
      <w:r>
        <w:rPr>
          <w:rFonts w:hint="eastAsia" w:ascii="仿宋" w:hAnsi="仿宋" w:eastAsia="仿宋" w:cs="仿宋"/>
          <w:sz w:val="32"/>
          <w:szCs w:val="32"/>
          <w:lang w:val="zh-CN"/>
        </w:rPr>
        <w:t>2022年2月</w:t>
      </w:r>
    </w:p>
    <w:sectPr>
      <w:footerReference r:id="rId3" w:type="default"/>
      <w:pgSz w:w="11906" w:h="16838"/>
      <w:pgMar w:top="1757" w:right="1417" w:bottom="1757" w:left="141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8FF8B7C-08E9-4E6C-9D49-FC46F4378596}"/>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122BBA58-B4CA-4D98-83AE-B29ACE86A461}"/>
  </w:font>
  <w:font w:name="方正小标宋简体">
    <w:panose1 w:val="03000509000000000000"/>
    <w:charset w:val="86"/>
    <w:family w:val="auto"/>
    <w:pitch w:val="default"/>
    <w:sig w:usb0="00000001" w:usb1="080E0000" w:usb2="00000000" w:usb3="00000000" w:csb0="00040000" w:csb1="00000000"/>
    <w:embedRegular r:id="rId3" w:fontKey="{942F5D85-145E-4558-BDEE-AAC3F6E42A08}"/>
  </w:font>
  <w:font w:name="仿宋">
    <w:panose1 w:val="02010609060101010101"/>
    <w:charset w:val="86"/>
    <w:family w:val="modern"/>
    <w:pitch w:val="default"/>
    <w:sig w:usb0="800002BF" w:usb1="38CF7CFA" w:usb2="00000016" w:usb3="00000000" w:csb0="00040001" w:csb1="00000000"/>
    <w:embedRegular r:id="rId4" w:fontKey="{9428116F-3947-4B24-8BC0-AC8A731E6342}"/>
  </w:font>
  <w:font w:name="楷体">
    <w:panose1 w:val="02010609060101010101"/>
    <w:charset w:val="86"/>
    <w:family w:val="modern"/>
    <w:pitch w:val="default"/>
    <w:sig w:usb0="800002BF" w:usb1="38CF7CFA" w:usb2="00000016" w:usb3="00000000" w:csb0="00040001" w:csb1="00000000"/>
    <w:embedRegular r:id="rId5" w:fontKey="{41B3ABDC-4A6A-4755-A21D-9FCDA20DBBD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897793"/>
    <w:rsid w:val="00080344"/>
    <w:rsid w:val="00344638"/>
    <w:rsid w:val="005F1556"/>
    <w:rsid w:val="009D766B"/>
    <w:rsid w:val="00C44F57"/>
    <w:rsid w:val="00DE710C"/>
    <w:rsid w:val="02A26EA3"/>
    <w:rsid w:val="0393706C"/>
    <w:rsid w:val="09E400D8"/>
    <w:rsid w:val="0AAF6679"/>
    <w:rsid w:val="0E2427C4"/>
    <w:rsid w:val="12752B7C"/>
    <w:rsid w:val="12852F58"/>
    <w:rsid w:val="18234E2D"/>
    <w:rsid w:val="1A6920CA"/>
    <w:rsid w:val="1C27321F"/>
    <w:rsid w:val="223770AB"/>
    <w:rsid w:val="2CED01BD"/>
    <w:rsid w:val="2EDA6EFF"/>
    <w:rsid w:val="30A37639"/>
    <w:rsid w:val="32036B99"/>
    <w:rsid w:val="3D851E30"/>
    <w:rsid w:val="3E872897"/>
    <w:rsid w:val="46C87CFE"/>
    <w:rsid w:val="473B0282"/>
    <w:rsid w:val="47D02A2D"/>
    <w:rsid w:val="497355D5"/>
    <w:rsid w:val="49D966B1"/>
    <w:rsid w:val="4B8F554C"/>
    <w:rsid w:val="50D71629"/>
    <w:rsid w:val="50F93FB0"/>
    <w:rsid w:val="51897793"/>
    <w:rsid w:val="59677F97"/>
    <w:rsid w:val="5C3C5740"/>
    <w:rsid w:val="5D7C26DA"/>
    <w:rsid w:val="625406D4"/>
    <w:rsid w:val="631E46AA"/>
    <w:rsid w:val="693F3620"/>
    <w:rsid w:val="75E4658A"/>
    <w:rsid w:val="7EA73579"/>
    <w:rsid w:val="7EE00946"/>
    <w:rsid w:val="7F780F90"/>
    <w:rsid w:val="7FE82E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99"/>
    <w:pPr>
      <w:ind w:firstLine="420" w:firstLineChars="200"/>
    </w:pPr>
  </w:style>
  <w:style w:type="paragraph" w:styleId="3">
    <w:name w:val="Body Text Indent"/>
    <w:basedOn w:val="1"/>
    <w:qFormat/>
    <w:uiPriority w:val="99"/>
    <w:pPr>
      <w:ind w:firstLine="200" w:firstLineChars="200"/>
    </w:pPr>
    <w:rPr>
      <w:rFonts w:eastAsia="仿宋_GB2312"/>
      <w:sz w:val="32"/>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100" w:beforeAutospacing="1" w:after="100" w:afterAutospacing="1"/>
      <w:jc w:val="left"/>
    </w:pPr>
    <w:rPr>
      <w:kern w:val="0"/>
      <w:sz w:val="24"/>
    </w:rPr>
  </w:style>
  <w:style w:type="paragraph" w:styleId="7">
    <w:name w:val="Body Text First Indent 2"/>
    <w:basedOn w:val="3"/>
    <w:qFormat/>
    <w:uiPriority w:val="99"/>
    <w:pPr>
      <w:ind w:firstLine="420"/>
    </w:pPr>
  </w:style>
  <w:style w:type="character" w:customStyle="1" w:styleId="10">
    <w:name w:val="NormalCharacter"/>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4765</Words>
  <Characters>4998</Characters>
  <Lines>2</Lines>
  <Paragraphs>10</Paragraphs>
  <TotalTime>11</TotalTime>
  <ScaleCrop>false</ScaleCrop>
  <LinksUpToDate>false</LinksUpToDate>
  <CharactersWithSpaces>5003</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2022-02-13T12:37:00Z</dcterms:created>
  <dc:creator>腾腾</dc:creator>
  <cp:lastModifiedBy>文秀</cp:lastModifiedBy>
  <cp:lastPrinted>2022-03-30T06:21:46Z</cp:lastPrinted>
  <dcterms:modified xsi:type="dcterms:W3CDTF">2022-03-30T06:32:32Z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019E92D4A92049C2ABA51B2A744E45F9</vt:lpwstr>
  </property>
</Properties>
</file>