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before="312" w:beforeLines="100" w:line="1000" w:lineRule="exact"/>
        <w:jc w:val="distribute"/>
        <w:rPr>
          <w:rFonts w:ascii="方正小标宋简体" w:eastAsia="方正小标宋简体"/>
          <w:color w:val="FF0000"/>
          <w:sz w:val="72"/>
          <w:szCs w:val="7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sz w:val="72"/>
          <w:szCs w:val="72"/>
        </w:rPr>
        <w:t>枣庄市山亭区应急管理局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2102485</wp:posOffset>
                </wp:positionV>
                <wp:extent cx="5922645" cy="3175"/>
                <wp:effectExtent l="0" t="8255" r="8255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5" cy="3175"/>
                        </a:xfrm>
                        <a:prstGeom prst="line">
                          <a:avLst/>
                        </a:prstGeom>
                        <a:ln w="1701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65.55pt;height:0.25pt;width:466.35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PMdY1wAAAAgB&#10;AAAPAAAAAAAAAAEAIAAAACIAAABkcnMvZG93bnJldi54bWxQSwECFAAUAAAACACHTuJA6fp41xwC&#10;AABHBAAADgAAAAAAAAABACAAAAAmAQAAZHJzL2Uyb0RvYy54bWxQSwUGAAAAAAYABgBZAQAAtAUA&#10;AAAA&#10;">
                <v:fill on="f" focussize="0,0"/>
                <v:stroke weight="1.34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山亭区应急局202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“双随机、一公开”监管工作计划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镇（街）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办，开发区应急分局，</w:t>
      </w:r>
      <w:r>
        <w:rPr>
          <w:rFonts w:hint="eastAsia" w:ascii="仿宋_GB2312" w:eastAsia="仿宋_GB2312"/>
          <w:sz w:val="32"/>
          <w:szCs w:val="32"/>
        </w:rPr>
        <w:t>局属各股室、各单位：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根据《枣庄市人民政府关于在市场监管领域全面推行部门联合“双随机、一公开”监管的实施意见》</w:t>
      </w:r>
      <w:r>
        <w:rPr>
          <w:rFonts w:hint="eastAsia" w:ascii="仿宋_GB2312" w:eastAsia="仿宋_GB2312"/>
          <w:sz w:val="32"/>
          <w:szCs w:val="32"/>
        </w:rPr>
        <w:t>《全市应急管理系统全面推行部门联合“双随机、一公开”监管工作方案》《枣庄市山亭区应急管理局2022年度安全生产监督检查计划》</w:t>
      </w:r>
      <w:r>
        <w:rPr>
          <w:rFonts w:hint="eastAsia" w:ascii="仿宋_GB2312" w:eastAsia="仿宋_GB2312"/>
          <w:sz w:val="32"/>
          <w:szCs w:val="32"/>
          <w:lang w:eastAsia="zh-CN"/>
        </w:rPr>
        <w:t>《枣庄市山亭区部门联合“双随机、一公开”监管抽查事项清单（第二版）》</w:t>
      </w:r>
      <w:r>
        <w:rPr>
          <w:rFonts w:hint="eastAsia" w:ascii="仿宋_GB2312" w:eastAsia="仿宋_GB2312"/>
          <w:sz w:val="32"/>
          <w:szCs w:val="32"/>
        </w:rPr>
        <w:t>要求，结合工作实际，区应急局制定了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山亭区应急局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年度“双随机、一公开”监管工作计划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，现印发给你们，请认真抓好落实。</w:t>
      </w:r>
    </w:p>
    <w:p>
      <w:pPr>
        <w:spacing w:line="600" w:lineRule="exact"/>
        <w:ind w:firstLine="62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镇（街）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办、开发区应急分局、</w:t>
      </w:r>
      <w:r>
        <w:rPr>
          <w:rFonts w:hint="eastAsia" w:ascii="仿宋_GB2312" w:eastAsia="仿宋_GB2312"/>
          <w:sz w:val="32"/>
          <w:szCs w:val="32"/>
        </w:rPr>
        <w:t>局属各股室、各单位要认真学习“山东省政府部门联合双随机、一公开监管平台”操作手册等内容，尽快熟悉运用“山东省政府部门联合“双随机、一公开” 监管平台”，进一步健全完善检查对象名录库和执法检查人员名录库，为开展“双随机、一公开”工作奠定良好基础。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在具体工作中遇到的技术问题，请及时与区市场监管局、区应急局联系。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联系人及联系电话：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区市场监管局  赵秋菊 </w:t>
      </w:r>
      <w:r>
        <w:rPr>
          <w:rFonts w:ascii="仿宋_GB2312" w:eastAsia="仿宋_GB2312"/>
          <w:sz w:val="32"/>
          <w:szCs w:val="32"/>
        </w:rPr>
        <w:t xml:space="preserve">18506372056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区应急管理局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刘福萍1</w:t>
      </w:r>
      <w:r>
        <w:rPr>
          <w:rFonts w:ascii="仿宋_GB2312" w:eastAsia="仿宋_GB2312"/>
          <w:sz w:val="32"/>
          <w:szCs w:val="32"/>
        </w:rPr>
        <w:t>5906372830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双随机平台应用 QQ 群：561248335、797224794。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山亭</w:t>
      </w:r>
      <w:r>
        <w:rPr>
          <w:rFonts w:hint="eastAsia" w:ascii="仿宋_GB2312" w:eastAsia="仿宋_GB2312"/>
          <w:spacing w:val="-20"/>
          <w:sz w:val="32"/>
          <w:szCs w:val="32"/>
        </w:rPr>
        <w:t>区应急局202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20"/>
          <w:sz w:val="32"/>
          <w:szCs w:val="32"/>
        </w:rPr>
        <w:t>年度“双随机、一公开”监管工作计划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枣庄市山亭区应急管理局</w:t>
      </w:r>
    </w:p>
    <w:p>
      <w:pPr>
        <w:spacing w:line="600" w:lineRule="exact"/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抄送：区市场监管局。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701" w:right="1474" w:bottom="1701" w:left="1588" w:header="851" w:footer="992" w:gutter="0"/>
          <w:cols w:space="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区应急局202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年度“双随机、一公开”监管工作计划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14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03"/>
        <w:gridCol w:w="982"/>
        <w:gridCol w:w="941"/>
        <w:gridCol w:w="1500"/>
        <w:gridCol w:w="804"/>
        <w:gridCol w:w="1132"/>
        <w:gridCol w:w="3287"/>
        <w:gridCol w:w="1104"/>
        <w:gridCol w:w="1309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抽查名称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发起部门</w:t>
            </w:r>
          </w:p>
        </w:tc>
        <w:tc>
          <w:tcPr>
            <w:tcW w:w="94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参与部门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检查实施部门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涉及区市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抽查数量及比例</w:t>
            </w:r>
          </w:p>
        </w:tc>
        <w:tc>
          <w:tcPr>
            <w:tcW w:w="32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检查内容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检查人员</w:t>
            </w:r>
          </w:p>
        </w:tc>
        <w:tc>
          <w:tcPr>
            <w:tcW w:w="10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数据库情况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取得安全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生产、经营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许可证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危险化学品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和烟花爆竹生产经营单位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的检查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区应急管理局</w:t>
            </w:r>
          </w:p>
        </w:tc>
        <w:tc>
          <w:tcPr>
            <w:tcW w:w="9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镇街应急办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区应急管理局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区消防救援大队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全区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家；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16.67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32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</w:rPr>
              <w:t>枣庄市山亭区部门联合“双随机、一公开”监管抽查事项清单（第二版）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，重点检查危险化学品生产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使用企业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烟花爆竹经营企业取得安全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生产、经营</w:t>
            </w:r>
            <w:r>
              <w:rPr>
                <w:rFonts w:hint="eastAsia" w:ascii="仿宋_GB2312" w:eastAsia="仿宋_GB2312"/>
                <w:sz w:val="28"/>
                <w:szCs w:val="28"/>
              </w:rPr>
              <w:t>许可证情况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和相关企业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安全生产有关制度设置、落实等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每组执法人员2名，根据实际情况确定。</w:t>
            </w:r>
          </w:p>
        </w:tc>
        <w:tc>
          <w:tcPr>
            <w:tcW w:w="10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取得安全生产许可证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非煤矿山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的检查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区应急管理局</w:t>
            </w:r>
          </w:p>
        </w:tc>
        <w:tc>
          <w:tcPr>
            <w:tcW w:w="9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镇街应急办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区应急管理局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区消防救援大队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全区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 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家；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100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%</w:t>
            </w:r>
          </w:p>
        </w:tc>
        <w:tc>
          <w:tcPr>
            <w:tcW w:w="3287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依据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枣庄市山亭区部门联合“双随机、一公开”监管抽查事项清单（第二版）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，重点检查非煤矿山企业取得安全生产许可证情况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安全生产有关制度设置、落实等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 2-12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每组执法人员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不少于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2名，根据实际情况确定。</w:t>
            </w:r>
          </w:p>
        </w:tc>
        <w:tc>
          <w:tcPr>
            <w:tcW w:w="109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对工商贸企业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安全生产有关制度设置、落实等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的检查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区应急管理局</w:t>
            </w:r>
          </w:p>
        </w:tc>
        <w:tc>
          <w:tcPr>
            <w:tcW w:w="9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镇街应急办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区应急局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区消防救援大队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全区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 7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家；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100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%</w:t>
            </w:r>
          </w:p>
        </w:tc>
        <w:tc>
          <w:tcPr>
            <w:tcW w:w="328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依据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枣庄市山亭区部门联合“双随机、一公开”监管抽查事项清单（第二版）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，重点检查建材、机械、轻工、纺织、商贸等工商贸行业企业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安全生产有关制度设置、落实等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情况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2-12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每组执法人员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_GB2312" w:eastAsia="仿宋_GB2312"/>
                <w:sz w:val="28"/>
                <w:szCs w:val="28"/>
              </w:rPr>
              <w:t>2名，根据实际情况确定。</w:t>
            </w:r>
          </w:p>
        </w:tc>
        <w:tc>
          <w:tcPr>
            <w:tcW w:w="10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烟花爆竹经营单位取证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和经营安全情况检查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区应急管理局</w:t>
            </w:r>
          </w:p>
        </w:tc>
        <w:tc>
          <w:tcPr>
            <w:tcW w:w="9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镇街应急办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区应急局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区公安分局、区市场监管局、区交通运输局、区行政执法局、区消防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救援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大队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全区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家；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17.24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32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</w:rPr>
              <w:t>枣庄市山亭区部门联合“双随机、一公开”监管抽查事项清单（第二版）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》，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重点检查烟花爆竹经营单位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取得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经营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许可证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和安全生产有关制度设置、落实等情况。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每组执法人员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_GB2312" w:eastAsia="仿宋_GB2312"/>
                <w:sz w:val="28"/>
                <w:szCs w:val="28"/>
              </w:rPr>
              <w:t>2名，根据实际情况确定。</w:t>
            </w:r>
          </w:p>
        </w:tc>
        <w:tc>
          <w:tcPr>
            <w:tcW w:w="10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按照上级相关部门的部署要求，配合做好省、市、区部门联合“双随机、一公开”监管抽查工作。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8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9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87" w:right="1701" w:bottom="1474" w:left="170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273848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6E"/>
    <w:rsid w:val="00047B9F"/>
    <w:rsid w:val="00080A6E"/>
    <w:rsid w:val="00123802"/>
    <w:rsid w:val="00132EF3"/>
    <w:rsid w:val="001B136C"/>
    <w:rsid w:val="002C7CB6"/>
    <w:rsid w:val="003A3C29"/>
    <w:rsid w:val="003C0CD7"/>
    <w:rsid w:val="00441445"/>
    <w:rsid w:val="00477A7F"/>
    <w:rsid w:val="004D0084"/>
    <w:rsid w:val="00527039"/>
    <w:rsid w:val="005661BE"/>
    <w:rsid w:val="005839A6"/>
    <w:rsid w:val="005B29B7"/>
    <w:rsid w:val="00656C3C"/>
    <w:rsid w:val="006A01EA"/>
    <w:rsid w:val="006D0F34"/>
    <w:rsid w:val="006F7395"/>
    <w:rsid w:val="00737FA4"/>
    <w:rsid w:val="00742C3A"/>
    <w:rsid w:val="00752247"/>
    <w:rsid w:val="0076429E"/>
    <w:rsid w:val="007A568A"/>
    <w:rsid w:val="007B0D44"/>
    <w:rsid w:val="007B5DF3"/>
    <w:rsid w:val="007D0710"/>
    <w:rsid w:val="007F5326"/>
    <w:rsid w:val="008B1B54"/>
    <w:rsid w:val="008B57A5"/>
    <w:rsid w:val="008E15A6"/>
    <w:rsid w:val="00910FAA"/>
    <w:rsid w:val="00911812"/>
    <w:rsid w:val="00917F65"/>
    <w:rsid w:val="009A512A"/>
    <w:rsid w:val="009A5B2D"/>
    <w:rsid w:val="009D6970"/>
    <w:rsid w:val="009F4D3F"/>
    <w:rsid w:val="00A13404"/>
    <w:rsid w:val="00A34168"/>
    <w:rsid w:val="00A422EE"/>
    <w:rsid w:val="00A45EDB"/>
    <w:rsid w:val="00A4757E"/>
    <w:rsid w:val="00A6703C"/>
    <w:rsid w:val="00AB0AC9"/>
    <w:rsid w:val="00AB4A63"/>
    <w:rsid w:val="00AC7650"/>
    <w:rsid w:val="00AD5185"/>
    <w:rsid w:val="00B55D4B"/>
    <w:rsid w:val="00BB53F6"/>
    <w:rsid w:val="00BD65BA"/>
    <w:rsid w:val="00C035DF"/>
    <w:rsid w:val="00C12853"/>
    <w:rsid w:val="00C45422"/>
    <w:rsid w:val="00C7395B"/>
    <w:rsid w:val="00CE6688"/>
    <w:rsid w:val="00CF65A5"/>
    <w:rsid w:val="00D05FD0"/>
    <w:rsid w:val="00D126E3"/>
    <w:rsid w:val="00D26D88"/>
    <w:rsid w:val="00D27EB6"/>
    <w:rsid w:val="00D32FCE"/>
    <w:rsid w:val="00D60BA4"/>
    <w:rsid w:val="00D96955"/>
    <w:rsid w:val="00E3009E"/>
    <w:rsid w:val="00E330AC"/>
    <w:rsid w:val="00E92142"/>
    <w:rsid w:val="00ED6946"/>
    <w:rsid w:val="00F0351F"/>
    <w:rsid w:val="00F22F8D"/>
    <w:rsid w:val="00F2614E"/>
    <w:rsid w:val="00F56F11"/>
    <w:rsid w:val="00F9577E"/>
    <w:rsid w:val="00FB03E4"/>
    <w:rsid w:val="00FE2475"/>
    <w:rsid w:val="00FE4BE1"/>
    <w:rsid w:val="04B67FE9"/>
    <w:rsid w:val="0BE032FF"/>
    <w:rsid w:val="0C040028"/>
    <w:rsid w:val="0D4759C2"/>
    <w:rsid w:val="0EBF2FAE"/>
    <w:rsid w:val="0F144FD8"/>
    <w:rsid w:val="13A361C2"/>
    <w:rsid w:val="146264DF"/>
    <w:rsid w:val="179B7A92"/>
    <w:rsid w:val="1D015C5F"/>
    <w:rsid w:val="299F00DF"/>
    <w:rsid w:val="2EB679BD"/>
    <w:rsid w:val="30A17956"/>
    <w:rsid w:val="30CF2E51"/>
    <w:rsid w:val="376C30CC"/>
    <w:rsid w:val="38216DD9"/>
    <w:rsid w:val="3B9C1173"/>
    <w:rsid w:val="3EDE5449"/>
    <w:rsid w:val="443525D3"/>
    <w:rsid w:val="4CAE21ED"/>
    <w:rsid w:val="4DB63899"/>
    <w:rsid w:val="4E556777"/>
    <w:rsid w:val="51467A6B"/>
    <w:rsid w:val="52317BBF"/>
    <w:rsid w:val="53637342"/>
    <w:rsid w:val="550A16EF"/>
    <w:rsid w:val="59747B68"/>
    <w:rsid w:val="59A36F1D"/>
    <w:rsid w:val="59FD1B25"/>
    <w:rsid w:val="5B324A87"/>
    <w:rsid w:val="5F7F7A7F"/>
    <w:rsid w:val="65C15EF3"/>
    <w:rsid w:val="65C979D4"/>
    <w:rsid w:val="6B0E7467"/>
    <w:rsid w:val="6C77512F"/>
    <w:rsid w:val="6D8763F9"/>
    <w:rsid w:val="6E714065"/>
    <w:rsid w:val="70566431"/>
    <w:rsid w:val="70C53F59"/>
    <w:rsid w:val="731A1058"/>
    <w:rsid w:val="73483FE4"/>
    <w:rsid w:val="7FD3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styleId="11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1321</Words>
  <Characters>1403</Characters>
  <Lines>7</Lines>
  <Paragraphs>2</Paragraphs>
  <TotalTime>1</TotalTime>
  <ScaleCrop>false</ScaleCrop>
  <LinksUpToDate>false</LinksUpToDate>
  <CharactersWithSpaces>1449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2020-05-29T08:10:00Z</dcterms:created>
  <dc:creator>lv</dc:creator>
  <cp:lastModifiedBy>意浓</cp:lastModifiedBy>
  <cp:lastPrinted>2022-03-04T03:51:00Z</cp:lastPrinted>
  <dcterms:modified xsi:type="dcterms:W3CDTF">2022-04-29T01:36:33Z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0B24F927D0034F69BCC9A6370B18B371</vt:lpwstr>
  </property>
</Properties>
</file>