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FE971">
      <w:pPr>
        <w:pStyle w:val="18"/>
        <w:keepNext w:val="0"/>
        <w:keepLines w:val="0"/>
        <w:pageBreakBefore w:val="0"/>
        <w:kinsoku/>
        <w:wordWrap/>
        <w:overflowPunct/>
        <w:topLinePunct w:val="0"/>
        <w:autoSpaceDE/>
        <w:autoSpaceDN/>
        <w:bidi w:val="0"/>
        <w:adjustRightInd/>
        <w:spacing w:after="0"/>
        <w:ind w:left="0" w:leftChars="0" w:firstLine="0" w:firstLineChars="0"/>
        <w:jc w:val="center"/>
        <w:rPr>
          <w:rFonts w:hint="eastAsia" w:ascii="方正小标宋简体" w:hAnsi="方正小标宋简体" w:eastAsia="方正小标宋简体" w:cs="方正小标宋简体"/>
          <w:color w:val="auto"/>
          <w:spacing w:val="0"/>
          <w:kern w:val="2"/>
          <w:sz w:val="44"/>
          <w:szCs w:val="44"/>
          <w:u w:val="none"/>
          <w:lang w:val="en-US" w:eastAsia="zh-CN" w:bidi="ar-SA"/>
        </w:rPr>
      </w:pPr>
      <w:r>
        <w:rPr>
          <w:rFonts w:hint="eastAsia" w:ascii="方正小标宋简体" w:hAnsi="方正小标宋简体" w:eastAsia="方正小标宋简体" w:cs="方正小标宋简体"/>
          <w:color w:val="auto"/>
          <w:spacing w:val="0"/>
          <w:kern w:val="2"/>
          <w:sz w:val="44"/>
          <w:szCs w:val="44"/>
          <w:u w:val="none"/>
          <w:lang w:val="en-US" w:eastAsia="zh-CN" w:bidi="ar-SA"/>
        </w:rPr>
        <w:t>2023年度民生实事工作进展情况台账</w:t>
      </w:r>
    </w:p>
    <w:p w14:paraId="7690439D">
      <w:pPr>
        <w:pStyle w:val="15"/>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_GB2312" w:hAnsi="楷体_GB2312" w:eastAsia="楷体_GB2312" w:cs="楷体_GB2312"/>
          <w:color w:val="auto"/>
          <w:sz w:val="24"/>
          <w:szCs w:val="24"/>
          <w:lang w:val="en-US" w:eastAsia="zh-CN"/>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013"/>
        <w:gridCol w:w="1502"/>
        <w:gridCol w:w="1550"/>
        <w:gridCol w:w="6733"/>
        <w:gridCol w:w="4331"/>
        <w:gridCol w:w="4821"/>
      </w:tblGrid>
      <w:tr w14:paraId="5E8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00" w:type="pct"/>
            <w:vAlign w:val="center"/>
          </w:tcPr>
          <w:p w14:paraId="5E0F2E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val="en-US" w:eastAsia="zh-CN"/>
              </w:rPr>
              <w:t>序号</w:t>
            </w:r>
          </w:p>
        </w:tc>
        <w:tc>
          <w:tcPr>
            <w:tcW w:w="461" w:type="pct"/>
            <w:vAlign w:val="center"/>
          </w:tcPr>
          <w:p w14:paraId="33FAC5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val="en-US" w:eastAsia="zh-CN"/>
              </w:rPr>
              <w:t>项目内容</w:t>
            </w:r>
          </w:p>
        </w:tc>
        <w:tc>
          <w:tcPr>
            <w:tcW w:w="344" w:type="pct"/>
            <w:vAlign w:val="center"/>
          </w:tcPr>
          <w:p w14:paraId="4357EF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bidi="ar-SA"/>
              </w:rPr>
            </w:pPr>
            <w:r>
              <w:rPr>
                <w:rFonts w:hint="eastAsia" w:ascii="黑体" w:hAnsi="黑体" w:eastAsia="黑体" w:cs="Times New Roman"/>
                <w:b w:val="0"/>
                <w:bCs w:val="0"/>
                <w:color w:val="auto"/>
                <w:spacing w:val="0"/>
                <w:kern w:val="21"/>
                <w:sz w:val="28"/>
                <w:szCs w:val="28"/>
                <w:highlight w:val="none"/>
                <w:lang w:val="en-US" w:eastAsia="zh-CN"/>
              </w:rPr>
              <w:t>牵头单位</w:t>
            </w:r>
          </w:p>
        </w:tc>
        <w:tc>
          <w:tcPr>
            <w:tcW w:w="355" w:type="pct"/>
            <w:vAlign w:val="center"/>
          </w:tcPr>
          <w:p w14:paraId="6D3A67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val="en-US" w:eastAsia="zh-CN"/>
              </w:rPr>
              <w:t>具体</w:t>
            </w:r>
          </w:p>
          <w:p w14:paraId="31D9EB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val="en-US" w:eastAsia="zh-CN"/>
              </w:rPr>
              <w:t>责任单位</w:t>
            </w:r>
          </w:p>
        </w:tc>
        <w:tc>
          <w:tcPr>
            <w:tcW w:w="1542" w:type="pct"/>
            <w:vAlign w:val="center"/>
          </w:tcPr>
          <w:p w14:paraId="5FA714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eastAsia="zh-CN"/>
              </w:rPr>
              <w:t>进展情况</w:t>
            </w:r>
          </w:p>
        </w:tc>
        <w:tc>
          <w:tcPr>
            <w:tcW w:w="992" w:type="pct"/>
            <w:vAlign w:val="center"/>
          </w:tcPr>
          <w:p w14:paraId="48EB28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eastAsia="zh-CN"/>
              </w:rPr>
              <w:t>存在问题</w:t>
            </w:r>
          </w:p>
        </w:tc>
        <w:tc>
          <w:tcPr>
            <w:tcW w:w="1104" w:type="pct"/>
            <w:vAlign w:val="center"/>
          </w:tcPr>
          <w:p w14:paraId="284D0B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b w:val="0"/>
                <w:bCs w:val="0"/>
                <w:color w:val="auto"/>
                <w:spacing w:val="0"/>
                <w:kern w:val="21"/>
                <w:sz w:val="28"/>
                <w:szCs w:val="28"/>
                <w:highlight w:val="none"/>
                <w:lang w:val="en-US" w:eastAsia="zh-CN"/>
              </w:rPr>
            </w:pPr>
            <w:r>
              <w:rPr>
                <w:rFonts w:hint="eastAsia" w:ascii="黑体" w:hAnsi="黑体" w:eastAsia="黑体" w:cs="Times New Roman"/>
                <w:b w:val="0"/>
                <w:bCs w:val="0"/>
                <w:color w:val="auto"/>
                <w:spacing w:val="0"/>
                <w:kern w:val="21"/>
                <w:sz w:val="28"/>
                <w:szCs w:val="28"/>
                <w:highlight w:val="none"/>
                <w:lang w:eastAsia="zh-CN"/>
              </w:rPr>
              <w:t>下步打算</w:t>
            </w:r>
          </w:p>
        </w:tc>
      </w:tr>
      <w:tr w14:paraId="5DE7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362E77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w:t>
            </w:r>
          </w:p>
        </w:tc>
        <w:tc>
          <w:tcPr>
            <w:tcW w:w="461" w:type="pct"/>
            <w:vAlign w:val="center"/>
          </w:tcPr>
          <w:p w14:paraId="6E46C7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开元路北延、西安路中段拓展工程</w:t>
            </w:r>
          </w:p>
        </w:tc>
        <w:tc>
          <w:tcPr>
            <w:tcW w:w="344" w:type="pct"/>
            <w:vMerge w:val="restart"/>
            <w:vAlign w:val="center"/>
          </w:tcPr>
          <w:p w14:paraId="7092E30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区住建局</w:t>
            </w:r>
          </w:p>
          <w:p w14:paraId="5715D0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山兴集团</w:t>
            </w:r>
          </w:p>
        </w:tc>
        <w:tc>
          <w:tcPr>
            <w:tcW w:w="355" w:type="pct"/>
            <w:vAlign w:val="center"/>
          </w:tcPr>
          <w:p w14:paraId="155E3DB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区住建局</w:t>
            </w:r>
          </w:p>
          <w:p w14:paraId="681762D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山兴集团</w:t>
            </w:r>
          </w:p>
        </w:tc>
        <w:tc>
          <w:tcPr>
            <w:tcW w:w="1542" w:type="pct"/>
            <w:vAlign w:val="center"/>
          </w:tcPr>
          <w:p w14:paraId="3797C0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1.开元路北延（汉诺路-</w:t>
            </w:r>
            <w:bookmarkStart w:id="0" w:name="_GoBack"/>
            <w:bookmarkEnd w:id="0"/>
            <w:r>
              <w:rPr>
                <w:rFonts w:hint="eastAsia" w:ascii="仿宋_GB2312" w:hAnsi="仿宋_GB2312" w:eastAsia="仿宋_GB2312" w:cs="仿宋_GB2312"/>
                <w:b w:val="0"/>
                <w:bCs w:val="0"/>
                <w:color w:val="auto"/>
                <w:kern w:val="2"/>
                <w:sz w:val="21"/>
                <w:szCs w:val="21"/>
                <w:highlight w:val="none"/>
                <w:lang w:val="en-US" w:eastAsia="zh-CN" w:bidi="ar-SA"/>
              </w:rPr>
              <w:t>青屏路）：府前路到北京路段道路基础开挖100余米。</w:t>
            </w:r>
          </w:p>
          <w:p w14:paraId="014F94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2.西安路中段拓展（府前路-北京西路）：已竣工通车。</w:t>
            </w:r>
          </w:p>
        </w:tc>
        <w:tc>
          <w:tcPr>
            <w:tcW w:w="992" w:type="pct"/>
            <w:vAlign w:val="center"/>
          </w:tcPr>
          <w:p w14:paraId="77008FFD">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开元路北延工程项目建设资金未落实。</w:t>
            </w:r>
          </w:p>
        </w:tc>
        <w:tc>
          <w:tcPr>
            <w:tcW w:w="1104" w:type="pct"/>
            <w:vAlign w:val="center"/>
          </w:tcPr>
          <w:p w14:paraId="4AF39B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积极筹措项目建设资金，加快项目施工进度。</w:t>
            </w:r>
          </w:p>
        </w:tc>
      </w:tr>
      <w:tr w14:paraId="222F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377845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2</w:t>
            </w:r>
          </w:p>
        </w:tc>
        <w:tc>
          <w:tcPr>
            <w:tcW w:w="461" w:type="pct"/>
            <w:vAlign w:val="center"/>
          </w:tcPr>
          <w:p w14:paraId="398064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体育公园、沿河</w:t>
            </w:r>
          </w:p>
          <w:p w14:paraId="7590AA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运动公园规划建设</w:t>
            </w:r>
          </w:p>
        </w:tc>
        <w:tc>
          <w:tcPr>
            <w:tcW w:w="344" w:type="pct"/>
            <w:vMerge w:val="continue"/>
            <w:vAlign w:val="center"/>
          </w:tcPr>
          <w:p w14:paraId="7AF384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43FC842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区住建局</w:t>
            </w:r>
          </w:p>
          <w:p w14:paraId="5BD911B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山兴集团</w:t>
            </w:r>
          </w:p>
        </w:tc>
        <w:tc>
          <w:tcPr>
            <w:tcW w:w="1542" w:type="pct"/>
            <w:vAlign w:val="center"/>
          </w:tcPr>
          <w:p w14:paraId="4A95F5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1.体育公园：地面附着物正在清理，围挡施工完成。</w:t>
            </w:r>
          </w:p>
          <w:p w14:paraId="605E21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2.新薛河上游桃山东西支</w:t>
            </w:r>
            <w:r>
              <w:rPr>
                <w:rFonts w:hint="eastAsia" w:ascii="仿宋_GB2312" w:hAnsi="仿宋_GB2312" w:eastAsia="仿宋_GB2312" w:cs="仿宋_GB2312"/>
                <w:b w:val="0"/>
                <w:bCs w:val="0"/>
                <w:color w:val="auto"/>
                <w:sz w:val="21"/>
                <w:szCs w:val="21"/>
                <w:highlight w:val="none"/>
                <w:lang w:val="en-US" w:eastAsia="zh-CN"/>
              </w:rPr>
              <w:t>沿河运动公园：</w:t>
            </w:r>
            <w:r>
              <w:rPr>
                <w:rFonts w:hint="eastAsia" w:ascii="仿宋_GB2312" w:hAnsi="仿宋_GB2312" w:eastAsia="仿宋_GB2312" w:cs="仿宋_GB2312"/>
                <w:b w:val="0"/>
                <w:bCs w:val="0"/>
                <w:color w:val="auto"/>
                <w:spacing w:val="0"/>
                <w:sz w:val="21"/>
                <w:highlight w:val="none"/>
                <w:lang w:val="en-US" w:eastAsia="zh-CN"/>
              </w:rPr>
              <w:t>规划设计方案完成。</w:t>
            </w:r>
          </w:p>
        </w:tc>
        <w:tc>
          <w:tcPr>
            <w:tcW w:w="4331" w:type="dxa"/>
            <w:vAlign w:val="center"/>
          </w:tcPr>
          <w:p w14:paraId="04B7E1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沿河运动公园土地征收及地面附着物需详查征收。</w:t>
            </w:r>
          </w:p>
        </w:tc>
        <w:tc>
          <w:tcPr>
            <w:tcW w:w="4821" w:type="dxa"/>
            <w:vAlign w:val="center"/>
          </w:tcPr>
          <w:p w14:paraId="05A815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对接区自然资源局、山城街道土地征收及地面附着物清理。</w:t>
            </w:r>
          </w:p>
        </w:tc>
      </w:tr>
      <w:tr w14:paraId="78B3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9BA25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vertAlign w:val="baseline"/>
                <w:lang w:val="en-US" w:eastAsia="zh-CN"/>
              </w:rPr>
              <w:t>3</w:t>
            </w:r>
          </w:p>
        </w:tc>
        <w:tc>
          <w:tcPr>
            <w:tcW w:w="461" w:type="pct"/>
            <w:vAlign w:val="center"/>
          </w:tcPr>
          <w:p w14:paraId="5D7D5B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vertAlign w:val="baseline"/>
                <w:lang w:val="en-US" w:eastAsia="zh-CN"/>
              </w:rPr>
              <w:t>新薛河上游桃山</w:t>
            </w:r>
          </w:p>
          <w:p w14:paraId="3D489F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vertAlign w:val="baseline"/>
                <w:lang w:val="en-US" w:eastAsia="zh-CN"/>
              </w:rPr>
              <w:t>东西支流河道治理</w:t>
            </w:r>
          </w:p>
        </w:tc>
        <w:tc>
          <w:tcPr>
            <w:tcW w:w="344" w:type="pct"/>
            <w:vMerge w:val="continue"/>
            <w:vAlign w:val="center"/>
          </w:tcPr>
          <w:p w14:paraId="64B053F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3F98A0E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区城乡水务局</w:t>
            </w:r>
          </w:p>
        </w:tc>
        <w:tc>
          <w:tcPr>
            <w:tcW w:w="1542" w:type="pct"/>
            <w:vAlign w:val="center"/>
          </w:tcPr>
          <w:p w14:paraId="19720D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已停工。</w:t>
            </w:r>
          </w:p>
        </w:tc>
        <w:tc>
          <w:tcPr>
            <w:tcW w:w="992" w:type="pct"/>
            <w:vAlign w:val="center"/>
          </w:tcPr>
          <w:p w14:paraId="1F9E868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pacing w:val="0"/>
                <w:sz w:val="21"/>
                <w:szCs w:val="21"/>
                <w:highlight w:val="none"/>
                <w:vertAlign w:val="baseline"/>
                <w:lang w:val="en-US" w:eastAsia="zh-CN"/>
              </w:rPr>
            </w:pPr>
            <w:r>
              <w:rPr>
                <w:rFonts w:hint="eastAsia" w:ascii="仿宋_GB2312" w:hAnsi="仿宋_GB2312" w:eastAsia="仿宋_GB2312" w:cs="仿宋_GB2312"/>
                <w:b w:val="0"/>
                <w:bCs w:val="0"/>
                <w:color w:val="auto"/>
                <w:kern w:val="2"/>
                <w:sz w:val="21"/>
                <w:szCs w:val="21"/>
                <w:highlight w:val="none"/>
                <w:lang w:val="en-US" w:eastAsia="zh-CN" w:bidi="ar-SA"/>
              </w:rPr>
              <w:t>1.新</w:t>
            </w:r>
            <w:r>
              <w:rPr>
                <w:rFonts w:hint="eastAsia" w:ascii="仿宋_GB2312" w:hAnsi="仿宋_GB2312" w:eastAsia="仿宋_GB2312" w:cs="仿宋_GB2312"/>
                <w:b w:val="0"/>
                <w:bCs w:val="0"/>
                <w:color w:val="auto"/>
                <w:szCs w:val="21"/>
                <w:highlight w:val="none"/>
                <w:shd w:val="clear" w:color="auto" w:fill="FFFFFF"/>
                <w:lang w:val="en-US" w:eastAsia="zh-CN"/>
              </w:rPr>
              <w:t>薛河抱犊崮桥南河道治理清淤、河道护坡由于河道内附着物</w:t>
            </w:r>
            <w:r>
              <w:rPr>
                <w:rFonts w:hint="eastAsia" w:ascii="仿宋_GB2312" w:hAnsi="仿宋_GB2312" w:eastAsia="仿宋_GB2312" w:cs="仿宋_GB2312"/>
                <w:b w:val="0"/>
                <w:bCs w:val="0"/>
                <w:color w:val="auto"/>
                <w:spacing w:val="0"/>
                <w:sz w:val="21"/>
                <w:szCs w:val="21"/>
                <w:highlight w:val="none"/>
                <w:vertAlign w:val="baseline"/>
                <w:lang w:val="en-US" w:eastAsia="zh-CN"/>
              </w:rPr>
              <w:t>征收缓慢。</w:t>
            </w:r>
          </w:p>
          <w:p w14:paraId="5885754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z w:val="21"/>
                <w:szCs w:val="21"/>
                <w:highlight w:val="none"/>
                <w:lang w:val="en-US" w:eastAsia="zh-CN"/>
              </w:rPr>
              <w:t>2.防汛道路需要新增建设用地。</w:t>
            </w:r>
          </w:p>
        </w:tc>
        <w:tc>
          <w:tcPr>
            <w:tcW w:w="1104" w:type="pct"/>
            <w:vAlign w:val="center"/>
          </w:tcPr>
          <w:p w14:paraId="410B0CC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z w:val="21"/>
                <w:szCs w:val="21"/>
                <w:highlight w:val="none"/>
                <w:lang w:val="en-US" w:eastAsia="zh-CN"/>
              </w:rPr>
              <w:t>1、区城乡水务局和山兴集团继续与山城街道对接完成河道内附着物清理。</w:t>
            </w:r>
          </w:p>
        </w:tc>
      </w:tr>
      <w:tr w14:paraId="3D81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699231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4</w:t>
            </w:r>
          </w:p>
        </w:tc>
        <w:tc>
          <w:tcPr>
            <w:tcW w:w="461" w:type="pct"/>
            <w:vAlign w:val="center"/>
          </w:tcPr>
          <w:p w14:paraId="59D09A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府前路幼儿园、</w:t>
            </w:r>
          </w:p>
          <w:p w14:paraId="37E531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北京路学校建设</w:t>
            </w:r>
          </w:p>
        </w:tc>
        <w:tc>
          <w:tcPr>
            <w:tcW w:w="344" w:type="pct"/>
            <w:vMerge w:val="continue"/>
            <w:vAlign w:val="top"/>
          </w:tcPr>
          <w:p w14:paraId="050D771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p>
        </w:tc>
        <w:tc>
          <w:tcPr>
            <w:tcW w:w="355" w:type="pct"/>
            <w:vAlign w:val="center"/>
          </w:tcPr>
          <w:p w14:paraId="7CCC390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区教体局</w:t>
            </w:r>
          </w:p>
        </w:tc>
        <w:tc>
          <w:tcPr>
            <w:tcW w:w="1542" w:type="pct"/>
            <w:vAlign w:val="center"/>
          </w:tcPr>
          <w:p w14:paraId="428C2F41">
            <w:pPr>
              <w:spacing w:line="300" w:lineRule="exact"/>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lang w:val="en-US" w:eastAsia="zh-CN"/>
              </w:rPr>
              <w:t>1.</w:t>
            </w:r>
            <w:r>
              <w:rPr>
                <w:rFonts w:hint="eastAsia" w:ascii="仿宋_GB2312" w:hAnsi="仿宋_GB2312" w:eastAsia="仿宋_GB2312" w:cs="仿宋_GB2312"/>
                <w:b w:val="0"/>
                <w:bCs w:val="0"/>
                <w:color w:val="auto"/>
                <w:szCs w:val="21"/>
              </w:rPr>
              <w:t>府前路幼儿园</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已完成招标工作。</w:t>
            </w:r>
          </w:p>
          <w:p w14:paraId="016C5D21">
            <w:pPr>
              <w:spacing w:line="30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Cs w:val="21"/>
                <w:lang w:val="en-US" w:eastAsia="zh-CN"/>
              </w:rPr>
              <w:t>2.</w:t>
            </w:r>
            <w:r>
              <w:rPr>
                <w:rFonts w:hint="eastAsia" w:ascii="仿宋_GB2312" w:hAnsi="仿宋_GB2312" w:eastAsia="仿宋_GB2312" w:cs="仿宋_GB2312"/>
                <w:b w:val="0"/>
                <w:bCs w:val="0"/>
                <w:color w:val="auto"/>
                <w:szCs w:val="21"/>
              </w:rPr>
              <w:t>北京路</w:t>
            </w:r>
            <w:r>
              <w:rPr>
                <w:rFonts w:hint="eastAsia" w:ascii="仿宋_GB2312" w:hAnsi="仿宋_GB2312" w:eastAsia="仿宋_GB2312" w:cs="仿宋_GB2312"/>
                <w:b w:val="0"/>
                <w:bCs w:val="0"/>
                <w:color w:val="auto"/>
                <w:szCs w:val="21"/>
                <w:lang w:eastAsia="zh-CN"/>
              </w:rPr>
              <w:t>学校：</w:t>
            </w:r>
            <w:r>
              <w:rPr>
                <w:rFonts w:hint="eastAsia" w:ascii="仿宋_GB2312" w:hAnsi="仿宋_GB2312" w:eastAsia="仿宋_GB2312" w:cs="仿宋_GB2312"/>
                <w:b w:val="0"/>
                <w:bCs w:val="0"/>
                <w:color w:val="auto"/>
                <w:szCs w:val="21"/>
              </w:rPr>
              <w:t>已完成招标工作，正在准备勘探。</w:t>
            </w:r>
          </w:p>
        </w:tc>
        <w:tc>
          <w:tcPr>
            <w:tcW w:w="992" w:type="pct"/>
            <w:vAlign w:val="center"/>
          </w:tcPr>
          <w:p w14:paraId="222A4945">
            <w:pPr>
              <w:spacing w:line="30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府前路幼儿园建设资金未落实，缺少26亩土地指标。</w:t>
            </w:r>
          </w:p>
        </w:tc>
        <w:tc>
          <w:tcPr>
            <w:tcW w:w="1104" w:type="pct"/>
            <w:vAlign w:val="center"/>
          </w:tcPr>
          <w:p w14:paraId="06F24162">
            <w:pPr>
              <w:spacing w:line="30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Cs w:val="21"/>
              </w:rPr>
              <w:t>取得土地后尽快施工建设。</w:t>
            </w:r>
          </w:p>
        </w:tc>
      </w:tr>
      <w:tr w14:paraId="4F79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2A3288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5</w:t>
            </w:r>
          </w:p>
        </w:tc>
        <w:tc>
          <w:tcPr>
            <w:tcW w:w="461" w:type="pct"/>
            <w:vAlign w:val="center"/>
          </w:tcPr>
          <w:p w14:paraId="7BA076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8"/>
                <w:szCs w:val="28"/>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安置区</w:t>
            </w:r>
          </w:p>
        </w:tc>
        <w:tc>
          <w:tcPr>
            <w:tcW w:w="344" w:type="pct"/>
            <w:vMerge w:val="continue"/>
            <w:vAlign w:val="top"/>
          </w:tcPr>
          <w:p w14:paraId="6D1451C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p>
        </w:tc>
        <w:tc>
          <w:tcPr>
            <w:tcW w:w="355" w:type="pct"/>
            <w:vAlign w:val="center"/>
          </w:tcPr>
          <w:p w14:paraId="3B4B4E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区自然资源局区住建局</w:t>
            </w:r>
          </w:p>
          <w:p w14:paraId="12E42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山兴集团</w:t>
            </w:r>
          </w:p>
        </w:tc>
        <w:tc>
          <w:tcPr>
            <w:tcW w:w="1542" w:type="pct"/>
            <w:vAlign w:val="center"/>
          </w:tcPr>
          <w:p w14:paraId="0B40E8D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Cs w:val="21"/>
                <w:highlight w:val="none"/>
                <w:shd w:val="clear" w:color="auto" w:fill="FFFFFF"/>
                <w:lang w:val="en-US" w:eastAsia="zh-CN"/>
              </w:rPr>
            </w:pPr>
            <w:r>
              <w:rPr>
                <w:rFonts w:hint="eastAsia" w:ascii="仿宋_GB2312" w:hAnsi="仿宋_GB2312" w:eastAsia="仿宋_GB2312" w:cs="仿宋_GB2312"/>
                <w:b w:val="0"/>
                <w:bCs w:val="0"/>
                <w:color w:val="auto"/>
                <w:szCs w:val="21"/>
                <w:highlight w:val="none"/>
                <w:shd w:val="clear" w:color="auto" w:fill="FFFFFF"/>
                <w:lang w:val="en-US" w:eastAsia="zh-CN"/>
              </w:rPr>
              <w:t>1.东西鲁三期西区主体已完成，小区配套正在施工。</w:t>
            </w:r>
          </w:p>
          <w:p w14:paraId="264ADF7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z w:val="21"/>
                <w:szCs w:val="21"/>
                <w:highlight w:val="none"/>
                <w:vertAlign w:val="baseline"/>
                <w:lang w:val="en-US" w:eastAsia="zh-CN"/>
              </w:rPr>
              <w:t>2.东西鲁三期东区544户，已完成规划设计，规委会已批复，</w:t>
            </w:r>
            <w:r>
              <w:rPr>
                <w:rFonts w:hint="eastAsia" w:ascii="仿宋_GB2312" w:hAnsi="仿宋_GB2312" w:eastAsia="仿宋_GB2312" w:cs="仿宋_GB2312"/>
                <w:b w:val="0"/>
                <w:bCs w:val="0"/>
                <w:color w:val="auto"/>
                <w:szCs w:val="21"/>
                <w:highlight w:val="none"/>
                <w:shd w:val="clear" w:color="auto" w:fill="FFFFFF"/>
                <w:lang w:val="en-US" w:eastAsia="zh-CN"/>
              </w:rPr>
              <w:t>66亩土地已开始预征收。</w:t>
            </w:r>
          </w:p>
        </w:tc>
        <w:tc>
          <w:tcPr>
            <w:tcW w:w="992" w:type="pct"/>
            <w:vAlign w:val="center"/>
          </w:tcPr>
          <w:p w14:paraId="051E12F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pacing w:val="0"/>
                <w:sz w:val="21"/>
                <w:szCs w:val="21"/>
                <w:highlight w:val="none"/>
                <w:vertAlign w:val="baseline"/>
                <w:lang w:val="en-US" w:eastAsia="zh-CN"/>
              </w:rPr>
            </w:pPr>
            <w:r>
              <w:rPr>
                <w:rFonts w:hint="eastAsia" w:ascii="仿宋_GB2312" w:hAnsi="仿宋_GB2312" w:eastAsia="仿宋_GB2312" w:cs="仿宋_GB2312"/>
                <w:b w:val="0"/>
                <w:bCs w:val="0"/>
                <w:color w:val="auto"/>
                <w:spacing w:val="0"/>
                <w:sz w:val="21"/>
                <w:szCs w:val="21"/>
                <w:highlight w:val="none"/>
                <w:vertAlign w:val="baseline"/>
                <w:lang w:val="en-US" w:eastAsia="zh-CN"/>
              </w:rPr>
              <w:t>1.东西鲁三期东区建设用地66亩未落实。</w:t>
            </w:r>
          </w:p>
          <w:p w14:paraId="75E9D177">
            <w:pPr>
              <w:pStyle w:val="15"/>
              <w:ind w:left="0" w:leftChars="0" w:firstLine="0" w:firstLineChars="0"/>
              <w:rPr>
                <w:rFonts w:hint="default"/>
                <w:b w:val="0"/>
                <w:bCs w:val="0"/>
                <w:color w:val="auto"/>
                <w:highlight w:val="none"/>
                <w:lang w:val="en-US" w:eastAsia="zh-CN"/>
              </w:rPr>
            </w:pPr>
            <w:r>
              <w:rPr>
                <w:rFonts w:hint="eastAsia" w:ascii="仿宋_GB2312" w:hAnsi="仿宋_GB2312" w:eastAsia="仿宋_GB2312" w:cs="仿宋_GB2312"/>
                <w:b w:val="0"/>
                <w:bCs w:val="0"/>
                <w:color w:val="auto"/>
                <w:spacing w:val="0"/>
                <w:sz w:val="21"/>
                <w:szCs w:val="21"/>
                <w:highlight w:val="none"/>
                <w:vertAlign w:val="baseline"/>
                <w:lang w:val="en-US" w:eastAsia="zh-CN"/>
              </w:rPr>
              <w:t>2.东西鲁三期东区尚有1750.6万元一次征收及地面附着物补偿款未拨付给山城街道。</w:t>
            </w:r>
          </w:p>
          <w:p w14:paraId="44AC05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sz w:val="21"/>
                <w:szCs w:val="21"/>
                <w:highlight w:val="none"/>
                <w:vertAlign w:val="baseline"/>
                <w:lang w:val="en-US" w:eastAsia="zh-CN"/>
              </w:rPr>
              <w:t>3.东西鲁三期东区建设资金4.66亿元未落实</w:t>
            </w:r>
          </w:p>
        </w:tc>
        <w:tc>
          <w:tcPr>
            <w:tcW w:w="1104" w:type="pct"/>
            <w:vAlign w:val="center"/>
          </w:tcPr>
          <w:p w14:paraId="363F05F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pacing w:val="0"/>
                <w:sz w:val="21"/>
                <w:szCs w:val="21"/>
                <w:highlight w:val="none"/>
                <w:vertAlign w:val="baseline"/>
                <w:lang w:val="en-US" w:eastAsia="zh-CN"/>
              </w:rPr>
            </w:pPr>
            <w:r>
              <w:rPr>
                <w:rFonts w:hint="eastAsia" w:ascii="仿宋_GB2312" w:hAnsi="仿宋_GB2312" w:eastAsia="仿宋_GB2312" w:cs="仿宋_GB2312"/>
                <w:b w:val="0"/>
                <w:bCs w:val="0"/>
                <w:color w:val="auto"/>
                <w:spacing w:val="0"/>
                <w:sz w:val="21"/>
                <w:szCs w:val="21"/>
                <w:highlight w:val="none"/>
                <w:vertAlign w:val="baseline"/>
                <w:lang w:val="en-US" w:eastAsia="zh-CN"/>
              </w:rPr>
              <w:t>1.</w:t>
            </w:r>
            <w:r>
              <w:rPr>
                <w:rFonts w:hint="eastAsia" w:ascii="仿宋_GB2312" w:hAnsi="仿宋_GB2312" w:eastAsia="仿宋_GB2312" w:cs="仿宋_GB2312"/>
                <w:b w:val="0"/>
                <w:bCs w:val="0"/>
                <w:color w:val="auto"/>
                <w:sz w:val="21"/>
                <w:szCs w:val="21"/>
                <w:highlight w:val="none"/>
                <w:lang w:val="en-US" w:eastAsia="zh-CN"/>
              </w:rPr>
              <w:t>住建局同山兴集团积极对接区自然资源局落实</w:t>
            </w:r>
            <w:r>
              <w:rPr>
                <w:rFonts w:hint="eastAsia" w:ascii="仿宋_GB2312" w:hAnsi="仿宋_GB2312" w:eastAsia="仿宋_GB2312" w:cs="仿宋_GB2312"/>
                <w:b w:val="0"/>
                <w:bCs w:val="0"/>
                <w:color w:val="auto"/>
                <w:spacing w:val="0"/>
                <w:sz w:val="21"/>
                <w:szCs w:val="21"/>
                <w:highlight w:val="none"/>
                <w:vertAlign w:val="baseline"/>
                <w:lang w:val="en-US" w:eastAsia="zh-CN"/>
              </w:rPr>
              <w:t>尽快取得66亩建设用地，</w:t>
            </w:r>
            <w:r>
              <w:rPr>
                <w:rFonts w:hint="eastAsia" w:ascii="仿宋_GB2312" w:hAnsi="仿宋_GB2312" w:eastAsia="仿宋_GB2312" w:cs="仿宋_GB2312"/>
                <w:b w:val="0"/>
                <w:bCs w:val="0"/>
                <w:color w:val="auto"/>
                <w:sz w:val="21"/>
                <w:szCs w:val="21"/>
                <w:highlight w:val="none"/>
                <w:lang w:val="en-US" w:eastAsia="zh-CN"/>
              </w:rPr>
              <w:t>住建局同山兴集团积极对接山城街道清理地面附着物。</w:t>
            </w:r>
          </w:p>
          <w:p w14:paraId="10BF851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pacing w:val="0"/>
                <w:sz w:val="21"/>
                <w:szCs w:val="21"/>
                <w:highlight w:val="none"/>
                <w:vertAlign w:val="baseline"/>
                <w:lang w:val="en-US" w:eastAsia="zh-CN"/>
              </w:rPr>
            </w:pPr>
            <w:r>
              <w:rPr>
                <w:rFonts w:hint="eastAsia" w:ascii="仿宋_GB2312" w:hAnsi="仿宋_GB2312" w:eastAsia="仿宋_GB2312" w:cs="仿宋_GB2312"/>
                <w:b w:val="0"/>
                <w:bCs w:val="0"/>
                <w:color w:val="auto"/>
                <w:spacing w:val="0"/>
                <w:sz w:val="21"/>
                <w:szCs w:val="21"/>
                <w:highlight w:val="none"/>
                <w:vertAlign w:val="baseline"/>
                <w:lang w:val="en-US" w:eastAsia="zh-CN"/>
              </w:rPr>
              <w:t>2.山兴集团与区发改局对接争取专项资金。</w:t>
            </w:r>
          </w:p>
          <w:p w14:paraId="6D65FE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sz w:val="21"/>
                <w:szCs w:val="21"/>
                <w:highlight w:val="none"/>
                <w:vertAlign w:val="baseline"/>
                <w:lang w:val="en-US" w:eastAsia="zh-CN"/>
              </w:rPr>
              <w:t>3.山兴集团与各大金融机构对接争取项目资金</w:t>
            </w:r>
          </w:p>
        </w:tc>
      </w:tr>
      <w:tr w14:paraId="6265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26D181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6</w:t>
            </w:r>
          </w:p>
        </w:tc>
        <w:tc>
          <w:tcPr>
            <w:tcW w:w="461" w:type="pct"/>
            <w:vAlign w:val="center"/>
          </w:tcPr>
          <w:p w14:paraId="3AFE59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8"/>
                <w:szCs w:val="28"/>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人才公寓建设</w:t>
            </w:r>
          </w:p>
        </w:tc>
        <w:tc>
          <w:tcPr>
            <w:tcW w:w="344" w:type="pct"/>
            <w:vMerge w:val="continue"/>
            <w:vAlign w:val="top"/>
          </w:tcPr>
          <w:p w14:paraId="78E8A3C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p>
        </w:tc>
        <w:tc>
          <w:tcPr>
            <w:tcW w:w="355" w:type="pct"/>
            <w:vAlign w:val="center"/>
          </w:tcPr>
          <w:p w14:paraId="6F077F6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区住建局</w:t>
            </w:r>
          </w:p>
          <w:p w14:paraId="00745EC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山兴集团</w:t>
            </w:r>
          </w:p>
        </w:tc>
        <w:tc>
          <w:tcPr>
            <w:tcW w:w="1542" w:type="pct"/>
            <w:vAlign w:val="center"/>
          </w:tcPr>
          <w:p w14:paraId="6FA1DDEF">
            <w:pPr>
              <w:pStyle w:val="15"/>
              <w:ind w:left="0" w:leftChars="0" w:firstLine="0" w:firstLineChars="0"/>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pacing w:val="0"/>
                <w:kern w:val="2"/>
                <w:sz w:val="21"/>
                <w:szCs w:val="21"/>
                <w:highlight w:val="none"/>
                <w:vertAlign w:val="baseline"/>
                <w:lang w:val="en-US" w:eastAsia="zh-CN" w:bidi="ar-SA"/>
              </w:rPr>
              <w:t>已完成</w:t>
            </w:r>
            <w:r>
              <w:rPr>
                <w:rFonts w:hint="eastAsia" w:ascii="仿宋_GB2312" w:hAnsi="仿宋_GB2312" w:eastAsia="仿宋_GB2312" w:cs="仿宋_GB2312"/>
                <w:b w:val="0"/>
                <w:bCs w:val="0"/>
                <w:color w:val="auto"/>
                <w:spacing w:val="0"/>
                <w:kern w:val="21"/>
                <w:sz w:val="21"/>
                <w:szCs w:val="21"/>
                <w:highlight w:val="none"/>
                <w:vertAlign w:val="baseline"/>
                <w:lang w:val="en-US" w:eastAsia="zh-CN" w:bidi="ar-SA"/>
              </w:rPr>
              <w:t>选址，</w:t>
            </w:r>
            <w:r>
              <w:rPr>
                <w:rFonts w:hint="eastAsia" w:ascii="仿宋_GB2312" w:hAnsi="仿宋_GB2312" w:eastAsia="仿宋_GB2312" w:cs="仿宋_GB2312"/>
                <w:b w:val="0"/>
                <w:bCs w:val="0"/>
                <w:color w:val="auto"/>
                <w:spacing w:val="0"/>
                <w:kern w:val="2"/>
                <w:sz w:val="21"/>
                <w:szCs w:val="21"/>
                <w:highlight w:val="none"/>
                <w:vertAlign w:val="baseline"/>
                <w:lang w:val="en-US" w:eastAsia="zh-CN" w:bidi="ar-SA"/>
              </w:rPr>
              <w:t>正在进行方案设计</w:t>
            </w:r>
            <w:r>
              <w:rPr>
                <w:rFonts w:hint="eastAsia" w:ascii="仿宋_GB2312" w:hAnsi="仿宋_GB2312" w:eastAsia="仿宋_GB2312" w:cs="仿宋_GB2312"/>
                <w:b w:val="0"/>
                <w:bCs w:val="0"/>
                <w:color w:val="auto"/>
                <w:spacing w:val="0"/>
                <w:kern w:val="21"/>
                <w:sz w:val="21"/>
                <w:szCs w:val="21"/>
                <w:highlight w:val="none"/>
                <w:vertAlign w:val="baseline"/>
                <w:lang w:val="en-US" w:eastAsia="zh-CN" w:bidi="ar-SA"/>
              </w:rPr>
              <w:t>。</w:t>
            </w:r>
          </w:p>
        </w:tc>
        <w:tc>
          <w:tcPr>
            <w:tcW w:w="992" w:type="pct"/>
            <w:vAlign w:val="center"/>
          </w:tcPr>
          <w:p w14:paraId="3CD9DC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地面附着物需征收。</w:t>
            </w:r>
          </w:p>
        </w:tc>
        <w:tc>
          <w:tcPr>
            <w:tcW w:w="1104" w:type="pct"/>
            <w:vAlign w:val="center"/>
          </w:tcPr>
          <w:p w14:paraId="03A4A8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对接山城街道清理地面附着物。</w:t>
            </w:r>
          </w:p>
        </w:tc>
      </w:tr>
      <w:tr w14:paraId="7F7B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082A6B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7</w:t>
            </w:r>
          </w:p>
        </w:tc>
        <w:tc>
          <w:tcPr>
            <w:tcW w:w="461" w:type="pct"/>
            <w:vAlign w:val="center"/>
          </w:tcPr>
          <w:p w14:paraId="5D9164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区妇保院、</w:t>
            </w:r>
          </w:p>
          <w:p w14:paraId="211046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8"/>
                <w:szCs w:val="28"/>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区中医院建设</w:t>
            </w:r>
          </w:p>
        </w:tc>
        <w:tc>
          <w:tcPr>
            <w:tcW w:w="344" w:type="pct"/>
            <w:vMerge w:val="continue"/>
            <w:vAlign w:val="top"/>
          </w:tcPr>
          <w:p w14:paraId="53938BB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p>
        </w:tc>
        <w:tc>
          <w:tcPr>
            <w:tcW w:w="355" w:type="pct"/>
            <w:vAlign w:val="center"/>
          </w:tcPr>
          <w:p w14:paraId="372032D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区卫健局</w:t>
            </w:r>
          </w:p>
        </w:tc>
        <w:tc>
          <w:tcPr>
            <w:tcW w:w="1542" w:type="pct"/>
            <w:vAlign w:val="center"/>
          </w:tcPr>
          <w:p w14:paraId="226A3547">
            <w:pPr>
              <w:pStyle w:val="15"/>
              <w:ind w:left="0" w:leftChars="0" w:firstLine="0" w:firstLineChars="0"/>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申请山亭区医养结合康复中心、山亭区中医院专项债。</w:t>
            </w:r>
          </w:p>
        </w:tc>
        <w:tc>
          <w:tcPr>
            <w:tcW w:w="4331" w:type="dxa"/>
            <w:vAlign w:val="center"/>
          </w:tcPr>
          <w:p w14:paraId="1C689F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需先确定选址，以便积极推进后续各项方案拟定和工作落实。</w:t>
            </w:r>
          </w:p>
        </w:tc>
        <w:tc>
          <w:tcPr>
            <w:tcW w:w="4821" w:type="dxa"/>
            <w:vAlign w:val="center"/>
          </w:tcPr>
          <w:p w14:paraId="50887F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通过进一步调研和论证，细化中医院建设实施方案，从选址、建设模式、专项债申请、人才储备、运营管理等多个方面推进中医院建设落地工作。</w:t>
            </w:r>
          </w:p>
        </w:tc>
      </w:tr>
      <w:tr w14:paraId="04AD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0A1032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8</w:t>
            </w:r>
          </w:p>
        </w:tc>
        <w:tc>
          <w:tcPr>
            <w:tcW w:w="461" w:type="pct"/>
            <w:vAlign w:val="center"/>
          </w:tcPr>
          <w:p w14:paraId="00E6D0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8"/>
                <w:szCs w:val="28"/>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实施供热管网综合改造项目，新建换热站6座，新增改造管网3.8万米</w:t>
            </w:r>
          </w:p>
        </w:tc>
        <w:tc>
          <w:tcPr>
            <w:tcW w:w="344" w:type="pct"/>
            <w:vMerge w:val="continue"/>
            <w:vAlign w:val="center"/>
          </w:tcPr>
          <w:p w14:paraId="2676C85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bidi="ar-SA"/>
              </w:rPr>
            </w:pPr>
          </w:p>
        </w:tc>
        <w:tc>
          <w:tcPr>
            <w:tcW w:w="355" w:type="pct"/>
            <w:vAlign w:val="center"/>
          </w:tcPr>
          <w:p w14:paraId="4CAB531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区住建局</w:t>
            </w:r>
          </w:p>
          <w:p w14:paraId="65C4E44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8"/>
                <w:szCs w:val="28"/>
                <w:highlight w:val="none"/>
                <w:vertAlign w:val="baseli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山兴集团</w:t>
            </w:r>
          </w:p>
        </w:tc>
        <w:tc>
          <w:tcPr>
            <w:tcW w:w="1542" w:type="pct"/>
            <w:vAlign w:val="center"/>
          </w:tcPr>
          <w:p w14:paraId="345B81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Cs w:val="21"/>
                <w:highlight w:val="none"/>
                <w:shd w:val="clear" w:color="auto" w:fill="FFFFFF"/>
                <w:lang w:val="en-US" w:eastAsia="zh-CN"/>
              </w:rPr>
            </w:pPr>
            <w:r>
              <w:rPr>
                <w:rFonts w:hint="eastAsia" w:ascii="仿宋_GB2312" w:hAnsi="仿宋_GB2312" w:eastAsia="仿宋_GB2312" w:cs="仿宋_GB2312"/>
                <w:b w:val="0"/>
                <w:bCs w:val="0"/>
                <w:color w:val="auto"/>
                <w:szCs w:val="21"/>
                <w:highlight w:val="none"/>
                <w:shd w:val="clear" w:color="auto" w:fill="FFFFFF"/>
                <w:lang w:val="en-US" w:eastAsia="zh-CN"/>
              </w:rPr>
              <w:t>1.城区供热管网综合改造项目一期项目情况：已改造完成银山小区、郭庄社区、开元路抱犊崮路终点向南、荷园、悠然南山、宝莱花苑、御景公馆等管网工程。</w:t>
            </w:r>
          </w:p>
          <w:p w14:paraId="72566C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rPr>
              <w:t>2.换热站建设情况：</w:t>
            </w:r>
            <w:r>
              <w:rPr>
                <w:rFonts w:hint="eastAsia" w:ascii="仿宋_GB2312" w:hAnsi="仿宋_GB2312" w:eastAsia="仿宋_GB2312" w:cs="仿宋_GB2312"/>
                <w:b w:val="0"/>
                <w:bCs w:val="0"/>
                <w:color w:val="auto"/>
                <w:kern w:val="2"/>
                <w:sz w:val="21"/>
                <w:szCs w:val="21"/>
                <w:highlight w:val="none"/>
                <w:lang w:val="en-US" w:eastAsia="zh-CN" w:bidi="ar-SA"/>
              </w:rPr>
              <w:t>已完成银山小区、东西鲁社区、荷园3座换热站。</w:t>
            </w:r>
          </w:p>
          <w:p w14:paraId="3F92EE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3.</w:t>
            </w:r>
            <w:r>
              <w:rPr>
                <w:rFonts w:hint="eastAsia" w:ascii="仿宋_GB2312" w:hAnsi="仿宋_GB2312" w:eastAsia="仿宋_GB2312" w:cs="仿宋_GB2312"/>
                <w:b w:val="0"/>
                <w:bCs w:val="0"/>
                <w:color w:val="auto"/>
                <w:kern w:val="21"/>
                <w:sz w:val="21"/>
                <w:szCs w:val="21"/>
                <w:highlight w:val="none"/>
                <w:lang w:val="en-US" w:eastAsia="zh-CN"/>
              </w:rPr>
              <w:t>新增管网情况：</w:t>
            </w:r>
            <w:r>
              <w:rPr>
                <w:rFonts w:hint="eastAsia" w:ascii="仿宋_GB2312" w:hAnsi="仿宋_GB2312" w:eastAsia="仿宋_GB2312" w:cs="仿宋_GB2312"/>
                <w:b w:val="0"/>
                <w:bCs w:val="0"/>
                <w:color w:val="auto"/>
                <w:kern w:val="2"/>
                <w:sz w:val="21"/>
                <w:szCs w:val="21"/>
                <w:highlight w:val="none"/>
                <w:lang w:val="en-US" w:eastAsia="zh-CN" w:bidi="ar-SA"/>
              </w:rPr>
              <w:t>已完成一级管网5.98千米，二级管网16.1千米。</w:t>
            </w:r>
          </w:p>
        </w:tc>
        <w:tc>
          <w:tcPr>
            <w:tcW w:w="992" w:type="pct"/>
            <w:vAlign w:val="center"/>
          </w:tcPr>
          <w:p w14:paraId="57E95A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vertAlign w:val="baseline"/>
                <w:lang w:val="en-US" w:eastAsia="zh-CN" w:bidi="ar-SA"/>
              </w:rPr>
              <w:t>资金短缺。</w:t>
            </w:r>
          </w:p>
        </w:tc>
        <w:tc>
          <w:tcPr>
            <w:tcW w:w="1104" w:type="pct"/>
            <w:vAlign w:val="center"/>
          </w:tcPr>
          <w:p w14:paraId="23CBB71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vertAlign w:val="baseline"/>
                <w:lang w:val="en-US" w:eastAsia="zh-CN" w:bidi="ar-SA"/>
              </w:rPr>
              <w:t>根据工程条件推进项目建设</w:t>
            </w:r>
          </w:p>
        </w:tc>
      </w:tr>
      <w:tr w14:paraId="6AE3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4364C9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9</w:t>
            </w:r>
          </w:p>
        </w:tc>
        <w:tc>
          <w:tcPr>
            <w:tcW w:w="461" w:type="pct"/>
            <w:vAlign w:val="center"/>
          </w:tcPr>
          <w:p w14:paraId="7579E8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实施11个老旧小区改造</w:t>
            </w:r>
          </w:p>
        </w:tc>
        <w:tc>
          <w:tcPr>
            <w:tcW w:w="344" w:type="pct"/>
            <w:vAlign w:val="center"/>
          </w:tcPr>
          <w:p w14:paraId="45EBDE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区住建局</w:t>
            </w:r>
          </w:p>
        </w:tc>
        <w:tc>
          <w:tcPr>
            <w:tcW w:w="355" w:type="pct"/>
            <w:vAlign w:val="center"/>
          </w:tcPr>
          <w:p w14:paraId="5B2B23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山城街道</w:t>
            </w:r>
          </w:p>
        </w:tc>
        <w:tc>
          <w:tcPr>
            <w:tcW w:w="1542" w:type="pct"/>
            <w:vAlign w:val="center"/>
          </w:tcPr>
          <w:p w14:paraId="519A49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A0601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green"/>
                <w:lang w:val="en-US" w:eastAsia="zh-CN" w:bidi="ar-SA"/>
              </w:rPr>
            </w:pPr>
          </w:p>
        </w:tc>
        <w:tc>
          <w:tcPr>
            <w:tcW w:w="1104" w:type="pct"/>
            <w:vAlign w:val="center"/>
          </w:tcPr>
          <w:p w14:paraId="215ADD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green"/>
                <w:lang w:val="en-US" w:eastAsia="zh-CN" w:bidi="ar-SA"/>
              </w:rPr>
            </w:pPr>
          </w:p>
        </w:tc>
      </w:tr>
      <w:tr w14:paraId="5DBC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0" w:type="pct"/>
            <w:vAlign w:val="center"/>
          </w:tcPr>
          <w:p w14:paraId="5B882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10</w:t>
            </w:r>
          </w:p>
        </w:tc>
        <w:tc>
          <w:tcPr>
            <w:tcW w:w="461" w:type="pct"/>
            <w:vAlign w:val="center"/>
          </w:tcPr>
          <w:p w14:paraId="19B908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改造农村清洁取暖10186户</w:t>
            </w:r>
          </w:p>
        </w:tc>
        <w:tc>
          <w:tcPr>
            <w:tcW w:w="344" w:type="pct"/>
            <w:vAlign w:val="center"/>
          </w:tcPr>
          <w:p w14:paraId="02B500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区住建局</w:t>
            </w:r>
          </w:p>
        </w:tc>
        <w:tc>
          <w:tcPr>
            <w:tcW w:w="355" w:type="pct"/>
            <w:vAlign w:val="center"/>
          </w:tcPr>
          <w:p w14:paraId="60BA83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区住建局</w:t>
            </w:r>
          </w:p>
        </w:tc>
        <w:tc>
          <w:tcPr>
            <w:tcW w:w="1542" w:type="pct"/>
            <w:vAlign w:val="center"/>
          </w:tcPr>
          <w:p w14:paraId="746834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6DEB6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099C9E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1015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00" w:type="pct"/>
            <w:vAlign w:val="center"/>
          </w:tcPr>
          <w:p w14:paraId="5A1F2122">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11</w:t>
            </w:r>
          </w:p>
        </w:tc>
        <w:tc>
          <w:tcPr>
            <w:tcW w:w="461" w:type="pct"/>
            <w:vAlign w:val="center"/>
          </w:tcPr>
          <w:p w14:paraId="7C20102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全力加快枣庄翼云机场施工</w:t>
            </w:r>
          </w:p>
        </w:tc>
        <w:tc>
          <w:tcPr>
            <w:tcW w:w="344" w:type="pct"/>
            <w:vAlign w:val="center"/>
          </w:tcPr>
          <w:p w14:paraId="1804D99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区交运局</w:t>
            </w:r>
          </w:p>
        </w:tc>
        <w:tc>
          <w:tcPr>
            <w:tcW w:w="355" w:type="pct"/>
            <w:vAlign w:val="center"/>
          </w:tcPr>
          <w:p w14:paraId="48DCC84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区交运局</w:t>
            </w:r>
          </w:p>
        </w:tc>
        <w:tc>
          <w:tcPr>
            <w:tcW w:w="1542" w:type="pct"/>
            <w:vAlign w:val="center"/>
          </w:tcPr>
          <w:p w14:paraId="6763898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pacing w:val="-6"/>
                <w:sz w:val="21"/>
                <w:szCs w:val="21"/>
                <w:vertAlign w:val="baseline"/>
                <w:lang w:val="en-US" w:eastAsia="zh-CN"/>
              </w:rPr>
            </w:pPr>
            <w:r>
              <w:rPr>
                <w:rFonts w:hint="eastAsia" w:ascii="仿宋_GB2312" w:hAnsi="仿宋_GB2312" w:eastAsia="仿宋_GB2312" w:cs="仿宋_GB2312"/>
                <w:b w:val="0"/>
                <w:bCs w:val="0"/>
                <w:color w:val="auto"/>
                <w:szCs w:val="21"/>
                <w:highlight w:val="none"/>
                <w:shd w:val="clear" w:color="auto" w:fill="FFFFFF"/>
                <w:lang w:val="en-US" w:eastAsia="zh-CN"/>
              </w:rPr>
              <w:t>机场连接线工程：</w:t>
            </w:r>
            <w:r>
              <w:rPr>
                <w:rFonts w:hint="eastAsia" w:ascii="仿宋_GB2312" w:hAnsi="仿宋_GB2312" w:eastAsia="仿宋_GB2312" w:cs="仿宋_GB2312"/>
                <w:b w:val="0"/>
                <w:bCs w:val="0"/>
                <w:color w:val="auto"/>
                <w:spacing w:val="-6"/>
                <w:sz w:val="21"/>
                <w:szCs w:val="21"/>
                <w:vertAlign w:val="baseline"/>
                <w:lang w:val="en-US" w:eastAsia="zh-CN"/>
              </w:rPr>
              <w:t>机场连接线路基已完成，路面工程完成设计评审。</w:t>
            </w:r>
          </w:p>
          <w:p w14:paraId="4F83BD4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机场本场建设：</w:t>
            </w:r>
            <w:r>
              <w:rPr>
                <w:rFonts w:hint="eastAsia" w:ascii="仿宋_GB2312" w:hAnsi="仿宋_GB2312" w:eastAsia="仿宋_GB2312" w:cs="仿宋_GB2312"/>
                <w:b w:val="0"/>
                <w:bCs w:val="0"/>
                <w:color w:val="auto"/>
                <w:spacing w:val="-6"/>
                <w:sz w:val="21"/>
                <w:szCs w:val="21"/>
                <w:vertAlign w:val="baseline"/>
                <w:lang w:val="en-US" w:eastAsia="zh-CN"/>
              </w:rPr>
              <w:t>机场本场土石方工程完成75%。</w:t>
            </w:r>
          </w:p>
        </w:tc>
        <w:tc>
          <w:tcPr>
            <w:tcW w:w="992" w:type="pct"/>
            <w:vAlign w:val="center"/>
          </w:tcPr>
          <w:p w14:paraId="2A6CE9B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pacing w:val="-6"/>
                <w:sz w:val="21"/>
                <w:szCs w:val="21"/>
                <w:vertAlign w:val="baseline"/>
                <w:lang w:val="en-US" w:eastAsia="zh-CN"/>
              </w:rPr>
              <w:t>无</w:t>
            </w:r>
          </w:p>
        </w:tc>
        <w:tc>
          <w:tcPr>
            <w:tcW w:w="1104" w:type="pct"/>
            <w:vAlign w:val="center"/>
          </w:tcPr>
          <w:p w14:paraId="73BB62AF">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highlight w:val="none"/>
                <w:shd w:val="clear" w:color="auto" w:fill="FFFFFF"/>
                <w:lang w:val="en-US" w:eastAsia="zh-CN"/>
              </w:rPr>
              <w:t>继续做好协调配合工作，推进机场连接线、机场本场等工程建设，协调场外供水、供气等配套工程设计、建设，为工程建设提供良好外部环境。</w:t>
            </w:r>
          </w:p>
        </w:tc>
      </w:tr>
      <w:tr w14:paraId="1EEE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200" w:type="pct"/>
            <w:vAlign w:val="center"/>
          </w:tcPr>
          <w:p w14:paraId="370B0391">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12</w:t>
            </w:r>
          </w:p>
        </w:tc>
        <w:tc>
          <w:tcPr>
            <w:tcW w:w="461" w:type="pct"/>
            <w:vAlign w:val="center"/>
          </w:tcPr>
          <w:p w14:paraId="4DCF4DB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临滕高速建设工程</w:t>
            </w:r>
          </w:p>
        </w:tc>
        <w:tc>
          <w:tcPr>
            <w:tcW w:w="344" w:type="pct"/>
            <w:vMerge w:val="restart"/>
            <w:vAlign w:val="center"/>
          </w:tcPr>
          <w:p w14:paraId="77060D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区交运局</w:t>
            </w:r>
          </w:p>
        </w:tc>
        <w:tc>
          <w:tcPr>
            <w:tcW w:w="355" w:type="pct"/>
            <w:vAlign w:val="center"/>
          </w:tcPr>
          <w:p w14:paraId="1DF5655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区交运局</w:t>
            </w:r>
          </w:p>
        </w:tc>
        <w:tc>
          <w:tcPr>
            <w:tcW w:w="1542" w:type="pct"/>
            <w:vAlign w:val="center"/>
          </w:tcPr>
          <w:p w14:paraId="42B976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进展情况：</w:t>
            </w:r>
            <w:r>
              <w:rPr>
                <w:rFonts w:hint="eastAsia" w:ascii="仿宋_GB2312" w:hAnsi="仿宋_GB2312" w:eastAsia="仿宋_GB2312" w:cs="仿宋_GB2312"/>
                <w:b w:val="0"/>
                <w:bCs w:val="0"/>
                <w:color w:val="auto"/>
                <w:spacing w:val="-6"/>
                <w:kern w:val="2"/>
                <w:sz w:val="21"/>
                <w:szCs w:val="21"/>
                <w:vertAlign w:val="baseline"/>
                <w:lang w:val="en-US" w:eastAsia="zh-CN" w:bidi="ar-SA"/>
              </w:rPr>
              <w:t>路基完成80%，路面面层铺设1.5千米，主线桥梁3812延米，完成梁板架设1429米，龙山隧道完成90.45%，左右洞平均进尺947米。</w:t>
            </w:r>
          </w:p>
          <w:p w14:paraId="0FB71346">
            <w:pPr>
              <w:pStyle w:val="9"/>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征迁情况：</w:t>
            </w:r>
            <w:r>
              <w:rPr>
                <w:rFonts w:hint="eastAsia" w:ascii="仿宋_GB2312" w:hAnsi="仿宋_GB2312" w:eastAsia="仿宋_GB2312" w:cs="仿宋_GB2312"/>
                <w:b w:val="0"/>
                <w:bCs w:val="0"/>
                <w:color w:val="auto"/>
                <w:spacing w:val="-6"/>
                <w:kern w:val="2"/>
                <w:sz w:val="21"/>
                <w:szCs w:val="21"/>
                <w:vertAlign w:val="baseline"/>
                <w:lang w:val="en-US" w:eastAsia="zh-CN" w:bidi="ar-SA"/>
              </w:rPr>
              <w:t>全线房屋征迁124户，已拆除101户；光伏搬迁工作正在快速推进。</w:t>
            </w:r>
          </w:p>
        </w:tc>
        <w:tc>
          <w:tcPr>
            <w:tcW w:w="992" w:type="pct"/>
            <w:vAlign w:val="center"/>
          </w:tcPr>
          <w:p w14:paraId="6717042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仿宋_GB2312" w:hAnsi="仿宋_GB2312" w:eastAsia="仿宋_GB2312" w:cs="仿宋_GB2312"/>
                <w:b w:val="0"/>
                <w:bCs w:val="0"/>
                <w:color w:val="auto"/>
                <w:spacing w:val="-6"/>
                <w:sz w:val="21"/>
                <w:szCs w:val="21"/>
                <w:vertAlign w:val="baseline"/>
                <w:lang w:val="en-US" w:eastAsia="zh-CN"/>
              </w:rPr>
            </w:pPr>
            <w:r>
              <w:rPr>
                <w:rFonts w:hint="eastAsia" w:ascii="仿宋_GB2312" w:hAnsi="仿宋_GB2312" w:eastAsia="仿宋_GB2312" w:cs="仿宋_GB2312"/>
                <w:b w:val="0"/>
                <w:bCs w:val="0"/>
                <w:color w:val="auto"/>
                <w:spacing w:val="-6"/>
                <w:sz w:val="21"/>
                <w:szCs w:val="21"/>
                <w:vertAlign w:val="baseline"/>
                <w:lang w:val="en-US" w:eastAsia="zh-CN"/>
              </w:rPr>
              <w:t>1.</w:t>
            </w:r>
            <w:r>
              <w:rPr>
                <w:rFonts w:hint="default" w:ascii="仿宋_GB2312" w:hAnsi="仿宋_GB2312" w:eastAsia="仿宋_GB2312" w:cs="仿宋_GB2312"/>
                <w:b w:val="0"/>
                <w:bCs w:val="0"/>
                <w:color w:val="auto"/>
                <w:spacing w:val="-6"/>
                <w:sz w:val="21"/>
                <w:szCs w:val="21"/>
                <w:vertAlign w:val="baseline"/>
                <w:lang w:val="en-US" w:eastAsia="zh-CN"/>
              </w:rPr>
              <w:t>资本金未能及时</w:t>
            </w:r>
            <w:r>
              <w:rPr>
                <w:rFonts w:hint="eastAsia" w:ascii="仿宋_GB2312" w:hAnsi="仿宋_GB2312" w:eastAsia="仿宋_GB2312" w:cs="仿宋_GB2312"/>
                <w:b w:val="0"/>
                <w:bCs w:val="0"/>
                <w:color w:val="auto"/>
                <w:spacing w:val="-6"/>
                <w:sz w:val="21"/>
                <w:szCs w:val="21"/>
                <w:vertAlign w:val="baseline"/>
                <w:lang w:val="en-US" w:eastAsia="zh-CN"/>
              </w:rPr>
              <w:t>缴</w:t>
            </w:r>
            <w:r>
              <w:rPr>
                <w:rFonts w:hint="default" w:ascii="仿宋_GB2312" w:hAnsi="仿宋_GB2312" w:eastAsia="仿宋_GB2312" w:cs="仿宋_GB2312"/>
                <w:b w:val="0"/>
                <w:bCs w:val="0"/>
                <w:color w:val="auto"/>
                <w:spacing w:val="-6"/>
                <w:sz w:val="21"/>
                <w:szCs w:val="21"/>
                <w:vertAlign w:val="baseline"/>
                <w:lang w:val="en-US" w:eastAsia="zh-CN"/>
              </w:rPr>
              <w:t>纳。</w:t>
            </w:r>
          </w:p>
          <w:p w14:paraId="5A30B9B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仿宋_GB2312" w:hAnsi="仿宋_GB2312" w:eastAsia="仿宋_GB2312" w:cs="仿宋_GB2312"/>
                <w:b w:val="0"/>
                <w:bCs w:val="0"/>
                <w:color w:val="auto"/>
                <w:spacing w:val="-6"/>
                <w:sz w:val="21"/>
                <w:szCs w:val="21"/>
                <w:vertAlign w:val="baseline"/>
                <w:lang w:val="en-US" w:eastAsia="zh-CN"/>
              </w:rPr>
            </w:pPr>
            <w:r>
              <w:rPr>
                <w:rFonts w:hint="eastAsia" w:ascii="仿宋_GB2312" w:hAnsi="仿宋_GB2312" w:eastAsia="仿宋_GB2312" w:cs="仿宋_GB2312"/>
                <w:b w:val="0"/>
                <w:bCs w:val="0"/>
                <w:color w:val="auto"/>
                <w:spacing w:val="-6"/>
                <w:sz w:val="21"/>
                <w:szCs w:val="21"/>
                <w:vertAlign w:val="baseline"/>
                <w:lang w:val="en-US" w:eastAsia="zh-CN"/>
              </w:rPr>
              <w:t>2.</w:t>
            </w:r>
            <w:r>
              <w:rPr>
                <w:rFonts w:hint="default" w:ascii="仿宋_GB2312" w:hAnsi="仿宋_GB2312" w:eastAsia="仿宋_GB2312" w:cs="仿宋_GB2312"/>
                <w:b w:val="0"/>
                <w:bCs w:val="0"/>
                <w:color w:val="auto"/>
                <w:spacing w:val="-6"/>
                <w:sz w:val="21"/>
                <w:szCs w:val="21"/>
                <w:vertAlign w:val="baseline"/>
                <w:lang w:val="en-US" w:eastAsia="zh-CN"/>
              </w:rPr>
              <w:t>由业主牵头的全线高压、特</w:t>
            </w:r>
            <w:r>
              <w:rPr>
                <w:rFonts w:hint="eastAsia" w:ascii="仿宋_GB2312" w:hAnsi="仿宋_GB2312" w:eastAsia="仿宋_GB2312" w:cs="仿宋_GB2312"/>
                <w:b w:val="0"/>
                <w:bCs w:val="0"/>
                <w:color w:val="auto"/>
                <w:spacing w:val="-6"/>
                <w:sz w:val="21"/>
                <w:szCs w:val="21"/>
                <w:vertAlign w:val="baseline"/>
                <w:lang w:val="en-US" w:eastAsia="zh-CN"/>
              </w:rPr>
              <w:t>高压</w:t>
            </w:r>
            <w:r>
              <w:rPr>
                <w:rFonts w:hint="default" w:ascii="仿宋_GB2312" w:hAnsi="仿宋_GB2312" w:eastAsia="仿宋_GB2312" w:cs="仿宋_GB2312"/>
                <w:b w:val="0"/>
                <w:bCs w:val="0"/>
                <w:color w:val="auto"/>
                <w:spacing w:val="-6"/>
                <w:sz w:val="21"/>
                <w:szCs w:val="21"/>
                <w:vertAlign w:val="baseline"/>
                <w:lang w:val="en-US" w:eastAsia="zh-CN"/>
              </w:rPr>
              <w:t>线路迁改工作进展</w:t>
            </w:r>
            <w:r>
              <w:rPr>
                <w:rFonts w:hint="eastAsia" w:ascii="仿宋_GB2312" w:hAnsi="仿宋_GB2312" w:eastAsia="仿宋_GB2312" w:cs="仿宋_GB2312"/>
                <w:b w:val="0"/>
                <w:bCs w:val="0"/>
                <w:color w:val="auto"/>
                <w:spacing w:val="-6"/>
                <w:sz w:val="21"/>
                <w:szCs w:val="21"/>
                <w:vertAlign w:val="baseline"/>
                <w:lang w:val="en-US" w:eastAsia="zh-CN"/>
              </w:rPr>
              <w:t>缓慢，影响了工程进展。</w:t>
            </w:r>
          </w:p>
          <w:p w14:paraId="18C0BEF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 w:val="0"/>
                <w:bCs w:val="0"/>
                <w:color w:val="auto"/>
                <w:spacing w:val="-6"/>
                <w:kern w:val="2"/>
                <w:sz w:val="21"/>
                <w:szCs w:val="21"/>
                <w:vertAlign w:val="baseline"/>
                <w:lang w:val="en-US" w:eastAsia="zh-CN" w:bidi="ar-SA"/>
              </w:rPr>
            </w:pPr>
          </w:p>
        </w:tc>
        <w:tc>
          <w:tcPr>
            <w:tcW w:w="1104" w:type="pct"/>
            <w:vAlign w:val="center"/>
          </w:tcPr>
          <w:p w14:paraId="7CC1856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b w:val="0"/>
                <w:bCs w:val="0"/>
                <w:color w:val="auto"/>
                <w:sz w:val="21"/>
                <w:szCs w:val="21"/>
                <w:highlight w:val="none"/>
                <w:shd w:val="clear" w:color="auto" w:fill="FFFFFF"/>
                <w:lang w:val="en-US" w:eastAsia="zh-CN"/>
              </w:rPr>
            </w:pPr>
            <w:r>
              <w:rPr>
                <w:rFonts w:hint="eastAsia" w:ascii="仿宋_GB2312" w:hAnsi="仿宋_GB2312" w:eastAsia="仿宋_GB2312" w:cs="仿宋_GB2312"/>
                <w:b w:val="0"/>
                <w:bCs w:val="0"/>
                <w:color w:val="auto"/>
                <w:sz w:val="21"/>
                <w:szCs w:val="21"/>
                <w:highlight w:val="none"/>
                <w:shd w:val="clear" w:color="auto" w:fill="FFFFFF"/>
                <w:lang w:val="en-US" w:eastAsia="zh-CN"/>
              </w:rPr>
              <w:t>1.与山东高速集团协调配合，确保拆迁补偿资金及时足额到位，力争山亭段最早竣工；</w:t>
            </w:r>
          </w:p>
          <w:p w14:paraId="1BA64B2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highlight w:val="none"/>
                <w:shd w:val="clear" w:color="auto" w:fill="FFFFFF"/>
                <w:lang w:val="en-US" w:eastAsia="zh-CN"/>
              </w:rPr>
              <w:t>2.妥善解决好沿线群众的合理诉求，做好后期工作，规划实施好改水、改路、改线等“三改”工程。</w:t>
            </w:r>
          </w:p>
        </w:tc>
      </w:tr>
      <w:tr w14:paraId="3B80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00" w:type="pct"/>
            <w:vAlign w:val="center"/>
          </w:tcPr>
          <w:p w14:paraId="41F46915">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13</w:t>
            </w:r>
          </w:p>
        </w:tc>
        <w:tc>
          <w:tcPr>
            <w:tcW w:w="461" w:type="pct"/>
            <w:vAlign w:val="center"/>
          </w:tcPr>
          <w:p w14:paraId="251672D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省道103改建工程</w:t>
            </w:r>
          </w:p>
        </w:tc>
        <w:tc>
          <w:tcPr>
            <w:tcW w:w="344" w:type="pct"/>
            <w:vMerge w:val="continue"/>
            <w:vAlign w:val="center"/>
          </w:tcPr>
          <w:p w14:paraId="77DF4C9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58F52D9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区交运局</w:t>
            </w:r>
          </w:p>
        </w:tc>
        <w:tc>
          <w:tcPr>
            <w:tcW w:w="1542" w:type="pct"/>
            <w:vAlign w:val="center"/>
          </w:tcPr>
          <w:p w14:paraId="54252F5B">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b w:val="0"/>
                <w:bCs w:val="0"/>
                <w:color w:val="auto"/>
                <w:spacing w:val="-6"/>
                <w:sz w:val="21"/>
                <w:szCs w:val="21"/>
                <w:vertAlign w:val="baseline"/>
                <w:lang w:val="en-US" w:eastAsia="zh-CN"/>
              </w:rPr>
            </w:pPr>
            <w:r>
              <w:rPr>
                <w:rFonts w:hint="eastAsia" w:ascii="仿宋_GB2312" w:hAnsi="仿宋_GB2312" w:eastAsia="仿宋_GB2312" w:cs="仿宋_GB2312"/>
                <w:b w:val="0"/>
                <w:bCs w:val="0"/>
                <w:color w:val="auto"/>
                <w:szCs w:val="21"/>
                <w:highlight w:val="none"/>
                <w:shd w:val="clear" w:color="auto" w:fill="FFFFFF"/>
                <w:lang w:val="en-US" w:eastAsia="zh-CN"/>
              </w:rPr>
              <w:t>隧道工程：</w:t>
            </w:r>
            <w:r>
              <w:rPr>
                <w:rFonts w:hint="eastAsia" w:ascii="仿宋_GB2312" w:hAnsi="仿宋_GB2312" w:eastAsia="仿宋_GB2312" w:cs="仿宋_GB2312"/>
                <w:b w:val="0"/>
                <w:bCs w:val="0"/>
                <w:color w:val="auto"/>
                <w:spacing w:val="-6"/>
                <w:sz w:val="21"/>
                <w:szCs w:val="21"/>
                <w:vertAlign w:val="baseline"/>
                <w:lang w:val="en-US" w:eastAsia="zh-CN"/>
              </w:rPr>
              <w:t>黄山隧道完成52.6%，左右洞平均进尺261米。路基已完成，路面水稳铺设完成500米。</w:t>
            </w:r>
          </w:p>
          <w:p w14:paraId="29E2B0EF">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zCs w:val="21"/>
                <w:highlight w:val="none"/>
                <w:shd w:val="clear" w:color="auto" w:fill="FFFFFF"/>
                <w:lang w:val="en-US" w:eastAsia="zh-CN"/>
              </w:rPr>
              <w:t>桥梁工程：</w:t>
            </w:r>
            <w:r>
              <w:rPr>
                <w:rFonts w:hint="eastAsia" w:ascii="仿宋_GB2312" w:hAnsi="仿宋_GB2312" w:eastAsia="仿宋_GB2312" w:cs="仿宋_GB2312"/>
                <w:b w:val="0"/>
                <w:bCs w:val="0"/>
                <w:color w:val="auto"/>
                <w:spacing w:val="-6"/>
                <w:sz w:val="21"/>
                <w:szCs w:val="21"/>
                <w:vertAlign w:val="baseline"/>
                <w:lang w:val="en-US" w:eastAsia="zh-CN"/>
              </w:rPr>
              <w:t>桥梁完成梁板架设，正在进行桥面铺装，</w:t>
            </w:r>
          </w:p>
        </w:tc>
        <w:tc>
          <w:tcPr>
            <w:tcW w:w="992" w:type="pct"/>
            <w:vAlign w:val="center"/>
          </w:tcPr>
          <w:p w14:paraId="2D023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pacing w:val="0"/>
                <w:sz w:val="21"/>
                <w:szCs w:val="21"/>
                <w:highlight w:val="none"/>
                <w:shd w:val="clear" w:color="auto" w:fill="FFFFFF"/>
                <w:lang w:val="en-US" w:eastAsia="zh-CN"/>
              </w:rPr>
              <w:t>无</w:t>
            </w:r>
          </w:p>
        </w:tc>
        <w:tc>
          <w:tcPr>
            <w:tcW w:w="1104" w:type="pct"/>
            <w:vAlign w:val="center"/>
          </w:tcPr>
          <w:p w14:paraId="2DA676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6"/>
                <w:kern w:val="2"/>
                <w:sz w:val="21"/>
                <w:szCs w:val="21"/>
                <w:vertAlign w:val="baseline"/>
                <w:lang w:val="en-US" w:eastAsia="zh-CN" w:bidi="ar-SA"/>
              </w:rPr>
            </w:pPr>
            <w:r>
              <w:rPr>
                <w:rFonts w:hint="eastAsia" w:ascii="仿宋_GB2312" w:hAnsi="仿宋_GB2312" w:eastAsia="仿宋_GB2312" w:cs="仿宋_GB2312"/>
                <w:b w:val="0"/>
                <w:bCs w:val="0"/>
                <w:color w:val="auto"/>
                <w:spacing w:val="0"/>
                <w:sz w:val="21"/>
                <w:szCs w:val="21"/>
                <w:highlight w:val="none"/>
                <w:shd w:val="clear" w:color="auto" w:fill="FFFFFF"/>
                <w:lang w:val="en-US" w:eastAsia="zh-CN"/>
              </w:rPr>
              <w:t>确保安全前提下，快速推进工程建设。</w:t>
            </w:r>
          </w:p>
        </w:tc>
      </w:tr>
      <w:tr w14:paraId="074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4ACEDE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14</w:t>
            </w:r>
          </w:p>
        </w:tc>
        <w:tc>
          <w:tcPr>
            <w:tcW w:w="461" w:type="pct"/>
            <w:vAlign w:val="center"/>
          </w:tcPr>
          <w:p w14:paraId="73121C4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抱犊崮路升级改造工程</w:t>
            </w:r>
          </w:p>
        </w:tc>
        <w:tc>
          <w:tcPr>
            <w:tcW w:w="344" w:type="pct"/>
            <w:vMerge w:val="continue"/>
            <w:vAlign w:val="center"/>
          </w:tcPr>
          <w:p w14:paraId="462399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355" w:type="pct"/>
            <w:vAlign w:val="center"/>
          </w:tcPr>
          <w:p w14:paraId="621ED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区交运局</w:t>
            </w:r>
          </w:p>
        </w:tc>
        <w:tc>
          <w:tcPr>
            <w:tcW w:w="1542" w:type="pct"/>
            <w:vAlign w:val="center"/>
          </w:tcPr>
          <w:p w14:paraId="4ABB6C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1E052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p>
        </w:tc>
        <w:tc>
          <w:tcPr>
            <w:tcW w:w="1104" w:type="pct"/>
            <w:vAlign w:val="center"/>
          </w:tcPr>
          <w:p w14:paraId="4F26C59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p>
        </w:tc>
      </w:tr>
      <w:tr w14:paraId="1CB5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EC122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15</w:t>
            </w:r>
          </w:p>
        </w:tc>
        <w:tc>
          <w:tcPr>
            <w:tcW w:w="461" w:type="pct"/>
            <w:vAlign w:val="center"/>
          </w:tcPr>
          <w:p w14:paraId="5B4F04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新建美丽公路40公里</w:t>
            </w:r>
          </w:p>
        </w:tc>
        <w:tc>
          <w:tcPr>
            <w:tcW w:w="344" w:type="pct"/>
            <w:vMerge w:val="continue"/>
            <w:vAlign w:val="center"/>
          </w:tcPr>
          <w:p w14:paraId="78D0CF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355" w:type="pct"/>
            <w:vAlign w:val="center"/>
          </w:tcPr>
          <w:p w14:paraId="24E5D1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区交运局</w:t>
            </w:r>
          </w:p>
        </w:tc>
        <w:tc>
          <w:tcPr>
            <w:tcW w:w="1542" w:type="pct"/>
            <w:vAlign w:val="center"/>
          </w:tcPr>
          <w:p w14:paraId="3380B56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2AC7AD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p>
        </w:tc>
        <w:tc>
          <w:tcPr>
            <w:tcW w:w="1104" w:type="pct"/>
            <w:vAlign w:val="center"/>
          </w:tcPr>
          <w:p w14:paraId="4E33B6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1"/>
                <w:szCs w:val="21"/>
                <w:highlight w:val="none"/>
                <w:shd w:val="clear" w:color="auto" w:fill="FFFFFF"/>
                <w:lang w:val="en-US" w:eastAsia="zh-CN" w:bidi="ar-SA"/>
              </w:rPr>
            </w:pPr>
          </w:p>
        </w:tc>
      </w:tr>
      <w:tr w14:paraId="7AC3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0" w:type="pct"/>
            <w:vAlign w:val="center"/>
          </w:tcPr>
          <w:p w14:paraId="2A328B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16</w:t>
            </w:r>
          </w:p>
        </w:tc>
        <w:tc>
          <w:tcPr>
            <w:tcW w:w="461" w:type="pct"/>
            <w:vAlign w:val="center"/>
          </w:tcPr>
          <w:p w14:paraId="6B5634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新建美丽乡村30个</w:t>
            </w:r>
          </w:p>
        </w:tc>
        <w:tc>
          <w:tcPr>
            <w:tcW w:w="344" w:type="pct"/>
            <w:vAlign w:val="center"/>
          </w:tcPr>
          <w:p w14:paraId="6E6B5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区农业农村局</w:t>
            </w:r>
          </w:p>
        </w:tc>
        <w:tc>
          <w:tcPr>
            <w:tcW w:w="355" w:type="pct"/>
            <w:vAlign w:val="center"/>
          </w:tcPr>
          <w:p w14:paraId="1AB10F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区农业农村局</w:t>
            </w:r>
          </w:p>
        </w:tc>
        <w:tc>
          <w:tcPr>
            <w:tcW w:w="1542" w:type="pct"/>
            <w:vAlign w:val="center"/>
          </w:tcPr>
          <w:p w14:paraId="41CF9E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0BC2AE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022D58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677E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7788C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17</w:t>
            </w:r>
          </w:p>
        </w:tc>
        <w:tc>
          <w:tcPr>
            <w:tcW w:w="461" w:type="pct"/>
            <w:vAlign w:val="center"/>
          </w:tcPr>
          <w:p w14:paraId="230913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新建美丽庭院280个</w:t>
            </w:r>
          </w:p>
        </w:tc>
        <w:tc>
          <w:tcPr>
            <w:tcW w:w="344" w:type="pct"/>
            <w:vAlign w:val="center"/>
          </w:tcPr>
          <w:p w14:paraId="0120B4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区妇联</w:t>
            </w:r>
          </w:p>
        </w:tc>
        <w:tc>
          <w:tcPr>
            <w:tcW w:w="355" w:type="pct"/>
            <w:vAlign w:val="center"/>
          </w:tcPr>
          <w:p w14:paraId="283D00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区妇联</w:t>
            </w:r>
          </w:p>
        </w:tc>
        <w:tc>
          <w:tcPr>
            <w:tcW w:w="1542" w:type="pct"/>
            <w:vAlign w:val="center"/>
          </w:tcPr>
          <w:p w14:paraId="79AD5B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7DA00D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377D0DA0">
            <w:pPr>
              <w:keepNext w:val="0"/>
              <w:keepLines w:val="0"/>
              <w:pageBreakBefore w:val="0"/>
              <w:numPr>
                <w:ilvl w:val="0"/>
                <w:numId w:val="0"/>
              </w:numPr>
              <w:kinsoku/>
              <w:wordWrap/>
              <w:overflowPunct/>
              <w:topLinePunct w:val="0"/>
              <w:autoSpaceDE/>
              <w:autoSpaceDN/>
              <w:bidi w:val="0"/>
              <w:adjustRightInd/>
              <w:ind w:left="0" w:lef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p>
        </w:tc>
      </w:tr>
      <w:tr w14:paraId="536D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C28BC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18</w:t>
            </w:r>
          </w:p>
        </w:tc>
        <w:tc>
          <w:tcPr>
            <w:tcW w:w="461" w:type="pct"/>
            <w:vAlign w:val="center"/>
          </w:tcPr>
          <w:p w14:paraId="25E2C68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十字河中支河道治理工程</w:t>
            </w:r>
          </w:p>
        </w:tc>
        <w:tc>
          <w:tcPr>
            <w:tcW w:w="344" w:type="pct"/>
            <w:vMerge w:val="restart"/>
            <w:vAlign w:val="center"/>
          </w:tcPr>
          <w:p w14:paraId="1EB7F685">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区自然资源局</w:t>
            </w:r>
          </w:p>
        </w:tc>
        <w:tc>
          <w:tcPr>
            <w:tcW w:w="355" w:type="pct"/>
            <w:vAlign w:val="center"/>
          </w:tcPr>
          <w:p w14:paraId="7E8050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区城乡水务局</w:t>
            </w:r>
          </w:p>
          <w:p w14:paraId="5E8787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徐庄镇</w:t>
            </w:r>
          </w:p>
        </w:tc>
        <w:tc>
          <w:tcPr>
            <w:tcW w:w="1542" w:type="pct"/>
            <w:vAlign w:val="center"/>
          </w:tcPr>
          <w:p w14:paraId="7FE1ED9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7D7D2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6328159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5A85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0" w:type="pct"/>
            <w:vAlign w:val="center"/>
          </w:tcPr>
          <w:p w14:paraId="64F9CB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19</w:t>
            </w:r>
          </w:p>
        </w:tc>
        <w:tc>
          <w:tcPr>
            <w:tcW w:w="461" w:type="pct"/>
            <w:vAlign w:val="center"/>
          </w:tcPr>
          <w:p w14:paraId="4056C3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十字河南支河道治理工程</w:t>
            </w:r>
          </w:p>
        </w:tc>
        <w:tc>
          <w:tcPr>
            <w:tcW w:w="344" w:type="pct"/>
            <w:vMerge w:val="continue"/>
            <w:vAlign w:val="center"/>
          </w:tcPr>
          <w:p w14:paraId="4888FDCD">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4F8BB87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凫城镇</w:t>
            </w:r>
          </w:p>
        </w:tc>
        <w:tc>
          <w:tcPr>
            <w:tcW w:w="1542" w:type="pct"/>
            <w:vAlign w:val="center"/>
          </w:tcPr>
          <w:p w14:paraId="2B3EDD5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6B8826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139D028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337A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FB276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20</w:t>
            </w:r>
          </w:p>
        </w:tc>
        <w:tc>
          <w:tcPr>
            <w:tcW w:w="461" w:type="pct"/>
            <w:vAlign w:val="center"/>
          </w:tcPr>
          <w:p w14:paraId="2EAC666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峄城大沙河河道治理美丽幸福示范河湖提升工程</w:t>
            </w:r>
          </w:p>
        </w:tc>
        <w:tc>
          <w:tcPr>
            <w:tcW w:w="344" w:type="pct"/>
            <w:vMerge w:val="continue"/>
            <w:vAlign w:val="center"/>
          </w:tcPr>
          <w:p w14:paraId="5B1A8332">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31430AE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北庄镇</w:t>
            </w:r>
          </w:p>
        </w:tc>
        <w:tc>
          <w:tcPr>
            <w:tcW w:w="1542" w:type="pct"/>
            <w:vAlign w:val="center"/>
          </w:tcPr>
          <w:p w14:paraId="4C0942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479E7F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6ED7B6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396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00" w:type="pct"/>
            <w:vAlign w:val="center"/>
          </w:tcPr>
          <w:p w14:paraId="7E071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21</w:t>
            </w:r>
          </w:p>
        </w:tc>
        <w:tc>
          <w:tcPr>
            <w:tcW w:w="461" w:type="pct"/>
            <w:vAlign w:val="center"/>
          </w:tcPr>
          <w:p w14:paraId="1A8F01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凫城镇田庄村南（田庄</w:t>
            </w:r>
            <w:r>
              <w:rPr>
                <w:rStyle w:val="21"/>
                <w:rFonts w:hint="eastAsia" w:ascii="仿宋_GB2312" w:hAnsi="仿宋_GB2312" w:eastAsia="仿宋_GB2312" w:cs="仿宋_GB2312"/>
                <w:b w:val="0"/>
                <w:bCs w:val="0"/>
                <w:color w:val="auto"/>
                <w:spacing w:val="0"/>
                <w:kern w:val="21"/>
                <w:sz w:val="21"/>
                <w:szCs w:val="21"/>
                <w:highlight w:val="none"/>
                <w:lang w:val="en-US" w:eastAsia="zh-CN" w:bidi="ar"/>
              </w:rPr>
              <w:t>-</w:t>
            </w:r>
            <w:r>
              <w:rPr>
                <w:rStyle w:val="20"/>
                <w:rFonts w:hint="eastAsia" w:ascii="仿宋_GB2312" w:hAnsi="仿宋_GB2312" w:eastAsia="仿宋_GB2312" w:cs="仿宋_GB2312"/>
                <w:b w:val="0"/>
                <w:bCs w:val="0"/>
                <w:color w:val="auto"/>
                <w:spacing w:val="0"/>
                <w:kern w:val="21"/>
                <w:sz w:val="21"/>
                <w:szCs w:val="21"/>
                <w:highlight w:val="none"/>
                <w:lang w:val="en-US" w:eastAsia="zh-CN" w:bidi="ar"/>
              </w:rPr>
              <w:t>涝坡片区）破损山体治理工程</w:t>
            </w:r>
          </w:p>
        </w:tc>
        <w:tc>
          <w:tcPr>
            <w:tcW w:w="344" w:type="pct"/>
            <w:vMerge w:val="continue"/>
            <w:vAlign w:val="center"/>
          </w:tcPr>
          <w:p w14:paraId="71DCEC19">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63BE914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凫城镇</w:t>
            </w:r>
          </w:p>
        </w:tc>
        <w:tc>
          <w:tcPr>
            <w:tcW w:w="1542" w:type="pct"/>
            <w:vAlign w:val="center"/>
          </w:tcPr>
          <w:p w14:paraId="204179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40389A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310391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3FFD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671AF7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1"/>
                <w:rFonts w:hint="default" w:ascii="仿宋_GB2312" w:hAnsi="仿宋_GB2312" w:eastAsia="仿宋_GB2312" w:cs="仿宋_GB2312"/>
                <w:b w:val="0"/>
                <w:bCs w:val="0"/>
                <w:color w:val="auto"/>
                <w:spacing w:val="-11"/>
                <w:kern w:val="21"/>
                <w:sz w:val="21"/>
                <w:szCs w:val="21"/>
                <w:highlight w:val="none"/>
                <w:lang w:val="en-US" w:eastAsia="zh-CN" w:bidi="ar"/>
              </w:rPr>
            </w:pPr>
            <w:r>
              <w:rPr>
                <w:rStyle w:val="21"/>
                <w:rFonts w:hint="eastAsia" w:ascii="仿宋_GB2312" w:hAnsi="仿宋_GB2312" w:eastAsia="仿宋_GB2312" w:cs="仿宋_GB2312"/>
                <w:b w:val="0"/>
                <w:bCs w:val="0"/>
                <w:color w:val="auto"/>
                <w:spacing w:val="-11"/>
                <w:kern w:val="21"/>
                <w:sz w:val="21"/>
                <w:szCs w:val="21"/>
                <w:highlight w:val="none"/>
                <w:lang w:val="en-US" w:eastAsia="zh-CN" w:bidi="ar"/>
              </w:rPr>
              <w:t>22</w:t>
            </w:r>
          </w:p>
        </w:tc>
        <w:tc>
          <w:tcPr>
            <w:tcW w:w="461" w:type="pct"/>
            <w:vAlign w:val="center"/>
          </w:tcPr>
          <w:p w14:paraId="0226A2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1"/>
                <w:rFonts w:hint="eastAsia" w:ascii="仿宋_GB2312" w:hAnsi="仿宋_GB2312" w:eastAsia="仿宋_GB2312" w:cs="仿宋_GB2312"/>
                <w:b w:val="0"/>
                <w:bCs w:val="0"/>
                <w:color w:val="auto"/>
                <w:spacing w:val="-11"/>
                <w:kern w:val="21"/>
                <w:sz w:val="21"/>
                <w:szCs w:val="21"/>
                <w:highlight w:val="none"/>
                <w:lang w:val="en-US" w:eastAsia="zh-CN" w:bidi="ar"/>
              </w:rPr>
              <w:t>2023</w:t>
            </w:r>
            <w:r>
              <w:rPr>
                <w:rStyle w:val="20"/>
                <w:rFonts w:hint="eastAsia" w:ascii="仿宋_GB2312" w:hAnsi="仿宋_GB2312" w:eastAsia="仿宋_GB2312" w:cs="仿宋_GB2312"/>
                <w:b w:val="0"/>
                <w:bCs w:val="0"/>
                <w:color w:val="auto"/>
                <w:spacing w:val="-11"/>
                <w:kern w:val="21"/>
                <w:sz w:val="21"/>
                <w:szCs w:val="21"/>
                <w:highlight w:val="none"/>
                <w:lang w:val="en-US" w:eastAsia="zh-CN" w:bidi="ar"/>
              </w:rPr>
              <w:t>年荒山披绿工程</w:t>
            </w:r>
          </w:p>
        </w:tc>
        <w:tc>
          <w:tcPr>
            <w:tcW w:w="344" w:type="pct"/>
            <w:vMerge w:val="restart"/>
            <w:vAlign w:val="center"/>
          </w:tcPr>
          <w:p w14:paraId="767CB81A">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区自然资源局</w:t>
            </w:r>
          </w:p>
        </w:tc>
        <w:tc>
          <w:tcPr>
            <w:tcW w:w="355" w:type="pct"/>
            <w:vAlign w:val="center"/>
          </w:tcPr>
          <w:p w14:paraId="710DD77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区自然资源局</w:t>
            </w:r>
          </w:p>
        </w:tc>
        <w:tc>
          <w:tcPr>
            <w:tcW w:w="1542" w:type="pct"/>
            <w:vAlign w:val="center"/>
          </w:tcPr>
          <w:p w14:paraId="79F50B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06C00C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74CF8E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7C12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CD2C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i w:val="0"/>
                <w:i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23</w:t>
            </w:r>
          </w:p>
        </w:tc>
        <w:tc>
          <w:tcPr>
            <w:tcW w:w="461" w:type="pct"/>
            <w:vAlign w:val="center"/>
          </w:tcPr>
          <w:p w14:paraId="20888A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i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三山前村土地整治项目</w:t>
            </w:r>
          </w:p>
        </w:tc>
        <w:tc>
          <w:tcPr>
            <w:tcW w:w="344" w:type="pct"/>
            <w:vMerge w:val="continue"/>
            <w:vAlign w:val="center"/>
          </w:tcPr>
          <w:p w14:paraId="7F7CAC85">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4706269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山城街道</w:t>
            </w:r>
          </w:p>
        </w:tc>
        <w:tc>
          <w:tcPr>
            <w:tcW w:w="1542" w:type="pct"/>
            <w:vAlign w:val="center"/>
          </w:tcPr>
          <w:p w14:paraId="4EF26E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2D921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597ACB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151B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72A85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i w:val="0"/>
                <w:i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24</w:t>
            </w:r>
          </w:p>
        </w:tc>
        <w:tc>
          <w:tcPr>
            <w:tcW w:w="461" w:type="pct"/>
            <w:vAlign w:val="center"/>
          </w:tcPr>
          <w:p w14:paraId="6A734A2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i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店韩路快速通道提升改造工程</w:t>
            </w:r>
          </w:p>
        </w:tc>
        <w:tc>
          <w:tcPr>
            <w:tcW w:w="344" w:type="pct"/>
            <w:vMerge w:val="continue"/>
            <w:vAlign w:val="center"/>
          </w:tcPr>
          <w:p w14:paraId="7BC5B910">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75C2794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区交运局</w:t>
            </w:r>
          </w:p>
          <w:p w14:paraId="3CEDBBB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交发集团</w:t>
            </w:r>
          </w:p>
        </w:tc>
        <w:tc>
          <w:tcPr>
            <w:tcW w:w="1542" w:type="pct"/>
            <w:vAlign w:val="center"/>
          </w:tcPr>
          <w:p w14:paraId="3C53E9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EC573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2F0E5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77E4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4AF9A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i w:val="0"/>
                <w:i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25</w:t>
            </w:r>
          </w:p>
        </w:tc>
        <w:tc>
          <w:tcPr>
            <w:tcW w:w="461" w:type="pct"/>
            <w:vAlign w:val="center"/>
          </w:tcPr>
          <w:p w14:paraId="55849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i w:val="0"/>
                <w:iCs w:val="0"/>
                <w:color w:val="auto"/>
                <w:spacing w:val="0"/>
                <w:kern w:val="21"/>
                <w:sz w:val="21"/>
                <w:szCs w:val="21"/>
                <w:highlight w:val="none"/>
                <w:lang w:val="en-US" w:eastAsia="zh-CN" w:bidi="ar"/>
              </w:rPr>
              <w:t>滕水中路提升工程</w:t>
            </w:r>
          </w:p>
        </w:tc>
        <w:tc>
          <w:tcPr>
            <w:tcW w:w="344" w:type="pct"/>
            <w:vMerge w:val="continue"/>
            <w:vAlign w:val="center"/>
          </w:tcPr>
          <w:p w14:paraId="59B29849">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7E4CAF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城头镇</w:t>
            </w:r>
          </w:p>
        </w:tc>
        <w:tc>
          <w:tcPr>
            <w:tcW w:w="1542" w:type="pct"/>
            <w:vAlign w:val="center"/>
          </w:tcPr>
          <w:p w14:paraId="46B5930F">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892C0D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1C23E83D">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color w:val="auto"/>
                <w:kern w:val="21"/>
                <w:sz w:val="21"/>
                <w:szCs w:val="21"/>
                <w:highlight w:val="none"/>
                <w:lang w:val="en-US" w:eastAsia="zh-CN" w:bidi="ar-SA"/>
              </w:rPr>
            </w:pPr>
          </w:p>
        </w:tc>
      </w:tr>
      <w:tr w14:paraId="4EC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643F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26</w:t>
            </w:r>
          </w:p>
        </w:tc>
        <w:tc>
          <w:tcPr>
            <w:tcW w:w="461" w:type="pct"/>
            <w:vAlign w:val="center"/>
          </w:tcPr>
          <w:p w14:paraId="601C8A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多彩城河提升工程</w:t>
            </w:r>
          </w:p>
        </w:tc>
        <w:tc>
          <w:tcPr>
            <w:tcW w:w="344" w:type="pct"/>
            <w:vMerge w:val="continue"/>
            <w:vAlign w:val="center"/>
          </w:tcPr>
          <w:p w14:paraId="56B0FB10">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2B1AB01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区城乡水务局</w:t>
            </w:r>
          </w:p>
          <w:p w14:paraId="23DAD74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城头镇</w:t>
            </w:r>
          </w:p>
        </w:tc>
        <w:tc>
          <w:tcPr>
            <w:tcW w:w="1542" w:type="pct"/>
            <w:vAlign w:val="center"/>
          </w:tcPr>
          <w:p w14:paraId="6E6E56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B8828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7455F46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11A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CA4D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z w:val="21"/>
                <w:szCs w:val="21"/>
                <w:highlight w:val="none"/>
                <w:lang w:val="en-US" w:eastAsia="zh-CN" w:bidi="ar"/>
              </w:rPr>
            </w:pPr>
            <w:r>
              <w:rPr>
                <w:rStyle w:val="20"/>
                <w:rFonts w:hint="eastAsia" w:ascii="仿宋_GB2312" w:hAnsi="仿宋_GB2312" w:eastAsia="仿宋_GB2312" w:cs="仿宋_GB2312"/>
                <w:b w:val="0"/>
                <w:bCs w:val="0"/>
                <w:color w:val="auto"/>
                <w:sz w:val="21"/>
                <w:szCs w:val="21"/>
                <w:highlight w:val="none"/>
                <w:lang w:val="en-US" w:eastAsia="zh-CN" w:bidi="ar"/>
              </w:rPr>
              <w:t>27</w:t>
            </w:r>
          </w:p>
        </w:tc>
        <w:tc>
          <w:tcPr>
            <w:tcW w:w="461" w:type="pct"/>
            <w:vAlign w:val="center"/>
          </w:tcPr>
          <w:p w14:paraId="46E0C9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z w:val="21"/>
                <w:szCs w:val="21"/>
                <w:highlight w:val="none"/>
                <w:lang w:val="en-US" w:eastAsia="zh-CN" w:bidi="ar"/>
              </w:rPr>
              <w:t>辛庄和美乡村工程</w:t>
            </w:r>
          </w:p>
        </w:tc>
        <w:tc>
          <w:tcPr>
            <w:tcW w:w="344" w:type="pct"/>
            <w:vMerge w:val="continue"/>
            <w:vAlign w:val="center"/>
          </w:tcPr>
          <w:p w14:paraId="3F270555">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0EC63657">
            <w:pPr>
              <w:keepNext w:val="0"/>
              <w:keepLines w:val="0"/>
              <w:pageBreakBefore w:val="0"/>
              <w:kinsoku/>
              <w:wordWrap/>
              <w:overflowPunct/>
              <w:topLinePunct w:val="0"/>
              <w:autoSpaceDE/>
              <w:autoSpaceDN/>
              <w:bidi w:val="0"/>
              <w:adjustRightInd/>
              <w:spacing w:line="320" w:lineRule="exact"/>
              <w:jc w:val="center"/>
              <w:rPr>
                <w:rFonts w:hint="eastAsia" w:ascii="仿宋_GB2312" w:hAnsi="仿宋_GB2312" w:eastAsia="仿宋_GB2312" w:cs="仿宋_GB2312"/>
                <w:b w:val="0"/>
                <w:bCs w:val="0"/>
                <w:color w:val="auto"/>
                <w:kern w:val="2"/>
                <w:sz w:val="21"/>
                <w:szCs w:val="21"/>
                <w:highlight w:val="none"/>
                <w:lang w:val="en-US" w:eastAsia="zh-CN" w:bidi="ar-SA"/>
              </w:rPr>
            </w:pPr>
            <w:r>
              <w:rPr>
                <w:rStyle w:val="20"/>
                <w:rFonts w:hint="eastAsia" w:ascii="仿宋_GB2312" w:hAnsi="仿宋_GB2312" w:eastAsia="仿宋_GB2312" w:cs="仿宋_GB2312"/>
                <w:b w:val="0"/>
                <w:bCs w:val="0"/>
                <w:color w:val="auto"/>
                <w:sz w:val="21"/>
                <w:szCs w:val="21"/>
                <w:highlight w:val="none"/>
                <w:lang w:val="en-US" w:eastAsia="zh-CN" w:bidi="ar"/>
              </w:rPr>
              <w:t>桑村镇</w:t>
            </w:r>
          </w:p>
        </w:tc>
        <w:tc>
          <w:tcPr>
            <w:tcW w:w="1542" w:type="pct"/>
            <w:vAlign w:val="center"/>
          </w:tcPr>
          <w:p w14:paraId="38696CAB">
            <w:pPr>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63CAAD57">
            <w:pPr>
              <w:jc w:val="center"/>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08795150">
            <w:pPr>
              <w:jc w:val="center"/>
              <w:rPr>
                <w:rFonts w:hint="eastAsia" w:ascii="仿宋_GB2312" w:hAnsi="仿宋_GB2312" w:eastAsia="仿宋_GB2312" w:cs="仿宋_GB2312"/>
                <w:b w:val="0"/>
                <w:bCs w:val="0"/>
                <w:color w:val="auto"/>
                <w:kern w:val="21"/>
                <w:sz w:val="21"/>
                <w:szCs w:val="21"/>
                <w:highlight w:val="none"/>
                <w:lang w:val="en-US" w:eastAsia="zh-CN" w:bidi="ar-SA"/>
              </w:rPr>
            </w:pPr>
          </w:p>
        </w:tc>
      </w:tr>
      <w:tr w14:paraId="6EE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0518E9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z w:val="21"/>
                <w:szCs w:val="21"/>
                <w:highlight w:val="none"/>
                <w:lang w:val="en-US" w:eastAsia="zh-CN" w:bidi="ar"/>
              </w:rPr>
            </w:pPr>
            <w:r>
              <w:rPr>
                <w:rStyle w:val="20"/>
                <w:rFonts w:hint="eastAsia" w:ascii="仿宋_GB2312" w:hAnsi="仿宋_GB2312" w:eastAsia="仿宋_GB2312" w:cs="仿宋_GB2312"/>
                <w:b w:val="0"/>
                <w:bCs w:val="0"/>
                <w:color w:val="auto"/>
                <w:sz w:val="21"/>
                <w:szCs w:val="21"/>
                <w:highlight w:val="none"/>
                <w:lang w:val="en-US" w:eastAsia="zh-CN" w:bidi="ar"/>
              </w:rPr>
              <w:t>28</w:t>
            </w:r>
          </w:p>
        </w:tc>
        <w:tc>
          <w:tcPr>
            <w:tcW w:w="461" w:type="pct"/>
            <w:vAlign w:val="center"/>
          </w:tcPr>
          <w:p w14:paraId="73D54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z w:val="21"/>
                <w:szCs w:val="21"/>
                <w:highlight w:val="none"/>
                <w:lang w:val="en-US" w:eastAsia="zh-CN" w:bidi="ar"/>
              </w:rPr>
              <w:t>漷河支流治理工程（斗城）</w:t>
            </w:r>
          </w:p>
        </w:tc>
        <w:tc>
          <w:tcPr>
            <w:tcW w:w="344" w:type="pct"/>
            <w:vMerge w:val="continue"/>
            <w:vAlign w:val="center"/>
          </w:tcPr>
          <w:p w14:paraId="5BBF477F">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40CBFF71">
            <w:pPr>
              <w:keepNext w:val="0"/>
              <w:keepLines w:val="0"/>
              <w:pageBreakBefore w:val="0"/>
              <w:kinsoku/>
              <w:wordWrap/>
              <w:overflowPunct/>
              <w:topLinePunct w:val="0"/>
              <w:autoSpaceDE/>
              <w:autoSpaceDN/>
              <w:bidi w:val="0"/>
              <w:adjustRightInd/>
              <w:spacing w:line="320" w:lineRule="exact"/>
              <w:jc w:val="center"/>
              <w:rPr>
                <w:rFonts w:hint="eastAsia" w:ascii="仿宋_GB2312" w:hAnsi="仿宋_GB2312" w:eastAsia="仿宋_GB2312" w:cs="仿宋_GB2312"/>
                <w:b w:val="0"/>
                <w:bCs w:val="0"/>
                <w:color w:val="auto"/>
                <w:kern w:val="2"/>
                <w:sz w:val="21"/>
                <w:szCs w:val="21"/>
                <w:highlight w:val="none"/>
                <w:lang w:val="en-US" w:eastAsia="zh-CN" w:bidi="ar-SA"/>
              </w:rPr>
            </w:pPr>
            <w:r>
              <w:rPr>
                <w:rStyle w:val="20"/>
                <w:rFonts w:hint="eastAsia" w:ascii="仿宋_GB2312" w:hAnsi="仿宋_GB2312" w:eastAsia="仿宋_GB2312" w:cs="仿宋_GB2312"/>
                <w:b w:val="0"/>
                <w:bCs w:val="0"/>
                <w:color w:val="auto"/>
                <w:sz w:val="21"/>
                <w:szCs w:val="21"/>
                <w:highlight w:val="none"/>
                <w:lang w:val="en-US" w:eastAsia="zh-CN" w:bidi="ar"/>
              </w:rPr>
              <w:t>桑村镇</w:t>
            </w:r>
          </w:p>
        </w:tc>
        <w:tc>
          <w:tcPr>
            <w:tcW w:w="1542" w:type="pct"/>
            <w:vAlign w:val="center"/>
          </w:tcPr>
          <w:p w14:paraId="3FAE0E9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HAnsi" w:hAnsiTheme="minorHAnsi" w:eastAsiaTheme="minorEastAsia" w:cstheme="minorBidi"/>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D1265D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570F71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540D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6EA62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29</w:t>
            </w:r>
          </w:p>
        </w:tc>
        <w:tc>
          <w:tcPr>
            <w:tcW w:w="461" w:type="pct"/>
            <w:vAlign w:val="center"/>
          </w:tcPr>
          <w:p w14:paraId="6D1352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岩马湖上游（城郭河段）环湖绿道提升项目</w:t>
            </w:r>
          </w:p>
        </w:tc>
        <w:tc>
          <w:tcPr>
            <w:tcW w:w="344" w:type="pct"/>
            <w:vMerge w:val="continue"/>
            <w:vAlign w:val="center"/>
          </w:tcPr>
          <w:p w14:paraId="06447239">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39427B0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店子镇</w:t>
            </w:r>
          </w:p>
        </w:tc>
        <w:tc>
          <w:tcPr>
            <w:tcW w:w="1542" w:type="pct"/>
            <w:vAlign w:val="center"/>
          </w:tcPr>
          <w:p w14:paraId="41D4882F">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0FD42C7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5232C1C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color w:val="auto"/>
                <w:kern w:val="21"/>
                <w:sz w:val="21"/>
                <w:szCs w:val="21"/>
                <w:highlight w:val="none"/>
                <w:lang w:val="en-US" w:eastAsia="zh-CN" w:bidi="ar-SA"/>
              </w:rPr>
            </w:pPr>
          </w:p>
        </w:tc>
      </w:tr>
      <w:tr w14:paraId="3E51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F8B2F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30</w:t>
            </w:r>
          </w:p>
        </w:tc>
        <w:tc>
          <w:tcPr>
            <w:tcW w:w="461" w:type="pct"/>
            <w:vAlign w:val="center"/>
          </w:tcPr>
          <w:p w14:paraId="77895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龙河湿地提升工程</w:t>
            </w:r>
          </w:p>
        </w:tc>
        <w:tc>
          <w:tcPr>
            <w:tcW w:w="344" w:type="pct"/>
            <w:vMerge w:val="continue"/>
            <w:vAlign w:val="center"/>
          </w:tcPr>
          <w:p w14:paraId="32CEEFB1">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1094B2F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西集镇</w:t>
            </w:r>
          </w:p>
        </w:tc>
        <w:tc>
          <w:tcPr>
            <w:tcW w:w="1542" w:type="pct"/>
            <w:vAlign w:val="center"/>
          </w:tcPr>
          <w:p w14:paraId="2D018E70">
            <w:pP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706753F">
            <w:pPr>
              <w:jc w:val="center"/>
              <w:rPr>
                <w:rFonts w:hint="eastAsia" w:ascii="仿宋_GB2312" w:hAnsi="仿宋_GB2312" w:eastAsia="仿宋_GB2312" w:cs="仿宋_GB2312"/>
                <w:b w:val="0"/>
                <w:bCs w:val="0"/>
                <w:color w:val="auto"/>
                <w:kern w:val="2"/>
                <w:sz w:val="21"/>
                <w:szCs w:val="21"/>
                <w:lang w:val="en-US" w:eastAsia="zh-CN" w:bidi="ar-SA"/>
              </w:rPr>
            </w:pPr>
          </w:p>
        </w:tc>
        <w:tc>
          <w:tcPr>
            <w:tcW w:w="1104" w:type="pct"/>
            <w:vAlign w:val="center"/>
          </w:tcPr>
          <w:p w14:paraId="30AC5FCC">
            <w:pPr>
              <w:rPr>
                <w:rFonts w:hint="eastAsia" w:ascii="仿宋_GB2312" w:hAnsi="仿宋_GB2312" w:eastAsia="仿宋_GB2312" w:cs="仿宋_GB2312"/>
                <w:b w:val="0"/>
                <w:bCs w:val="0"/>
                <w:color w:val="auto"/>
                <w:kern w:val="2"/>
                <w:sz w:val="21"/>
                <w:szCs w:val="21"/>
                <w:lang w:val="en-US" w:eastAsia="zh-CN" w:bidi="ar-SA"/>
              </w:rPr>
            </w:pPr>
          </w:p>
        </w:tc>
      </w:tr>
      <w:tr w14:paraId="0602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61A249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31</w:t>
            </w:r>
          </w:p>
        </w:tc>
        <w:tc>
          <w:tcPr>
            <w:tcW w:w="461" w:type="pct"/>
            <w:vAlign w:val="center"/>
          </w:tcPr>
          <w:p w14:paraId="491025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口袋公园提升工程</w:t>
            </w:r>
          </w:p>
        </w:tc>
        <w:tc>
          <w:tcPr>
            <w:tcW w:w="344" w:type="pct"/>
            <w:vMerge w:val="continue"/>
            <w:vAlign w:val="center"/>
          </w:tcPr>
          <w:p w14:paraId="21E84CDE">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038F926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区综合行政</w:t>
            </w:r>
          </w:p>
          <w:p w14:paraId="1475A02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执法局</w:t>
            </w:r>
          </w:p>
          <w:p w14:paraId="7D4441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山城街道</w:t>
            </w:r>
          </w:p>
        </w:tc>
        <w:tc>
          <w:tcPr>
            <w:tcW w:w="1542" w:type="pct"/>
            <w:vAlign w:val="center"/>
          </w:tcPr>
          <w:p w14:paraId="10AAA77A">
            <w:pPr>
              <w:keepNext w:val="0"/>
              <w:keepLines w:val="0"/>
              <w:pageBreakBefore w:val="0"/>
              <w:widowControl w:val="0"/>
              <w:tabs>
                <w:tab w:val="left" w:pos="1942"/>
              </w:tabs>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0543CF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0F9AF3F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136A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75AD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32</w:t>
            </w:r>
          </w:p>
        </w:tc>
        <w:tc>
          <w:tcPr>
            <w:tcW w:w="461" w:type="pct"/>
            <w:vAlign w:val="center"/>
          </w:tcPr>
          <w:p w14:paraId="4FB1F2D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李山头小流域水土保持项目</w:t>
            </w:r>
          </w:p>
        </w:tc>
        <w:tc>
          <w:tcPr>
            <w:tcW w:w="344" w:type="pct"/>
            <w:vMerge w:val="continue"/>
            <w:vAlign w:val="center"/>
          </w:tcPr>
          <w:p w14:paraId="35129E46">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4"/>
                <w:highlight w:val="none"/>
                <w:lang w:val="en-US" w:eastAsia="zh-CN" w:bidi="ar-SA"/>
              </w:rPr>
            </w:pPr>
          </w:p>
        </w:tc>
        <w:tc>
          <w:tcPr>
            <w:tcW w:w="355" w:type="pct"/>
            <w:vAlign w:val="center"/>
          </w:tcPr>
          <w:p w14:paraId="5D48FD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区城乡水务局</w:t>
            </w:r>
            <w:r>
              <w:rPr>
                <w:rFonts w:hint="eastAsia" w:ascii="仿宋_GB2312" w:hAnsi="仿宋_GB2312" w:eastAsia="仿宋_GB2312" w:cs="仿宋_GB2312"/>
                <w:b w:val="0"/>
                <w:bCs w:val="0"/>
                <w:color w:val="auto"/>
                <w:spacing w:val="0"/>
                <w:kern w:val="21"/>
                <w:szCs w:val="21"/>
                <w:highlight w:val="none"/>
                <w:lang w:val="en-US" w:eastAsia="zh-CN"/>
              </w:rPr>
              <w:t>西集镇</w:t>
            </w:r>
          </w:p>
        </w:tc>
        <w:tc>
          <w:tcPr>
            <w:tcW w:w="1542" w:type="pct"/>
            <w:vAlign w:val="center"/>
          </w:tcPr>
          <w:p w14:paraId="59BA483F">
            <w:pPr>
              <w:widowControl/>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70B74D19">
            <w:pPr>
              <w:spacing w:line="260" w:lineRule="exact"/>
              <w:jc w:val="center"/>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1EFBFC0F">
            <w:pPr>
              <w:spacing w:line="260" w:lineRule="exact"/>
              <w:rPr>
                <w:rFonts w:hint="eastAsia" w:ascii="仿宋_GB2312" w:hAnsi="仿宋_GB2312" w:eastAsia="仿宋_GB2312" w:cs="仿宋_GB2312"/>
                <w:b w:val="0"/>
                <w:bCs w:val="0"/>
                <w:color w:val="auto"/>
                <w:kern w:val="2"/>
                <w:sz w:val="21"/>
                <w:szCs w:val="21"/>
                <w:highlight w:val="none"/>
                <w:lang w:val="en-US" w:eastAsia="zh-CN" w:bidi="ar-SA"/>
              </w:rPr>
            </w:pPr>
          </w:p>
        </w:tc>
      </w:tr>
      <w:tr w14:paraId="3A9A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121A9697">
            <w:pPr>
              <w:widowControl/>
              <w:jc w:val="center"/>
              <w:rPr>
                <w:rFonts w:hint="default"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bidi="ar-SA"/>
              </w:rPr>
              <w:t>33</w:t>
            </w:r>
          </w:p>
        </w:tc>
        <w:tc>
          <w:tcPr>
            <w:tcW w:w="461" w:type="pct"/>
            <w:vAlign w:val="center"/>
          </w:tcPr>
          <w:p w14:paraId="0032B02C">
            <w:pPr>
              <w:widowControl/>
              <w:jc w:val="left"/>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bidi="ar-SA"/>
              </w:rPr>
              <w:t>森林村创建工程</w:t>
            </w:r>
          </w:p>
        </w:tc>
        <w:tc>
          <w:tcPr>
            <w:tcW w:w="344" w:type="pct"/>
            <w:vMerge w:val="continue"/>
            <w:vAlign w:val="center"/>
          </w:tcPr>
          <w:p w14:paraId="79FCDF77">
            <w:pPr>
              <w:widowControl/>
              <w:jc w:val="left"/>
              <w:rPr>
                <w:rFonts w:hint="eastAsia" w:ascii="仿宋_GB2312" w:hAnsi="仿宋_GB2312" w:eastAsia="仿宋_GB2312" w:cs="仿宋_GB2312"/>
                <w:b w:val="0"/>
                <w:bCs w:val="0"/>
                <w:color w:val="auto"/>
                <w:kern w:val="21"/>
                <w:sz w:val="21"/>
                <w:szCs w:val="21"/>
                <w:highlight w:val="none"/>
                <w:lang w:val="en-US" w:eastAsia="zh-CN" w:bidi="ar-SA"/>
              </w:rPr>
            </w:pPr>
          </w:p>
        </w:tc>
        <w:tc>
          <w:tcPr>
            <w:tcW w:w="355" w:type="pct"/>
            <w:vAlign w:val="center"/>
          </w:tcPr>
          <w:p w14:paraId="66C46ECB">
            <w:pPr>
              <w:widowControl/>
              <w:jc w:val="center"/>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bidi="ar-SA"/>
              </w:rPr>
              <w:t>区自然资源局</w:t>
            </w:r>
          </w:p>
        </w:tc>
        <w:tc>
          <w:tcPr>
            <w:tcW w:w="1542" w:type="pct"/>
            <w:vAlign w:val="center"/>
          </w:tcPr>
          <w:p w14:paraId="6E09C0FB">
            <w:pPr>
              <w:widowControl/>
              <w:jc w:val="left"/>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7038EAB9">
            <w:pPr>
              <w:pStyle w:val="28"/>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firstLine="0" w:firstLineChars="0"/>
              <w:jc w:val="center"/>
              <w:textAlignment w:val="baseline"/>
              <w:rPr>
                <w:rFonts w:hint="default"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355AA53A">
            <w:pPr>
              <w:pStyle w:val="28"/>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firstLine="0" w:firstLineChars="0"/>
              <w:jc w:val="both"/>
              <w:textAlignment w:val="baseline"/>
              <w:rPr>
                <w:rFonts w:hint="eastAsia" w:ascii="仿宋_GB2312" w:hAnsi="仿宋_GB2312" w:eastAsia="仿宋_GB2312" w:cs="仿宋_GB2312"/>
                <w:b w:val="0"/>
                <w:bCs w:val="0"/>
                <w:color w:val="auto"/>
                <w:kern w:val="21"/>
                <w:sz w:val="21"/>
                <w:szCs w:val="21"/>
                <w:highlight w:val="none"/>
                <w:lang w:val="en-US" w:eastAsia="zh-CN" w:bidi="ar-SA"/>
              </w:rPr>
            </w:pPr>
          </w:p>
        </w:tc>
      </w:tr>
      <w:tr w14:paraId="110C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2BEF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34</w:t>
            </w:r>
          </w:p>
        </w:tc>
        <w:tc>
          <w:tcPr>
            <w:tcW w:w="461" w:type="pct"/>
            <w:vAlign w:val="center"/>
          </w:tcPr>
          <w:p w14:paraId="538B5C6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山亭区重大林业有害生物防控工程</w:t>
            </w:r>
          </w:p>
        </w:tc>
        <w:tc>
          <w:tcPr>
            <w:tcW w:w="344" w:type="pct"/>
            <w:vMerge w:val="continue"/>
            <w:vAlign w:val="center"/>
          </w:tcPr>
          <w:p w14:paraId="4F2E70AD">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0EDEBB2F">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区自然资源局</w:t>
            </w:r>
          </w:p>
        </w:tc>
        <w:tc>
          <w:tcPr>
            <w:tcW w:w="1542" w:type="pct"/>
            <w:vAlign w:val="center"/>
          </w:tcPr>
          <w:p w14:paraId="60ADFC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49446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31431D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7508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0E6F15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35</w:t>
            </w:r>
          </w:p>
        </w:tc>
        <w:tc>
          <w:tcPr>
            <w:tcW w:w="461" w:type="pct"/>
            <w:vAlign w:val="center"/>
          </w:tcPr>
          <w:p w14:paraId="28ED13E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零碳·智慧农业谷项目</w:t>
            </w:r>
          </w:p>
        </w:tc>
        <w:tc>
          <w:tcPr>
            <w:tcW w:w="344" w:type="pct"/>
            <w:vMerge w:val="continue"/>
            <w:vAlign w:val="center"/>
          </w:tcPr>
          <w:p w14:paraId="7105F27F">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785F77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区乡村振兴局徐庄镇</w:t>
            </w:r>
          </w:p>
        </w:tc>
        <w:tc>
          <w:tcPr>
            <w:tcW w:w="1542" w:type="pct"/>
            <w:vAlign w:val="center"/>
          </w:tcPr>
          <w:p w14:paraId="39CF1D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73A03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7E3DE6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0311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2BC094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36</w:t>
            </w:r>
          </w:p>
        </w:tc>
        <w:tc>
          <w:tcPr>
            <w:tcW w:w="461" w:type="pct"/>
            <w:vAlign w:val="center"/>
          </w:tcPr>
          <w:p w14:paraId="62F1D17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现代高效火樱桃育苗基地项目</w:t>
            </w:r>
          </w:p>
        </w:tc>
        <w:tc>
          <w:tcPr>
            <w:tcW w:w="344" w:type="pct"/>
            <w:vMerge w:val="continue"/>
            <w:vAlign w:val="center"/>
          </w:tcPr>
          <w:p w14:paraId="4BF8FBDF">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0FC81C1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水泉镇</w:t>
            </w:r>
          </w:p>
        </w:tc>
        <w:tc>
          <w:tcPr>
            <w:tcW w:w="1542" w:type="pct"/>
            <w:vAlign w:val="center"/>
          </w:tcPr>
          <w:p w14:paraId="2175101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079D1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707E283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r>
      <w:tr w14:paraId="0B0A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77593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11"/>
                <w:kern w:val="21"/>
                <w:sz w:val="21"/>
                <w:szCs w:val="21"/>
                <w:highlight w:val="none"/>
                <w:lang w:val="en-US" w:eastAsia="zh-CN" w:bidi="ar"/>
              </w:rPr>
            </w:pPr>
            <w:r>
              <w:rPr>
                <w:rStyle w:val="20"/>
                <w:rFonts w:hint="eastAsia" w:ascii="仿宋_GB2312" w:hAnsi="仿宋_GB2312" w:eastAsia="仿宋_GB2312" w:cs="仿宋_GB2312"/>
                <w:b w:val="0"/>
                <w:bCs w:val="0"/>
                <w:color w:val="auto"/>
                <w:spacing w:val="-11"/>
                <w:kern w:val="21"/>
                <w:sz w:val="21"/>
                <w:szCs w:val="21"/>
                <w:highlight w:val="none"/>
                <w:lang w:val="en-US" w:eastAsia="zh-CN" w:bidi="ar"/>
              </w:rPr>
              <w:t>37</w:t>
            </w:r>
          </w:p>
        </w:tc>
        <w:tc>
          <w:tcPr>
            <w:tcW w:w="461" w:type="pct"/>
            <w:vAlign w:val="center"/>
          </w:tcPr>
          <w:p w14:paraId="35260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11"/>
                <w:kern w:val="21"/>
                <w:sz w:val="21"/>
                <w:szCs w:val="21"/>
                <w:highlight w:val="none"/>
                <w:lang w:val="en-US" w:eastAsia="zh-CN" w:bidi="ar"/>
              </w:rPr>
              <w:t>龙庄现代农业示范园</w:t>
            </w:r>
          </w:p>
        </w:tc>
        <w:tc>
          <w:tcPr>
            <w:tcW w:w="344" w:type="pct"/>
            <w:vMerge w:val="continue"/>
            <w:vAlign w:val="center"/>
          </w:tcPr>
          <w:p w14:paraId="2B93392C">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43DD003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水泉镇</w:t>
            </w:r>
          </w:p>
        </w:tc>
        <w:tc>
          <w:tcPr>
            <w:tcW w:w="1542" w:type="pct"/>
            <w:vAlign w:val="center"/>
          </w:tcPr>
          <w:p w14:paraId="237F61E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790652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23B68A6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1F72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7F0BCC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38</w:t>
            </w:r>
          </w:p>
        </w:tc>
        <w:tc>
          <w:tcPr>
            <w:tcW w:w="461" w:type="pct"/>
            <w:vAlign w:val="center"/>
          </w:tcPr>
          <w:p w14:paraId="79890A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百里画廊项目</w:t>
            </w:r>
          </w:p>
        </w:tc>
        <w:tc>
          <w:tcPr>
            <w:tcW w:w="344" w:type="pct"/>
            <w:vMerge w:val="restart"/>
            <w:vAlign w:val="center"/>
          </w:tcPr>
          <w:p w14:paraId="58F1DC17">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区自然资源局</w:t>
            </w:r>
          </w:p>
        </w:tc>
        <w:tc>
          <w:tcPr>
            <w:tcW w:w="355" w:type="pct"/>
            <w:vAlign w:val="center"/>
          </w:tcPr>
          <w:p w14:paraId="0EA38B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区农业农村局</w:t>
            </w:r>
          </w:p>
          <w:p w14:paraId="25CC2B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徐庄镇</w:t>
            </w:r>
          </w:p>
        </w:tc>
        <w:tc>
          <w:tcPr>
            <w:tcW w:w="1542" w:type="pct"/>
            <w:vAlign w:val="center"/>
          </w:tcPr>
          <w:p w14:paraId="5F8DCA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17BDAA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7077683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pacing w:val="-11"/>
                <w:kern w:val="21"/>
                <w:sz w:val="21"/>
                <w:szCs w:val="21"/>
                <w:highlight w:val="none"/>
                <w:lang w:val="en-US" w:eastAsia="zh-CN" w:bidi="ar-SA"/>
              </w:rPr>
            </w:pPr>
          </w:p>
        </w:tc>
      </w:tr>
      <w:tr w14:paraId="20EF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00" w:type="pct"/>
            <w:vAlign w:val="center"/>
          </w:tcPr>
          <w:p w14:paraId="39851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2"/>
                <w:rFonts w:hint="default" w:ascii="仿宋_GB2312" w:hAnsi="仿宋_GB2312" w:eastAsia="仿宋_GB2312" w:cs="仿宋_GB2312"/>
                <w:b w:val="0"/>
                <w:bCs w:val="0"/>
                <w:color w:val="auto"/>
                <w:spacing w:val="0"/>
                <w:kern w:val="21"/>
                <w:sz w:val="21"/>
                <w:szCs w:val="21"/>
                <w:highlight w:val="none"/>
                <w:lang w:val="en-US" w:eastAsia="zh-CN" w:bidi="ar"/>
              </w:rPr>
            </w:pPr>
            <w:r>
              <w:rPr>
                <w:rStyle w:val="22"/>
                <w:rFonts w:hint="eastAsia" w:ascii="仿宋_GB2312" w:hAnsi="仿宋_GB2312" w:eastAsia="仿宋_GB2312" w:cs="仿宋_GB2312"/>
                <w:b w:val="0"/>
                <w:bCs w:val="0"/>
                <w:color w:val="auto"/>
                <w:spacing w:val="0"/>
                <w:kern w:val="21"/>
                <w:sz w:val="21"/>
                <w:szCs w:val="21"/>
                <w:highlight w:val="none"/>
                <w:lang w:val="en-US" w:eastAsia="zh-CN" w:bidi="ar"/>
              </w:rPr>
              <w:t>39</w:t>
            </w:r>
          </w:p>
        </w:tc>
        <w:tc>
          <w:tcPr>
            <w:tcW w:w="461" w:type="pct"/>
            <w:vAlign w:val="center"/>
          </w:tcPr>
          <w:p w14:paraId="5AC09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2"/>
                <w:rFonts w:hint="eastAsia" w:ascii="仿宋_GB2312" w:hAnsi="仿宋_GB2312" w:eastAsia="仿宋_GB2312" w:cs="仿宋_GB2312"/>
                <w:b w:val="0"/>
                <w:bCs w:val="0"/>
                <w:color w:val="auto"/>
                <w:spacing w:val="0"/>
                <w:kern w:val="21"/>
                <w:sz w:val="21"/>
                <w:szCs w:val="21"/>
                <w:highlight w:val="none"/>
                <w:lang w:val="en-US" w:eastAsia="zh-CN" w:bidi="ar"/>
              </w:rPr>
              <w:t>山亭区</w:t>
            </w:r>
            <w:r>
              <w:rPr>
                <w:rStyle w:val="23"/>
                <w:rFonts w:hint="eastAsia" w:ascii="仿宋_GB2312" w:hAnsi="仿宋_GB2312" w:eastAsia="仿宋_GB2312" w:cs="仿宋_GB2312"/>
                <w:b w:val="0"/>
                <w:bCs w:val="0"/>
                <w:color w:val="auto"/>
                <w:spacing w:val="0"/>
                <w:kern w:val="21"/>
                <w:sz w:val="21"/>
                <w:szCs w:val="21"/>
                <w:highlight w:val="none"/>
                <w:lang w:val="en-US" w:eastAsia="zh-CN" w:bidi="ar"/>
              </w:rPr>
              <w:t>0.5</w:t>
            </w:r>
            <w:r>
              <w:rPr>
                <w:rStyle w:val="22"/>
                <w:rFonts w:hint="eastAsia" w:ascii="仿宋_GB2312" w:hAnsi="仿宋_GB2312" w:eastAsia="仿宋_GB2312" w:cs="仿宋_GB2312"/>
                <w:b w:val="0"/>
                <w:bCs w:val="0"/>
                <w:color w:val="auto"/>
                <w:spacing w:val="0"/>
                <w:kern w:val="21"/>
                <w:sz w:val="21"/>
                <w:szCs w:val="21"/>
                <w:highlight w:val="none"/>
                <w:lang w:val="en-US" w:eastAsia="zh-CN" w:bidi="ar"/>
              </w:rPr>
              <w:t>万亩高标准农田建设项目</w:t>
            </w:r>
          </w:p>
        </w:tc>
        <w:tc>
          <w:tcPr>
            <w:tcW w:w="344" w:type="pct"/>
            <w:vMerge w:val="continue"/>
            <w:vAlign w:val="center"/>
          </w:tcPr>
          <w:p w14:paraId="0D51CFA1">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63843AF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区农业农村局</w:t>
            </w:r>
            <w:r>
              <w:rPr>
                <w:rFonts w:hint="eastAsia" w:ascii="仿宋_GB2312" w:hAnsi="仿宋_GB2312" w:eastAsia="仿宋_GB2312" w:cs="仿宋_GB2312"/>
                <w:b w:val="0"/>
                <w:bCs w:val="0"/>
                <w:color w:val="auto"/>
                <w:spacing w:val="0"/>
                <w:kern w:val="21"/>
                <w:szCs w:val="21"/>
                <w:highlight w:val="none"/>
                <w:lang w:val="en-US" w:eastAsia="zh-CN"/>
              </w:rPr>
              <w:t>桑村镇</w:t>
            </w:r>
          </w:p>
        </w:tc>
        <w:tc>
          <w:tcPr>
            <w:tcW w:w="1542" w:type="pct"/>
            <w:vAlign w:val="center"/>
          </w:tcPr>
          <w:p w14:paraId="4EBA9C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4099C6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6163BA6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bidi="ar-SA"/>
              </w:rPr>
            </w:pPr>
          </w:p>
        </w:tc>
      </w:tr>
      <w:tr w14:paraId="76AE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3D131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default" w:ascii="仿宋_GB2312" w:hAnsi="仿宋_GB2312" w:eastAsia="仿宋_GB2312" w:cs="仿宋_GB2312"/>
                <w:b w:val="0"/>
                <w:bCs w:val="0"/>
                <w:color w:val="auto"/>
                <w:spacing w:val="0"/>
                <w:kern w:val="21"/>
                <w:sz w:val="21"/>
                <w:szCs w:val="21"/>
                <w:highlight w:val="none"/>
                <w:lang w:val="en-US" w:eastAsia="zh-CN" w:bidi="ar"/>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40</w:t>
            </w:r>
          </w:p>
        </w:tc>
        <w:tc>
          <w:tcPr>
            <w:tcW w:w="461" w:type="pct"/>
            <w:vAlign w:val="center"/>
          </w:tcPr>
          <w:p w14:paraId="7032736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Style w:val="20"/>
                <w:rFonts w:hint="eastAsia" w:ascii="仿宋_GB2312" w:hAnsi="仿宋_GB2312" w:eastAsia="仿宋_GB2312" w:cs="仿宋_GB2312"/>
                <w:b w:val="0"/>
                <w:bCs w:val="0"/>
                <w:color w:val="auto"/>
                <w:spacing w:val="0"/>
                <w:kern w:val="21"/>
                <w:sz w:val="21"/>
                <w:szCs w:val="21"/>
                <w:highlight w:val="none"/>
                <w:lang w:val="en-US" w:eastAsia="zh-CN" w:bidi="ar"/>
              </w:rPr>
              <w:t>山东生态产品交易中心项目</w:t>
            </w:r>
          </w:p>
        </w:tc>
        <w:tc>
          <w:tcPr>
            <w:tcW w:w="344" w:type="pct"/>
            <w:vMerge w:val="continue"/>
            <w:vAlign w:val="center"/>
          </w:tcPr>
          <w:p w14:paraId="3A54274A">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02D05F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Cs w:val="21"/>
                <w:highlight w:val="none"/>
                <w:lang w:val="en-US" w:eastAsia="zh-CN"/>
              </w:rPr>
              <w:t>华邦集团</w:t>
            </w:r>
          </w:p>
        </w:tc>
        <w:tc>
          <w:tcPr>
            <w:tcW w:w="1542" w:type="pct"/>
            <w:vAlign w:val="center"/>
          </w:tcPr>
          <w:p w14:paraId="23DA66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2BD50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c>
          <w:tcPr>
            <w:tcW w:w="1104" w:type="pct"/>
            <w:vAlign w:val="center"/>
          </w:tcPr>
          <w:p w14:paraId="149641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p>
        </w:tc>
      </w:tr>
      <w:tr w14:paraId="2509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Merge w:val="restart"/>
            <w:vAlign w:val="center"/>
          </w:tcPr>
          <w:p w14:paraId="52762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41</w:t>
            </w:r>
          </w:p>
        </w:tc>
        <w:tc>
          <w:tcPr>
            <w:tcW w:w="461" w:type="pct"/>
            <w:vMerge w:val="restart"/>
            <w:vAlign w:val="center"/>
          </w:tcPr>
          <w:p w14:paraId="64541B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Fonts w:hint="eastAsia" w:ascii="仿宋_GB2312" w:hAnsi="仿宋_GB2312" w:eastAsia="仿宋_GB2312" w:cs="仿宋_GB2312"/>
                <w:b w:val="0"/>
                <w:bCs w:val="0"/>
                <w:color w:val="auto"/>
                <w:spacing w:val="0"/>
                <w:kern w:val="21"/>
                <w:sz w:val="21"/>
                <w:szCs w:val="21"/>
                <w:highlight w:val="none"/>
                <w:lang w:val="en-US" w:eastAsia="zh-CN"/>
              </w:rPr>
              <w:t>实施桑村镇、徐庄镇中心幼儿园改扩建工程，新增学位3000个以上，持续打造“优教山亭”品牌</w:t>
            </w:r>
          </w:p>
        </w:tc>
        <w:tc>
          <w:tcPr>
            <w:tcW w:w="344" w:type="pct"/>
            <w:vMerge w:val="restart"/>
            <w:vAlign w:val="center"/>
          </w:tcPr>
          <w:p w14:paraId="4CFE7E18">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highlight w:val="none"/>
                <w:lang w:val="en-US" w:eastAsia="zh-CN"/>
              </w:rPr>
              <w:t>区教体局</w:t>
            </w:r>
          </w:p>
        </w:tc>
        <w:tc>
          <w:tcPr>
            <w:tcW w:w="355" w:type="pct"/>
            <w:vAlign w:val="center"/>
          </w:tcPr>
          <w:p w14:paraId="65C7DA5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桑村镇</w:t>
            </w:r>
          </w:p>
        </w:tc>
        <w:tc>
          <w:tcPr>
            <w:tcW w:w="1542" w:type="pct"/>
            <w:vAlign w:val="center"/>
          </w:tcPr>
          <w:p w14:paraId="31161149">
            <w:pPr>
              <w:spacing w:line="320" w:lineRule="exac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zCs w:val="21"/>
                <w:shd w:val="clear" w:color="auto" w:fill="FFFFFF"/>
              </w:rPr>
              <w:t>已完成桑村镇中心幼儿园扩建教学楼设计图纸。</w:t>
            </w:r>
          </w:p>
        </w:tc>
        <w:tc>
          <w:tcPr>
            <w:tcW w:w="992" w:type="pct"/>
            <w:vAlign w:val="center"/>
          </w:tcPr>
          <w:p w14:paraId="44488C61">
            <w:pPr>
              <w:spacing w:line="320" w:lineRule="exact"/>
              <w:jc w:val="lef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hd w:val="clear" w:color="auto" w:fill="FFFFFF"/>
              </w:rPr>
              <w:t>桑村中心幼儿园建设位置已纳入城镇开发边界。目前全区成片开发方案市级正在审核，待审核后报省厅批复，省厅批复完成，才可以纳入征收供地。</w:t>
            </w:r>
          </w:p>
        </w:tc>
        <w:tc>
          <w:tcPr>
            <w:tcW w:w="1104" w:type="pct"/>
            <w:vAlign w:val="center"/>
          </w:tcPr>
          <w:p w14:paraId="464E8F64">
            <w:pPr>
              <w:spacing w:line="320" w:lineRule="exac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hd w:val="clear" w:color="auto" w:fill="FFFFFF"/>
              </w:rPr>
              <w:t>积极推进城镇成片开发方案省市审核，以便尽快完成项目供地。</w:t>
            </w:r>
          </w:p>
        </w:tc>
      </w:tr>
      <w:tr w14:paraId="7E35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Merge w:val="continue"/>
            <w:vAlign w:val="center"/>
          </w:tcPr>
          <w:p w14:paraId="08E26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p>
        </w:tc>
        <w:tc>
          <w:tcPr>
            <w:tcW w:w="461" w:type="pct"/>
            <w:vMerge w:val="continue"/>
            <w:vAlign w:val="center"/>
          </w:tcPr>
          <w:p w14:paraId="350EEE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p>
        </w:tc>
        <w:tc>
          <w:tcPr>
            <w:tcW w:w="344" w:type="pct"/>
            <w:vMerge w:val="continue"/>
            <w:vAlign w:val="center"/>
          </w:tcPr>
          <w:p w14:paraId="350B3491">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p>
        </w:tc>
        <w:tc>
          <w:tcPr>
            <w:tcW w:w="355" w:type="pct"/>
            <w:vAlign w:val="center"/>
          </w:tcPr>
          <w:p w14:paraId="22D8E94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徐庄镇</w:t>
            </w:r>
          </w:p>
        </w:tc>
        <w:tc>
          <w:tcPr>
            <w:tcW w:w="1542" w:type="pct"/>
            <w:vAlign w:val="center"/>
          </w:tcPr>
          <w:p w14:paraId="38B6993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1"/>
                <w:sz w:val="21"/>
                <w:szCs w:val="21"/>
                <w:highlight w:val="none"/>
                <w:u w:val="none"/>
                <w:lang w:val="en-US" w:eastAsia="zh-CN" w:bidi="ar"/>
              </w:rPr>
            </w:pPr>
            <w:r>
              <w:rPr>
                <w:rFonts w:hint="eastAsia" w:ascii="仿宋_GB2312" w:hAnsi="仿宋_GB2312" w:eastAsia="仿宋_GB2312" w:cs="仿宋_GB2312"/>
                <w:b w:val="0"/>
                <w:bCs w:val="0"/>
                <w:color w:val="auto"/>
                <w:kern w:val="2"/>
                <w:sz w:val="21"/>
                <w:szCs w:val="21"/>
                <w:highlight w:val="none"/>
                <w:lang w:val="en-US" w:eastAsia="zh-CN" w:bidi="ar-SA"/>
              </w:rPr>
              <w:t>已完工。</w:t>
            </w:r>
          </w:p>
        </w:tc>
        <w:tc>
          <w:tcPr>
            <w:tcW w:w="992" w:type="pct"/>
            <w:vAlign w:val="center"/>
          </w:tcPr>
          <w:p w14:paraId="3D932A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1"/>
                <w:sz w:val="21"/>
                <w:szCs w:val="21"/>
                <w:highlight w:val="none"/>
                <w:u w:val="none"/>
                <w:lang w:val="en-US" w:eastAsia="zh-CN" w:bidi="ar"/>
              </w:rPr>
            </w:pPr>
          </w:p>
        </w:tc>
        <w:tc>
          <w:tcPr>
            <w:tcW w:w="1104" w:type="pct"/>
            <w:vAlign w:val="center"/>
          </w:tcPr>
          <w:p w14:paraId="43A8327B">
            <w:pPr>
              <w:pStyle w:val="25"/>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599" w:firstLineChars="0"/>
              <w:jc w:val="left"/>
              <w:textAlignment w:val="auto"/>
              <w:rPr>
                <w:rFonts w:hint="eastAsia" w:ascii="仿宋_GB2312" w:hAnsi="仿宋_GB2312" w:eastAsia="仿宋_GB2312" w:cs="仿宋_GB2312"/>
                <w:b w:val="0"/>
                <w:bCs w:val="0"/>
                <w:color w:val="auto"/>
                <w:kern w:val="21"/>
                <w:sz w:val="21"/>
                <w:szCs w:val="21"/>
                <w:highlight w:val="none"/>
                <w:u w:val="none"/>
                <w:lang w:val="en-US" w:eastAsia="zh-CN" w:bidi="ar"/>
              </w:rPr>
            </w:pPr>
          </w:p>
        </w:tc>
      </w:tr>
      <w:tr w14:paraId="56BA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471A4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42</w:t>
            </w:r>
          </w:p>
        </w:tc>
        <w:tc>
          <w:tcPr>
            <w:tcW w:w="461" w:type="pct"/>
            <w:vAlign w:val="center"/>
          </w:tcPr>
          <w:p w14:paraId="19A255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0"/>
                <w:rFonts w:hint="eastAsia" w:ascii="仿宋_GB2312" w:hAnsi="仿宋_GB2312" w:eastAsia="仿宋_GB2312" w:cs="仿宋_GB2312"/>
                <w:b w:val="0"/>
                <w:bCs w:val="0"/>
                <w:color w:val="auto"/>
                <w:spacing w:val="0"/>
                <w:kern w:val="21"/>
                <w:sz w:val="21"/>
                <w:szCs w:val="21"/>
                <w:highlight w:val="none"/>
                <w:lang w:val="en-US" w:eastAsia="zh-CN" w:bidi="ar"/>
              </w:rPr>
            </w:pPr>
            <w:r>
              <w:rPr>
                <w:rFonts w:hint="eastAsia" w:ascii="仿宋_GB2312" w:hAnsi="仿宋_GB2312" w:eastAsia="仿宋_GB2312" w:cs="仿宋_GB2312"/>
                <w:b w:val="0"/>
                <w:bCs w:val="0"/>
                <w:color w:val="auto"/>
                <w:spacing w:val="0"/>
                <w:kern w:val="21"/>
                <w:sz w:val="21"/>
                <w:szCs w:val="21"/>
                <w:highlight w:val="none"/>
                <w:lang w:val="en-US" w:eastAsia="zh-CN"/>
              </w:rPr>
              <w:t>基本医疗保险参保率保持在99%以上。</w:t>
            </w:r>
          </w:p>
        </w:tc>
        <w:tc>
          <w:tcPr>
            <w:tcW w:w="344" w:type="pct"/>
            <w:vAlign w:val="center"/>
          </w:tcPr>
          <w:p w14:paraId="25DEFB8A">
            <w:pPr>
              <w:pStyle w:val="15"/>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highlight w:val="none"/>
                <w:lang w:val="en-US" w:eastAsia="zh-CN"/>
              </w:rPr>
              <w:t>区医保局</w:t>
            </w:r>
          </w:p>
        </w:tc>
        <w:tc>
          <w:tcPr>
            <w:tcW w:w="355" w:type="pct"/>
            <w:vAlign w:val="center"/>
          </w:tcPr>
          <w:p w14:paraId="5FB2CD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highlight w:val="none"/>
                <w:lang w:val="en-US" w:eastAsia="zh-CN"/>
              </w:rPr>
              <w:t>区医保局</w:t>
            </w:r>
          </w:p>
        </w:tc>
        <w:tc>
          <w:tcPr>
            <w:tcW w:w="1542" w:type="pct"/>
            <w:vAlign w:val="center"/>
          </w:tcPr>
          <w:p w14:paraId="701C44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bidi="ar-SA"/>
              </w:rPr>
              <w:t>截至12月31日，我区参保人员达444128人，参保率99.17%，其中，职工医疗保险参保33170人，城乡居民医疗保险参保410958人，参保率全市第一位。</w:t>
            </w:r>
          </w:p>
        </w:tc>
        <w:tc>
          <w:tcPr>
            <w:tcW w:w="992" w:type="pct"/>
            <w:vAlign w:val="center"/>
          </w:tcPr>
          <w:p w14:paraId="6BC2C0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1"/>
                <w:sz w:val="21"/>
                <w:szCs w:val="21"/>
                <w:highlight w:val="none"/>
                <w:lang w:val="en-US" w:eastAsia="zh-CN" w:bidi="ar-SA"/>
              </w:rPr>
            </w:pPr>
          </w:p>
        </w:tc>
        <w:tc>
          <w:tcPr>
            <w:tcW w:w="1104" w:type="pct"/>
            <w:vAlign w:val="center"/>
          </w:tcPr>
          <w:p w14:paraId="209E5C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bidi="ar-SA"/>
              </w:rPr>
              <w:t>召开2024年度城乡居民参保征缴部署动员会议。</w:t>
            </w:r>
          </w:p>
        </w:tc>
      </w:tr>
      <w:tr w14:paraId="771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D7391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43</w:t>
            </w:r>
          </w:p>
        </w:tc>
        <w:tc>
          <w:tcPr>
            <w:tcW w:w="461" w:type="pct"/>
            <w:vAlign w:val="center"/>
          </w:tcPr>
          <w:p w14:paraId="1104377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实施城乡供水保障和农村饮水提标工程，实现186个自然村集中供水，加快推进城乡供水一体化建设。</w:t>
            </w:r>
          </w:p>
        </w:tc>
        <w:tc>
          <w:tcPr>
            <w:tcW w:w="344" w:type="pct"/>
            <w:vAlign w:val="center"/>
          </w:tcPr>
          <w:p w14:paraId="260B695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区城乡水务局</w:t>
            </w:r>
          </w:p>
        </w:tc>
        <w:tc>
          <w:tcPr>
            <w:tcW w:w="355" w:type="pct"/>
            <w:vAlign w:val="center"/>
          </w:tcPr>
          <w:p w14:paraId="337FFDD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区城乡水务局</w:t>
            </w:r>
          </w:p>
        </w:tc>
        <w:tc>
          <w:tcPr>
            <w:tcW w:w="1542" w:type="pct"/>
            <w:vAlign w:val="center"/>
          </w:tcPr>
          <w:p w14:paraId="74CB1F7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润泽水厂（一期）：已完工。</w:t>
            </w:r>
          </w:p>
          <w:p w14:paraId="20021B2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HAnsi" w:hAnsiTheme="minorHAnsi" w:eastAsiaTheme="minorEastAsia" w:cstheme="minorBidi"/>
                <w:b w:val="0"/>
                <w:bCs w:val="0"/>
                <w:color w:val="auto"/>
                <w:kern w:val="2"/>
                <w:sz w:val="21"/>
                <w:szCs w:val="24"/>
                <w:lang w:val="en-US" w:eastAsia="zh-CN" w:bidi="ar-SA"/>
              </w:rPr>
            </w:pPr>
            <w:r>
              <w:rPr>
                <w:rFonts w:hint="eastAsia" w:ascii="仿宋_GB2312" w:hAnsi="仿宋_GB2312" w:eastAsia="仿宋_GB2312" w:cs="仿宋_GB2312"/>
                <w:b w:val="0"/>
                <w:bCs w:val="0"/>
                <w:color w:val="auto"/>
                <w:spacing w:val="0"/>
                <w:kern w:val="21"/>
                <w:sz w:val="24"/>
                <w:szCs w:val="24"/>
                <w:highlight w:val="none"/>
                <w:lang w:val="en-US" w:eastAsia="zh-CN"/>
              </w:rPr>
              <w:t>兆泉水厂：已开工建设，累计铺设管网209.9公里。186个自然村25万人口实现规模化供水，农村规模化供水工程覆盖人口比例达56.8%，完成了市定年度目标任务（55%）。</w:t>
            </w:r>
          </w:p>
        </w:tc>
        <w:tc>
          <w:tcPr>
            <w:tcW w:w="992" w:type="pct"/>
            <w:vAlign w:val="center"/>
          </w:tcPr>
          <w:p w14:paraId="2B00DA12">
            <w:pPr>
              <w:pStyle w:val="15"/>
              <w:ind w:left="0" w:leftChars="0" w:firstLine="0" w:firstLineChars="0"/>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ascii="仿宋_GB2312" w:hAnsi="仿宋_GB2312" w:eastAsia="仿宋_GB2312" w:cs="仿宋_GB2312"/>
                <w:b w:val="0"/>
                <w:bCs w:val="0"/>
                <w:color w:val="auto"/>
                <w:spacing w:val="0"/>
                <w:kern w:val="21"/>
                <w:sz w:val="24"/>
                <w:szCs w:val="24"/>
                <w:highlight w:val="none"/>
                <w:lang w:val="en-US" w:eastAsia="zh-CN"/>
              </w:rPr>
              <w:t>无</w:t>
            </w:r>
          </w:p>
        </w:tc>
        <w:tc>
          <w:tcPr>
            <w:tcW w:w="1104" w:type="pct"/>
            <w:vAlign w:val="center"/>
          </w:tcPr>
          <w:p w14:paraId="34E2D6B7">
            <w:pPr>
              <w:spacing w:line="320" w:lineRule="exact"/>
              <w:jc w:val="left"/>
              <w:rPr>
                <w:rFonts w:hint="eastAsia"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1.全面加快工程建设进度，进一步明确职责，严把工期、质量和安全，充分调动各方积极性，加大宣传，倒排工期、挂图作战，确保按照时间节点完成工程建设任务。</w:t>
            </w:r>
          </w:p>
          <w:p w14:paraId="5F5E584B">
            <w:pPr>
              <w:spacing w:line="320" w:lineRule="exact"/>
              <w:jc w:val="left"/>
              <w:rPr>
                <w:rFonts w:hint="eastAsia"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2.拓宽资金来源，多方筹集资金，积极争取专项债及上级资金补助，加大与省内央、国企合作力度，保障工程顺利实施。</w:t>
            </w:r>
          </w:p>
        </w:tc>
      </w:tr>
      <w:tr w14:paraId="0F9F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 w:type="pct"/>
            <w:vAlign w:val="center"/>
          </w:tcPr>
          <w:p w14:paraId="5054B1B6">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44</w:t>
            </w:r>
          </w:p>
        </w:tc>
        <w:tc>
          <w:tcPr>
            <w:tcW w:w="461" w:type="pct"/>
            <w:vAlign w:val="center"/>
          </w:tcPr>
          <w:p w14:paraId="5B4FEB39">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全力做好高校毕业生、就业困难人员等重点群体就业工作，新增城镇就业3000人以上、城乡公益岗位3400个。</w:t>
            </w:r>
          </w:p>
        </w:tc>
        <w:tc>
          <w:tcPr>
            <w:tcW w:w="344" w:type="pct"/>
            <w:vAlign w:val="center"/>
          </w:tcPr>
          <w:p w14:paraId="16406D7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区人社局</w:t>
            </w:r>
          </w:p>
        </w:tc>
        <w:tc>
          <w:tcPr>
            <w:tcW w:w="355" w:type="pct"/>
            <w:vAlign w:val="center"/>
          </w:tcPr>
          <w:p w14:paraId="27656A2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Cs w:val="21"/>
                <w:highlight w:val="none"/>
                <w:lang w:val="en-US" w:eastAsia="zh-CN"/>
              </w:rPr>
            </w:pPr>
            <w:r>
              <w:rPr>
                <w:rFonts w:hint="eastAsia" w:ascii="仿宋_GB2312" w:hAnsi="仿宋_GB2312" w:eastAsia="仿宋_GB2312" w:cs="仿宋_GB2312"/>
                <w:b w:val="0"/>
                <w:bCs w:val="0"/>
                <w:color w:val="auto"/>
                <w:spacing w:val="0"/>
                <w:kern w:val="21"/>
                <w:szCs w:val="21"/>
                <w:highlight w:val="none"/>
                <w:lang w:val="en-US" w:eastAsia="zh-CN"/>
              </w:rPr>
              <w:t>区人社局</w:t>
            </w:r>
          </w:p>
        </w:tc>
        <w:tc>
          <w:tcPr>
            <w:tcW w:w="1542" w:type="pct"/>
            <w:vAlign w:val="center"/>
          </w:tcPr>
          <w:p w14:paraId="0701956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1.累计汇总101家企业3684个岗位信息。全区实现城镇新增就业3756人。</w:t>
            </w:r>
          </w:p>
          <w:p w14:paraId="66C9C3B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等线" w:hAnsi="等线" w:eastAsia="等线" w:cstheme="minorBidi"/>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2.2023年山亭区已开发岗位3640个（包括乡村公益性岗位3400个，城镇公益性岗位240个）。</w:t>
            </w:r>
          </w:p>
        </w:tc>
        <w:tc>
          <w:tcPr>
            <w:tcW w:w="992" w:type="pct"/>
            <w:vAlign w:val="center"/>
          </w:tcPr>
          <w:p w14:paraId="2F116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kern w:val="21"/>
                <w:sz w:val="24"/>
                <w:szCs w:val="24"/>
                <w:highlight w:val="none"/>
                <w:lang w:val="en-US" w:eastAsia="zh-CN" w:bidi="ar-SA"/>
              </w:rPr>
            </w:pPr>
            <w:r>
              <w:rPr>
                <w:rFonts w:hint="eastAsia" w:ascii="仿宋_GB2312" w:hAnsi="仿宋_GB2312" w:eastAsia="仿宋_GB2312" w:cs="仿宋_GB2312"/>
                <w:b w:val="0"/>
                <w:bCs w:val="0"/>
                <w:color w:val="auto"/>
                <w:spacing w:val="0"/>
                <w:kern w:val="21"/>
                <w:sz w:val="24"/>
                <w:szCs w:val="24"/>
                <w:highlight w:val="none"/>
                <w:lang w:val="en-US" w:eastAsia="zh-CN"/>
              </w:rPr>
              <w:t>无</w:t>
            </w:r>
          </w:p>
        </w:tc>
        <w:tc>
          <w:tcPr>
            <w:tcW w:w="1104" w:type="pct"/>
            <w:vAlign w:val="center"/>
          </w:tcPr>
          <w:p w14:paraId="0E905C59">
            <w:pPr>
              <w:spacing w:line="320" w:lineRule="exact"/>
              <w:jc w:val="left"/>
              <w:rPr>
                <w:rFonts w:hint="default"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1.</w:t>
            </w:r>
            <w:r>
              <w:rPr>
                <w:rFonts w:hint="default" w:ascii="仿宋_GB2312" w:hAnsi="仿宋_GB2312" w:eastAsia="仿宋_GB2312" w:cs="仿宋_GB2312"/>
                <w:b w:val="0"/>
                <w:bCs w:val="0"/>
                <w:color w:val="auto"/>
                <w:shd w:val="clear" w:color="auto" w:fill="FFFFFF"/>
                <w:lang w:val="en-US" w:eastAsia="zh-CN"/>
              </w:rPr>
              <w:t>督促各部门、镇街做好</w:t>
            </w:r>
            <w:r>
              <w:rPr>
                <w:rFonts w:hint="eastAsia" w:ascii="仿宋_GB2312" w:hAnsi="仿宋_GB2312" w:eastAsia="仿宋_GB2312" w:cs="仿宋_GB2312"/>
                <w:b w:val="0"/>
                <w:bCs w:val="0"/>
                <w:color w:val="auto"/>
                <w:shd w:val="clear" w:color="auto" w:fill="FFFFFF"/>
                <w:lang w:val="en-US" w:eastAsia="zh-CN"/>
              </w:rPr>
              <w:t>公益岗人员档案管理、</w:t>
            </w:r>
            <w:r>
              <w:rPr>
                <w:rFonts w:hint="default" w:ascii="仿宋_GB2312" w:hAnsi="仿宋_GB2312" w:eastAsia="仿宋_GB2312" w:cs="仿宋_GB2312"/>
                <w:b w:val="0"/>
                <w:bCs w:val="0"/>
                <w:color w:val="auto"/>
                <w:shd w:val="clear" w:color="auto" w:fill="FFFFFF"/>
                <w:lang w:val="en-US" w:eastAsia="zh-CN"/>
              </w:rPr>
              <w:t>工作时长统计、人员动态调整</w:t>
            </w:r>
            <w:r>
              <w:rPr>
                <w:rFonts w:hint="eastAsia" w:ascii="仿宋_GB2312" w:hAnsi="仿宋_GB2312" w:eastAsia="仿宋_GB2312" w:cs="仿宋_GB2312"/>
                <w:b w:val="0"/>
                <w:bCs w:val="0"/>
                <w:color w:val="auto"/>
                <w:shd w:val="clear" w:color="auto" w:fill="FFFFFF"/>
                <w:lang w:val="en-US" w:eastAsia="zh-CN"/>
              </w:rPr>
              <w:t>补录</w:t>
            </w:r>
            <w:r>
              <w:rPr>
                <w:rFonts w:hint="default" w:ascii="仿宋_GB2312" w:hAnsi="仿宋_GB2312" w:eastAsia="仿宋_GB2312" w:cs="仿宋_GB2312"/>
                <w:b w:val="0"/>
                <w:bCs w:val="0"/>
                <w:color w:val="auto"/>
                <w:shd w:val="clear" w:color="auto" w:fill="FFFFFF"/>
                <w:lang w:val="en-US" w:eastAsia="zh-CN"/>
              </w:rPr>
              <w:t>等工作</w:t>
            </w:r>
            <w:r>
              <w:rPr>
                <w:rFonts w:hint="eastAsia" w:ascii="仿宋_GB2312" w:hAnsi="仿宋_GB2312" w:eastAsia="仿宋_GB2312" w:cs="仿宋_GB2312"/>
                <w:b w:val="0"/>
                <w:bCs w:val="0"/>
                <w:color w:val="auto"/>
                <w:shd w:val="clear" w:color="auto" w:fill="FFFFFF"/>
                <w:lang w:val="en-US" w:eastAsia="zh-CN"/>
              </w:rPr>
              <w:t>。</w:t>
            </w:r>
          </w:p>
          <w:p w14:paraId="32863365">
            <w:pPr>
              <w:spacing w:line="320" w:lineRule="exact"/>
              <w:jc w:val="left"/>
              <w:rPr>
                <w:rFonts w:hint="eastAsia"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2.加强与离校未就业毕业生的联系，做好未就业高校毕业生就业服务工作。</w:t>
            </w:r>
          </w:p>
          <w:p w14:paraId="772471EF">
            <w:pPr>
              <w:spacing w:line="320" w:lineRule="exact"/>
              <w:jc w:val="left"/>
              <w:rPr>
                <w:rFonts w:hint="eastAsia"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3.有效开展12333式就业服务促进失业人员尽快实现就业，加强与市局、乡镇的沟通交流，三位一体提升城镇新增就业数据质量。</w:t>
            </w:r>
          </w:p>
        </w:tc>
      </w:tr>
    </w:tbl>
    <w:p w14:paraId="5531C24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28"/>
          <w:szCs w:val="28"/>
          <w:lang w:val="en-US" w:eastAsia="zh-CN"/>
        </w:rPr>
      </w:pPr>
    </w:p>
    <w:sectPr>
      <w:footerReference r:id="rId3" w:type="default"/>
      <w:pgSz w:w="23811" w:h="16838" w:orient="landscape"/>
      <w:pgMar w:top="1349" w:right="1100" w:bottom="1236" w:left="1100" w:header="851" w:footer="73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C90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3A9B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C3A9B6">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40AF">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C440AF">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7952F">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37952F">
                    <w:pPr>
                      <w:pStyle w:val="7"/>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775016C6"/>
    <w:rsid w:val="005C3DB9"/>
    <w:rsid w:val="00D5688F"/>
    <w:rsid w:val="018E4F8D"/>
    <w:rsid w:val="01B110AA"/>
    <w:rsid w:val="034461C9"/>
    <w:rsid w:val="054B35C3"/>
    <w:rsid w:val="05761DD9"/>
    <w:rsid w:val="06FA704F"/>
    <w:rsid w:val="072B0FB7"/>
    <w:rsid w:val="08463877"/>
    <w:rsid w:val="084B4B70"/>
    <w:rsid w:val="086E3851"/>
    <w:rsid w:val="08A70661"/>
    <w:rsid w:val="08DF474E"/>
    <w:rsid w:val="08EF7504"/>
    <w:rsid w:val="0915013F"/>
    <w:rsid w:val="0DB602A4"/>
    <w:rsid w:val="0DBE5FD1"/>
    <w:rsid w:val="0E9C41CB"/>
    <w:rsid w:val="0EB32AA5"/>
    <w:rsid w:val="11D44ABA"/>
    <w:rsid w:val="1398187C"/>
    <w:rsid w:val="13B14D83"/>
    <w:rsid w:val="13CE568B"/>
    <w:rsid w:val="13F33B15"/>
    <w:rsid w:val="14346CCF"/>
    <w:rsid w:val="158C4C85"/>
    <w:rsid w:val="15DE18EA"/>
    <w:rsid w:val="168420E0"/>
    <w:rsid w:val="16A50D85"/>
    <w:rsid w:val="17D17958"/>
    <w:rsid w:val="194859F8"/>
    <w:rsid w:val="19B863D2"/>
    <w:rsid w:val="1B004C3B"/>
    <w:rsid w:val="1D1D719C"/>
    <w:rsid w:val="1DF47EFC"/>
    <w:rsid w:val="1EAB5FF9"/>
    <w:rsid w:val="1F391E29"/>
    <w:rsid w:val="21DF713B"/>
    <w:rsid w:val="22D3027C"/>
    <w:rsid w:val="23A32E08"/>
    <w:rsid w:val="24773635"/>
    <w:rsid w:val="24FA0335"/>
    <w:rsid w:val="26F96584"/>
    <w:rsid w:val="27C512CF"/>
    <w:rsid w:val="2AED0654"/>
    <w:rsid w:val="2B8E741C"/>
    <w:rsid w:val="2B9A77BC"/>
    <w:rsid w:val="2BC2163A"/>
    <w:rsid w:val="2BC76C50"/>
    <w:rsid w:val="2C5C5150"/>
    <w:rsid w:val="2C815051"/>
    <w:rsid w:val="2DBA06A5"/>
    <w:rsid w:val="2DCE2070"/>
    <w:rsid w:val="2DEA7696"/>
    <w:rsid w:val="2EE13C69"/>
    <w:rsid w:val="2EFF1B09"/>
    <w:rsid w:val="2F382B7C"/>
    <w:rsid w:val="302A1EA4"/>
    <w:rsid w:val="30A43A04"/>
    <w:rsid w:val="31D9354A"/>
    <w:rsid w:val="3247500E"/>
    <w:rsid w:val="32AD382D"/>
    <w:rsid w:val="339D2F1D"/>
    <w:rsid w:val="33E34843"/>
    <w:rsid w:val="34C57EB5"/>
    <w:rsid w:val="354364F6"/>
    <w:rsid w:val="36D60888"/>
    <w:rsid w:val="36FF1994"/>
    <w:rsid w:val="37645C9B"/>
    <w:rsid w:val="38155D84"/>
    <w:rsid w:val="398C3EB1"/>
    <w:rsid w:val="39E41315"/>
    <w:rsid w:val="3C210E29"/>
    <w:rsid w:val="3EC2219D"/>
    <w:rsid w:val="3F1C59E2"/>
    <w:rsid w:val="3F381EE7"/>
    <w:rsid w:val="3F8E1B07"/>
    <w:rsid w:val="40EE50F7"/>
    <w:rsid w:val="43265A98"/>
    <w:rsid w:val="4376300B"/>
    <w:rsid w:val="43ED0DC6"/>
    <w:rsid w:val="44B95D88"/>
    <w:rsid w:val="453C7530"/>
    <w:rsid w:val="466C6E29"/>
    <w:rsid w:val="46CF6E7E"/>
    <w:rsid w:val="471B3FF5"/>
    <w:rsid w:val="47A27C90"/>
    <w:rsid w:val="4880308F"/>
    <w:rsid w:val="48EC72F1"/>
    <w:rsid w:val="4A28796B"/>
    <w:rsid w:val="4A551961"/>
    <w:rsid w:val="4A562D9D"/>
    <w:rsid w:val="4A607445"/>
    <w:rsid w:val="4B32181C"/>
    <w:rsid w:val="4B556626"/>
    <w:rsid w:val="4B682903"/>
    <w:rsid w:val="4B6A10BB"/>
    <w:rsid w:val="4B814151"/>
    <w:rsid w:val="4BB3484E"/>
    <w:rsid w:val="4BD06395"/>
    <w:rsid w:val="4D4B15F7"/>
    <w:rsid w:val="4D597B9B"/>
    <w:rsid w:val="4DBC5DD5"/>
    <w:rsid w:val="4E8579DD"/>
    <w:rsid w:val="4FBF3F5F"/>
    <w:rsid w:val="506A3ECB"/>
    <w:rsid w:val="50AF74CF"/>
    <w:rsid w:val="529B351C"/>
    <w:rsid w:val="530028C4"/>
    <w:rsid w:val="53D8188E"/>
    <w:rsid w:val="541E3671"/>
    <w:rsid w:val="544243E9"/>
    <w:rsid w:val="569971F7"/>
    <w:rsid w:val="58360B36"/>
    <w:rsid w:val="586308AC"/>
    <w:rsid w:val="5CD6134C"/>
    <w:rsid w:val="5E0D0138"/>
    <w:rsid w:val="5E3D45F5"/>
    <w:rsid w:val="5EA407EB"/>
    <w:rsid w:val="5EA8533D"/>
    <w:rsid w:val="5F364CE3"/>
    <w:rsid w:val="5F585836"/>
    <w:rsid w:val="5F681F1D"/>
    <w:rsid w:val="5F6D0927"/>
    <w:rsid w:val="60D23F25"/>
    <w:rsid w:val="613F0A5C"/>
    <w:rsid w:val="61D0588F"/>
    <w:rsid w:val="6211040A"/>
    <w:rsid w:val="62712F82"/>
    <w:rsid w:val="6271733B"/>
    <w:rsid w:val="62D96715"/>
    <w:rsid w:val="64DD6121"/>
    <w:rsid w:val="663E38D0"/>
    <w:rsid w:val="66415418"/>
    <w:rsid w:val="66546D57"/>
    <w:rsid w:val="66D63C10"/>
    <w:rsid w:val="685C44DD"/>
    <w:rsid w:val="6A7C33DF"/>
    <w:rsid w:val="6A911824"/>
    <w:rsid w:val="6AA42725"/>
    <w:rsid w:val="6B23319C"/>
    <w:rsid w:val="6BF1506A"/>
    <w:rsid w:val="6C666962"/>
    <w:rsid w:val="6CBA457B"/>
    <w:rsid w:val="6CF60285"/>
    <w:rsid w:val="6E971638"/>
    <w:rsid w:val="6F5B3F1E"/>
    <w:rsid w:val="6F703178"/>
    <w:rsid w:val="6FFB0243"/>
    <w:rsid w:val="6FFB0CD1"/>
    <w:rsid w:val="70763D6E"/>
    <w:rsid w:val="70813501"/>
    <w:rsid w:val="71717F16"/>
    <w:rsid w:val="720A6E64"/>
    <w:rsid w:val="7274048C"/>
    <w:rsid w:val="740643A1"/>
    <w:rsid w:val="75452BB5"/>
    <w:rsid w:val="758B206A"/>
    <w:rsid w:val="76B43058"/>
    <w:rsid w:val="77035102"/>
    <w:rsid w:val="77422BFC"/>
    <w:rsid w:val="775016C6"/>
    <w:rsid w:val="78574485"/>
    <w:rsid w:val="7970597D"/>
    <w:rsid w:val="797F457E"/>
    <w:rsid w:val="79892D64"/>
    <w:rsid w:val="7A8D23E0"/>
    <w:rsid w:val="7B3665F7"/>
    <w:rsid w:val="7C6E3ACB"/>
    <w:rsid w:val="7D0D15B6"/>
    <w:rsid w:val="7D174233"/>
    <w:rsid w:val="7DAE3DE3"/>
    <w:rsid w:val="7DCA60EB"/>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autoRedefine/>
    <w:qFormat/>
    <w:uiPriority w:val="0"/>
    <w:pPr>
      <w:keepNext/>
      <w:keepLines/>
      <w:widowControl w:val="0"/>
      <w:spacing w:before="260" w:after="260" w:line="413" w:lineRule="auto"/>
      <w:jc w:val="both"/>
      <w:outlineLvl w:val="2"/>
    </w:pPr>
    <w:rPr>
      <w:rFonts w:ascii="等线" w:hAnsi="等线" w:eastAsia="等线" w:cs="宋体"/>
      <w:b/>
      <w:kern w:val="2"/>
      <w:sz w:val="32"/>
      <w:szCs w:val="2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semiHidden/>
    <w:qFormat/>
    <w:uiPriority w:val="0"/>
    <w:pPr>
      <w:ind w:left="420"/>
    </w:pPr>
    <w:rPr>
      <w:rFonts w:ascii="等线" w:hAnsi="等线" w:eastAsia="等线"/>
      <w:b/>
      <w:sz w:val="30"/>
      <w:szCs w:val="30"/>
    </w:rPr>
  </w:style>
  <w:style w:type="paragraph" w:styleId="4">
    <w:name w:val="Normal Indent"/>
    <w:basedOn w:val="1"/>
    <w:next w:val="1"/>
    <w:autoRedefine/>
    <w:qFormat/>
    <w:uiPriority w:val="0"/>
    <w:pPr>
      <w:ind w:firstLine="420"/>
    </w:pPr>
  </w:style>
  <w:style w:type="paragraph" w:styleId="5">
    <w:name w:val="Body Text"/>
    <w:basedOn w:val="1"/>
    <w:next w:val="1"/>
    <w:autoRedefine/>
    <w:qFormat/>
    <w:uiPriority w:val="0"/>
    <w:pPr>
      <w:spacing w:after="120"/>
    </w:pPr>
    <w:rPr>
      <w:rFonts w:ascii="Times New Roman" w:hAnsi="Times New Roman" w:eastAsia="仿宋_GB2312" w:cs="仿宋_GB2312"/>
      <w:sz w:val="32"/>
      <w:szCs w:val="32"/>
    </w:rPr>
  </w:style>
  <w:style w:type="paragraph" w:styleId="6">
    <w:name w:val="Body Text Indent"/>
    <w:basedOn w:val="1"/>
    <w:autoRedefine/>
    <w:qFormat/>
    <w:uiPriority w:val="0"/>
    <w:pPr>
      <w:spacing w:after="120" w:afterLines="0" w:afterAutospacing="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39"/>
    <w:pPr>
      <w:jc w:val="center"/>
    </w:pPr>
    <w:rPr>
      <w:rFonts w:ascii="黑体" w:hAnsi="黑体" w:eastAsia="黑体"/>
      <w:b/>
      <w:szCs w:val="32"/>
    </w:rPr>
  </w:style>
  <w:style w:type="paragraph" w:styleId="10">
    <w:name w:val="Normal (Web)"/>
    <w:basedOn w:val="1"/>
    <w:autoRedefine/>
    <w:qFormat/>
    <w:uiPriority w:val="0"/>
    <w:rPr>
      <w:sz w:val="24"/>
    </w:rPr>
  </w:style>
  <w:style w:type="paragraph" w:styleId="11">
    <w:name w:val="Body Text First Indent 2"/>
    <w:basedOn w:val="6"/>
    <w:autoRedefine/>
    <w:qFormat/>
    <w:uiPriority w:val="0"/>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缩进1"/>
    <w:basedOn w:val="1"/>
    <w:autoRedefine/>
    <w:qFormat/>
    <w:uiPriority w:val="0"/>
    <w:pPr>
      <w:ind w:firstLine="420" w:firstLineChars="200"/>
    </w:pPr>
    <w:rPr>
      <w:rFonts w:hint="eastAsia"/>
    </w:rPr>
  </w:style>
  <w:style w:type="paragraph" w:customStyle="1" w:styleId="16">
    <w:name w:val="Default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Style1"/>
    <w:basedOn w:val="1"/>
    <w:autoRedefine/>
    <w:qFormat/>
    <w:uiPriority w:val="0"/>
    <w:pPr>
      <w:tabs>
        <w:tab w:val="left" w:pos="-720"/>
      </w:tabs>
      <w:adjustRightInd/>
      <w:snapToGrid/>
      <w:spacing w:after="120"/>
      <w:jc w:val="both"/>
    </w:pPr>
    <w:rPr>
      <w:rFonts w:ascii="Times New Roman" w:hAnsi="Times New Roman" w:eastAsia="宋体" w:cs="Times New Roman"/>
      <w:spacing w:val="-3"/>
      <w:sz w:val="24"/>
      <w:szCs w:val="20"/>
      <w:lang w:val="en-AU" w:eastAsia="en-US"/>
    </w:rPr>
  </w:style>
  <w:style w:type="paragraph" w:customStyle="1" w:styleId="18">
    <w:name w:val="TOC1"/>
    <w:next w:val="1"/>
    <w:autoRedefine/>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font11"/>
    <w:basedOn w:val="14"/>
    <w:autoRedefine/>
    <w:qFormat/>
    <w:uiPriority w:val="0"/>
    <w:rPr>
      <w:rFonts w:hint="eastAsia" w:ascii="宋体" w:hAnsi="宋体" w:eastAsia="宋体" w:cs="宋体"/>
      <w:color w:val="000000"/>
      <w:sz w:val="24"/>
      <w:szCs w:val="24"/>
      <w:u w:val="none"/>
    </w:rPr>
  </w:style>
  <w:style w:type="character" w:customStyle="1" w:styleId="21">
    <w:name w:val="font31"/>
    <w:basedOn w:val="14"/>
    <w:autoRedefine/>
    <w:qFormat/>
    <w:uiPriority w:val="0"/>
    <w:rPr>
      <w:rFonts w:hint="default" w:ascii="Times New Roman" w:hAnsi="Times New Roman" w:cs="Times New Roman"/>
      <w:color w:val="000000"/>
      <w:sz w:val="24"/>
      <w:szCs w:val="24"/>
      <w:u w:val="none"/>
    </w:rPr>
  </w:style>
  <w:style w:type="character" w:customStyle="1" w:styleId="22">
    <w:name w:val="font21"/>
    <w:basedOn w:val="14"/>
    <w:autoRedefine/>
    <w:qFormat/>
    <w:uiPriority w:val="0"/>
    <w:rPr>
      <w:rFonts w:hint="eastAsia" w:ascii="宋体" w:hAnsi="宋体" w:eastAsia="宋体" w:cs="宋体"/>
      <w:color w:val="000000"/>
      <w:sz w:val="24"/>
      <w:szCs w:val="24"/>
      <w:u w:val="none"/>
    </w:rPr>
  </w:style>
  <w:style w:type="character" w:customStyle="1" w:styleId="23">
    <w:name w:val="font01"/>
    <w:basedOn w:val="14"/>
    <w:autoRedefine/>
    <w:qFormat/>
    <w:uiPriority w:val="0"/>
    <w:rPr>
      <w:rFonts w:hint="default" w:ascii="Times New Roman" w:hAnsi="Times New Roman" w:cs="Times New Roman"/>
      <w:color w:val="000000"/>
      <w:sz w:val="24"/>
      <w:szCs w:val="24"/>
      <w:u w:val="none"/>
    </w:rPr>
  </w:style>
  <w:style w:type="paragraph" w:customStyle="1" w:styleId="24">
    <w:name w:val="正文内容"/>
    <w:basedOn w:val="1"/>
    <w:autoRedefine/>
    <w:qFormat/>
    <w:uiPriority w:val="0"/>
    <w:pPr>
      <w:spacing w:line="360" w:lineRule="auto"/>
      <w:ind w:firstLine="420"/>
    </w:pPr>
    <w:rPr>
      <w:rFonts w:ascii="Times New Roman" w:hAnsi="Times New Roman" w:eastAsia="宋体"/>
      <w:sz w:val="24"/>
      <w:szCs w:val="24"/>
      <w:lang w:val="zh-CN"/>
    </w:rPr>
  </w:style>
  <w:style w:type="paragraph" w:customStyle="1" w:styleId="25">
    <w:name w:val="List Paragraph"/>
    <w:basedOn w:val="1"/>
    <w:autoRedefine/>
    <w:qFormat/>
    <w:uiPriority w:val="34"/>
    <w:pPr>
      <w:ind w:firstLine="420" w:firstLineChars="200"/>
    </w:pPr>
  </w:style>
  <w:style w:type="paragraph" w:customStyle="1" w:styleId="26">
    <w:name w:val="NormalIndent"/>
    <w:basedOn w:val="1"/>
    <w:autoRedefine/>
    <w:qFormat/>
    <w:uiPriority w:val="0"/>
    <w:pPr>
      <w:ind w:firstLine="567"/>
    </w:pPr>
    <w:rPr>
      <w:rFonts w:ascii="Calibri" w:hAnsi="Calibri" w:eastAsia="宋体" w:cs="宋体"/>
      <w:szCs w:val="24"/>
    </w:rPr>
  </w:style>
  <w:style w:type="paragraph" w:customStyle="1" w:styleId="27">
    <w:name w:val="列出段落1"/>
    <w:basedOn w:val="1"/>
    <w:autoRedefine/>
    <w:qFormat/>
    <w:uiPriority w:val="34"/>
    <w:pPr>
      <w:ind w:firstLine="420" w:firstLineChars="200"/>
    </w:pPr>
  </w:style>
  <w:style w:type="paragraph" w:customStyle="1" w:styleId="28">
    <w:name w:val="Table Text"/>
    <w:basedOn w:val="1"/>
    <w:autoRedefine/>
    <w:semiHidden/>
    <w:qFormat/>
    <w:uiPriority w:val="0"/>
    <w:rPr>
      <w:rFonts w:ascii="仿宋" w:hAnsi="仿宋" w:eastAsia="仿宋" w:cs="仿宋"/>
      <w:sz w:val="13"/>
      <w:szCs w:val="13"/>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3014</Words>
  <Characters>3227</Characters>
  <Lines>0</Lines>
  <Paragraphs>0</Paragraphs>
  <TotalTime>3</TotalTime>
  <ScaleCrop>false</ScaleCrop>
  <LinksUpToDate>false</LinksUpToDate>
  <CharactersWithSpaces>3227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2023-04-17T03:27:00Z</dcterms:created>
  <dc:creator>WPS_1614401385</dc:creator>
  <cp:lastModifiedBy>周沫</cp:lastModifiedBy>
  <cp:lastPrinted>2023-12-08T11:28:00Z</cp:lastPrinted>
  <dcterms:modified xsi:type="dcterms:W3CDTF">2024-07-15T08:07:45Z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7380CBABDB4940C983A7A875758B73B9_13</vt:lpwstr>
  </property>
</Properties>
</file>