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8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467"/>
        <w:gridCol w:w="5004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03" w:hRule="atLeast"/>
          <w:jc w:val="center"/>
        </w:trPr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责任单位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年度任务目标</w:t>
            </w:r>
          </w:p>
        </w:tc>
        <w:tc>
          <w:tcPr>
            <w:tcW w:w="5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进展情况、取得成效</w:t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后续举措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区农业农村局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粮食综合生产能力稳定在14.3万吨以上，粮食播种面积稳定在36.5 万亩以上。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落细落实耕地保护和粮食安全责任制，推广良种、良法、良制配套技术措施，促进粮油生产高质量发展。全区粮食作物播种面积36.55万亩，产量14.83万吨，均超额完成年度任务。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贯彻落实“藏粮于地 藏粮于技”战略，从“稳面积，增单产”两方面入手。一是实施各项惠农补贴政策，提高种粮农民的积极性；二是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开展农业生产技术培训班、现场技术指导等活动，促进主要粮油作物单产提升。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区农业农村局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大力实施土壤污染防治行动，确保耕地安全利用率100%。</w:t>
            </w:r>
          </w:p>
        </w:tc>
        <w:tc>
          <w:tcPr>
            <w:tcW w:w="5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制定《山亭区受污染耕地安全利用实施方案》，实施受污染耕地安全利用措施，2024年山亭区受污染耕地安全利用率达到100%。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区农业农村局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  <w:t>做强现代畜牧渔业，新建“美丽鱼塘”35处，推动宏达通、盛邦等4个养殖项目竣工投产，华宝牧业争创国家级农业龙头企业。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  <w:t>新建“美丽鱼塘”35处，项目已经全面竣工并完 成验收。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95102"/>
    <w:rsid w:val="114372A8"/>
    <w:rsid w:val="55407FBD"/>
    <w:rsid w:val="74F95102"/>
    <w:rsid w:val="75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2025-01-02T08:40:00Z</dcterms:created>
  <dc:creator>Administrator</dc:creator>
  <cp:lastModifiedBy>Administrator</cp:lastModifiedBy>
  <cp:lastPrinted>2025-01-02T08:51:00Z</cp:lastPrinted>
  <dcterms:modified xsi:type="dcterms:W3CDTF">2025-01-03T00:45:08Z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A1F9E18654814CA3934C2FD2BFA096FB_11</vt:lpwstr>
  </property>
</Properties>
</file>