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DD16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p>
    <w:p w14:paraId="567B0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根据《中共中央办公厅 国务院办公厅法治政府建设与责任落实督察工作规定》（以下简称《规定》）和《中共枣庄市委 枣庄市人民政府关于印发〈枣庄市法治政府建设实施纲要（2021—2025年）〉的通知》（以下简称《纲要》）要求，山亭区科技局始终坚持以习近平新时代中国特色社会主义思想为指导，严格按照市、区两级法治政府建设的工作部署，进一步加强法治政府建设，为区市科技事业发展提供了法治保障。现将情况报告如下：</w:t>
      </w:r>
    </w:p>
    <w:p w14:paraId="6DF06A18">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一、2024年度推进法治政府建设的主要举措和成效</w:t>
      </w:r>
    </w:p>
    <w:p w14:paraId="598E12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加强法治政府理论学习。</w:t>
      </w:r>
      <w:r>
        <w:rPr>
          <w:rFonts w:hint="eastAsia" w:ascii="仿宋_GB2312" w:eastAsia="仿宋_GB2312" w:cs="仿宋_GB2312"/>
          <w:color w:val="000000"/>
          <w:kern w:val="0"/>
          <w:sz w:val="32"/>
          <w:szCs w:val="32"/>
          <w:lang w:val="en-US" w:eastAsia="zh-CN"/>
        </w:rPr>
        <w:t>区科技局坚持将习近平总书记重要讲话、重要指示和党中央决策部署，上级的重要会议精神等，作为各类会议的第一议题，确保科技各项工作始终沿着正确的政治方向前进。坚持把政治标准作为第一标准，通过常态化的学习，做到在思想上、政治上、行动上时刻同党中央保持高度一致，落实全面从严治党各项要求，不断发挥党建引领，带动全局各项工作稳步开展。局主要领导担负起法治建设第一责任人职责，全年累计开展中心组学习12次，组织全局党员干部开展集中学习16次。在党组理论学习中心组学习会议上领学《习近平新时代中国特色社会主义思想学习纲要》《习近平关于调查研究论述摘编》等内容。落实会前学法制度，在召开会议前始终坚持集体学习《习近平法治思想学习纲要》《习近平法治思想学习问答》《中国共产党百年法治大事记》《坚持走中国特色社会主义法治道路，更好推进中国特色社会主义法治体系建设》等法律法规，切实强化法治学习常态化。</w:t>
      </w:r>
    </w:p>
    <w:p w14:paraId="4AF4D7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继续抓好优化发展环境</w:t>
      </w:r>
      <w:bookmarkStart w:id="0" w:name="_GoBack"/>
      <w:r>
        <w:rPr>
          <w:rFonts w:hint="eastAsia" w:ascii="楷体_GB2312" w:hAnsi="楷体_GB2312" w:eastAsia="楷体_GB2312" w:cs="楷体_GB2312"/>
          <w:b w:val="0"/>
          <w:bCs w:val="0"/>
          <w:i w:val="0"/>
          <w:caps w:val="0"/>
          <w:color w:val="auto"/>
          <w:spacing w:val="0"/>
          <w:sz w:val="32"/>
          <w:szCs w:val="32"/>
          <w:shd w:val="clear" w:fill="FFFFFF"/>
          <w:lang w:val="en-US" w:eastAsia="zh-CN"/>
        </w:rPr>
        <w:t>持久战</w:t>
      </w:r>
      <w:bookmarkEnd w:id="0"/>
      <w:r>
        <w:rPr>
          <w:rFonts w:hint="eastAsia" w:ascii="楷体_GB2312" w:hAnsi="楷体_GB2312" w:eastAsia="楷体_GB2312" w:cs="楷体_GB2312"/>
          <w:b w:val="0"/>
          <w:bCs w:val="0"/>
          <w:i w:val="0"/>
          <w:caps w:val="0"/>
          <w:color w:val="auto"/>
          <w:spacing w:val="0"/>
          <w:sz w:val="32"/>
          <w:szCs w:val="32"/>
          <w:shd w:val="clear" w:fill="FFFFFF"/>
          <w:lang w:val="en-US" w:eastAsia="zh-CN"/>
        </w:rPr>
        <w:t>。</w:t>
      </w:r>
      <w:r>
        <w:rPr>
          <w:rFonts w:hint="eastAsia" w:ascii="仿宋_GB2312" w:eastAsia="仿宋_GB2312" w:cs="仿宋_GB2312"/>
          <w:color w:val="000000"/>
          <w:kern w:val="0"/>
          <w:sz w:val="32"/>
          <w:szCs w:val="32"/>
          <w:lang w:val="en-US" w:eastAsia="zh-CN"/>
        </w:rPr>
        <w:t>法治建设护航科技攻关，成功建设省市各级平台7个，获批省市科技创新项目6项，先后促成长泽新材料与山东大学、千禧农牧与山东农业大学、宏仔食品与常州大学等共计8项产学研合作。法治建设惠及科技企业，积极争取省研发费用、高新技术企业奖励等政策，帮助41家企业申请枣庄市科技成果转化贷款3.02亿元，争取山东省中小微企业升级高新技术企业财政补助资金140万元，山东省企业研究开发财政补助资金190万元等各类资金800余万元。全区通过国家科技型中小企业评价124家，获批国家级高新技术企业20家。</w:t>
      </w:r>
    </w:p>
    <w:p w14:paraId="061DA40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大力开展科普法治宣传活动。</w:t>
      </w:r>
      <w:r>
        <w:rPr>
          <w:rFonts w:hint="eastAsia" w:ascii="仿宋_GB2312" w:eastAsia="仿宋_GB2312" w:cs="仿宋_GB2312"/>
          <w:color w:val="000000"/>
          <w:kern w:val="0"/>
          <w:sz w:val="32"/>
          <w:szCs w:val="32"/>
          <w:lang w:val="en-US" w:eastAsia="zh-CN"/>
        </w:rPr>
        <w:t>一是建立科技局普法志愿队，多措并举向社会公众普法，全方位增强普法宣传实效。结合“3.15”国际消费者权益日、“4.26”世界知识产权日、“5.12”防震减灾日、科技宣传周、宪法法律宣传月等主题活动，通过举办法治宣传咨询活动、印制分发宣传资料等方式开展普法活动。二是结合“科普活动周”等活动，每年会同科协等相关部门深入各镇街各村发放宣传资料，进行现场答疑，深入开展科普宣传活动。会同上级科技主管部门，面向知识产权优势企业、科技型中小企业、高新技术企业等单位，开展安全生产法律普及、劳动法宣讲等活动。四是编制印发了《科技政策汇编》，涵盖近年来多个科技扶持政策文件，下发到各有关企业，使企业对科技政策有了更全面地了解。</w:t>
      </w:r>
    </w:p>
    <w:p w14:paraId="3689917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二、2024年度推进法治政府建设存在的不足和原因</w:t>
      </w:r>
    </w:p>
    <w:p w14:paraId="1D8B370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健全依法行政制度体系方面还有差距。</w:t>
      </w:r>
      <w:r>
        <w:rPr>
          <w:rFonts w:hint="eastAsia" w:ascii="仿宋_GB2312" w:eastAsia="仿宋_GB2312" w:cs="仿宋_GB2312"/>
          <w:color w:val="000000"/>
          <w:kern w:val="0"/>
          <w:sz w:val="32"/>
          <w:szCs w:val="32"/>
          <w:lang w:val="en-US" w:eastAsia="zh-CN"/>
        </w:rPr>
        <w:t>2024年以来，区科技局虽然在推进法治政府建设上取得了一定成效，但在建立健全良好的法治环境要求还存在一定的差距，在规范性文件审查力度方面，公平竞争审查，优化营商环境，立法工作等方面还需要进一步加强。</w:t>
      </w:r>
    </w:p>
    <w:p w14:paraId="5392A74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法律法规及政策宣讲力度待进一步加强。</w:t>
      </w:r>
      <w:r>
        <w:rPr>
          <w:rFonts w:hint="eastAsia" w:ascii="仿宋_GB2312" w:eastAsia="仿宋_GB2312" w:cs="仿宋_GB2312"/>
          <w:color w:val="000000"/>
          <w:kern w:val="0"/>
          <w:sz w:val="32"/>
          <w:szCs w:val="32"/>
          <w:lang w:val="en-US" w:eastAsia="zh-CN"/>
        </w:rPr>
        <w:t>送政策、法律“进机关”“进企业”工作有待进一步夯实提升，“送、解、优”活动更需深入做实、做细，切实让企业得到实惠。</w:t>
      </w:r>
    </w:p>
    <w:p w14:paraId="562400C2">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三、2024年度党政主要负责人履行推进法治建设第一责任人职责，加强法治政府建设的有关情况</w:t>
      </w:r>
    </w:p>
    <w:p w14:paraId="340D84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区科技局将法治建设工作作为一项重要的政治任务，推动完善各项机制，加强工作保障。</w:t>
      </w:r>
      <w:r>
        <w:rPr>
          <w:rFonts w:hint="eastAsia" w:ascii="楷体_GB2312" w:hAnsi="楷体_GB2312" w:eastAsia="楷体_GB2312" w:cs="楷体_GB2312"/>
          <w:b w:val="0"/>
          <w:bCs w:val="0"/>
          <w:i w:val="0"/>
          <w:caps w:val="0"/>
          <w:color w:val="auto"/>
          <w:spacing w:val="0"/>
          <w:sz w:val="32"/>
          <w:szCs w:val="32"/>
          <w:shd w:val="clear" w:fill="FFFFFF"/>
          <w:lang w:val="en-US" w:eastAsia="zh-CN"/>
        </w:rPr>
        <w:t>一是</w:t>
      </w:r>
      <w:r>
        <w:rPr>
          <w:rFonts w:hint="eastAsia" w:ascii="仿宋_GB2312" w:eastAsia="仿宋_GB2312" w:cs="仿宋_GB2312"/>
          <w:color w:val="000000"/>
          <w:kern w:val="0"/>
          <w:sz w:val="32"/>
          <w:szCs w:val="32"/>
          <w:lang w:val="en-US" w:eastAsia="zh-CN"/>
        </w:rPr>
        <w:t>成立由局长任组长的局依法行政工作领导小组，研究解决依法行政工作中的问题，形成了一把手领导总负责、分管领导和各科室负责人分工负责的依法行政工作体系，保证了依法行政和政务公开工作的顺利推进。</w:t>
      </w:r>
      <w:r>
        <w:rPr>
          <w:rFonts w:hint="eastAsia" w:ascii="楷体_GB2312" w:hAnsi="楷体_GB2312" w:eastAsia="楷体_GB2312" w:cs="楷体_GB2312"/>
          <w:b w:val="0"/>
          <w:bCs w:val="0"/>
          <w:i w:val="0"/>
          <w:caps w:val="0"/>
          <w:color w:val="auto"/>
          <w:spacing w:val="0"/>
          <w:sz w:val="32"/>
          <w:szCs w:val="32"/>
          <w:shd w:val="clear" w:fill="FFFFFF"/>
          <w:lang w:val="en-US" w:eastAsia="zh-CN"/>
        </w:rPr>
        <w:t>二是</w:t>
      </w:r>
      <w:r>
        <w:rPr>
          <w:rFonts w:hint="eastAsia" w:ascii="仿宋_GB2312" w:eastAsia="仿宋_GB2312" w:cs="仿宋_GB2312"/>
          <w:color w:val="000000"/>
          <w:kern w:val="0"/>
          <w:sz w:val="32"/>
          <w:szCs w:val="32"/>
          <w:lang w:val="en-US" w:eastAsia="zh-CN"/>
        </w:rPr>
        <w:t>全面落实将党政主要负责人履行推进法治建设第一责任人职责，列入年终述职内容，实现规范化、制度化、常态化。</w:t>
      </w:r>
      <w:r>
        <w:rPr>
          <w:rFonts w:hint="eastAsia" w:ascii="楷体_GB2312" w:hAnsi="楷体_GB2312" w:eastAsia="楷体_GB2312" w:cs="楷体_GB2312"/>
          <w:b w:val="0"/>
          <w:bCs w:val="0"/>
          <w:i w:val="0"/>
          <w:caps w:val="0"/>
          <w:color w:val="auto"/>
          <w:spacing w:val="0"/>
          <w:sz w:val="32"/>
          <w:szCs w:val="32"/>
          <w:shd w:val="clear" w:fill="FFFFFF"/>
          <w:lang w:val="en-US" w:eastAsia="zh-CN"/>
        </w:rPr>
        <w:t>三是</w:t>
      </w:r>
      <w:r>
        <w:rPr>
          <w:rFonts w:hint="eastAsia" w:ascii="仿宋_GB2312" w:eastAsia="仿宋_GB2312" w:cs="仿宋_GB2312"/>
          <w:color w:val="000000"/>
          <w:kern w:val="0"/>
          <w:sz w:val="32"/>
          <w:szCs w:val="32"/>
          <w:lang w:val="en-US" w:eastAsia="zh-CN"/>
        </w:rPr>
        <w:t>督促领导班子成员和工作人员依法办事，进一步规范行政行为，全年未发生领导干部违规干预、插手具体案件处理等情况。</w:t>
      </w:r>
    </w:p>
    <w:p w14:paraId="45E3B961">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四、2025年度推进法治政府建设的主要安排</w:t>
      </w:r>
    </w:p>
    <w:p w14:paraId="01A1FC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kern w:val="0"/>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一是</w:t>
      </w:r>
      <w:r>
        <w:rPr>
          <w:rFonts w:hint="eastAsia" w:ascii="仿宋_GB2312" w:eastAsia="仿宋_GB2312" w:cs="仿宋_GB2312"/>
          <w:color w:val="000000"/>
          <w:kern w:val="0"/>
          <w:sz w:val="32"/>
          <w:szCs w:val="32"/>
          <w:lang w:val="en-US" w:eastAsia="zh-CN"/>
        </w:rPr>
        <w:t>加大宣传力度，充分利用大型宣传活动，集中开展咨询宣传活动，开展普法知识进企业、进社区、进校园活动，增强全民法治意识。</w:t>
      </w:r>
      <w:r>
        <w:rPr>
          <w:rFonts w:hint="eastAsia" w:ascii="楷体_GB2312" w:hAnsi="楷体_GB2312" w:eastAsia="楷体_GB2312" w:cs="楷体_GB2312"/>
          <w:b w:val="0"/>
          <w:bCs w:val="0"/>
          <w:i w:val="0"/>
          <w:caps w:val="0"/>
          <w:color w:val="auto"/>
          <w:spacing w:val="0"/>
          <w:sz w:val="32"/>
          <w:szCs w:val="32"/>
          <w:shd w:val="clear" w:fill="FFFFFF"/>
          <w:lang w:val="en-US" w:eastAsia="zh-CN"/>
        </w:rPr>
        <w:t>二是</w:t>
      </w:r>
      <w:r>
        <w:rPr>
          <w:rFonts w:hint="eastAsia" w:ascii="仿宋_GB2312" w:eastAsia="仿宋_GB2312" w:cs="仿宋_GB2312"/>
          <w:color w:val="000000"/>
          <w:kern w:val="0"/>
          <w:sz w:val="32"/>
          <w:szCs w:val="32"/>
          <w:lang w:val="en-US" w:eastAsia="zh-CN"/>
        </w:rPr>
        <w:t>加强法治学习，进一步加强干部职工的法律法规和政治理论学习，营造自觉学法、知法、用法、学法的氛围。</w:t>
      </w:r>
      <w:r>
        <w:rPr>
          <w:rFonts w:hint="eastAsia" w:ascii="楷体_GB2312" w:hAnsi="楷体_GB2312" w:eastAsia="楷体_GB2312" w:cs="楷体_GB2312"/>
          <w:b w:val="0"/>
          <w:bCs w:val="0"/>
          <w:i w:val="0"/>
          <w:caps w:val="0"/>
          <w:color w:val="auto"/>
          <w:spacing w:val="0"/>
          <w:sz w:val="32"/>
          <w:szCs w:val="32"/>
          <w:shd w:val="clear" w:fill="FFFFFF"/>
          <w:lang w:val="en-US" w:eastAsia="zh-CN"/>
        </w:rPr>
        <w:t>三是</w:t>
      </w:r>
      <w:r>
        <w:rPr>
          <w:rFonts w:hint="eastAsia" w:ascii="仿宋_GB2312" w:eastAsia="仿宋_GB2312" w:cs="仿宋_GB2312"/>
          <w:color w:val="000000"/>
          <w:kern w:val="0"/>
          <w:sz w:val="32"/>
          <w:szCs w:val="32"/>
          <w:lang w:val="en-US" w:eastAsia="zh-CN"/>
        </w:rPr>
        <w:t>加强法律实践，坚持学法用法相结合，全面推进科技行业法律宣传、依法行政、依法管理。</w:t>
      </w:r>
      <w:r>
        <w:rPr>
          <w:rFonts w:hint="eastAsia" w:ascii="楷体_GB2312" w:hAnsi="楷体_GB2312" w:eastAsia="楷体_GB2312" w:cs="楷体_GB2312"/>
          <w:b w:val="0"/>
          <w:bCs w:val="0"/>
          <w:i w:val="0"/>
          <w:caps w:val="0"/>
          <w:color w:val="auto"/>
          <w:spacing w:val="0"/>
          <w:sz w:val="32"/>
          <w:szCs w:val="32"/>
          <w:shd w:val="clear" w:fill="FFFFFF"/>
          <w:lang w:val="en-US" w:eastAsia="zh-CN"/>
        </w:rPr>
        <w:t>四是</w:t>
      </w:r>
      <w:r>
        <w:rPr>
          <w:rFonts w:hint="eastAsia" w:ascii="仿宋_GB2312" w:eastAsia="仿宋_GB2312" w:cs="仿宋_GB2312"/>
          <w:color w:val="000000"/>
          <w:kern w:val="0"/>
          <w:sz w:val="32"/>
          <w:szCs w:val="32"/>
          <w:lang w:val="en-US" w:eastAsia="zh-CN"/>
        </w:rPr>
        <w:t>健全完善学法、用法各项制度，进一步提高干部职工的法治观念和法律意识，逐步实现科技服务管理法治化。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8CEE1"/>
    <w:multiLevelType w:val="singleLevel"/>
    <w:tmpl w:val="F1D8CEE1"/>
    <w:lvl w:ilvl="0" w:tentative="0">
      <w:start w:val="1"/>
      <w:numFmt w:val="chineseCounting"/>
      <w:suff w:val="nothing"/>
      <w:lvlText w:val="（%1）"/>
      <w:lvlJc w:val="left"/>
      <w:rPr>
        <w:rFonts w:hint="eastAsia"/>
      </w:rPr>
    </w:lvl>
  </w:abstractNum>
  <w:abstractNum w:abstractNumId="1">
    <w:nsid w:val="0F11498D"/>
    <w:multiLevelType w:val="singleLevel"/>
    <w:tmpl w:val="0F1149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2154F"/>
    <w:rsid w:val="0C0B021D"/>
    <w:rsid w:val="2F12154F"/>
    <w:rsid w:val="3AE62E4D"/>
    <w:rsid w:val="67F0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1893</Words>
  <Characters>1941</Characters>
  <Lines>0</Lines>
  <Paragraphs>0</Paragraphs>
  <TotalTime>24</TotalTime>
  <ScaleCrop>false</ScaleCrop>
  <LinksUpToDate>false</LinksUpToDate>
  <CharactersWithSpaces>1948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2025-01-07T06:56:00Z</dcterms:created>
  <dc:creator>对方正在输入...</dc:creator>
  <cp:lastModifiedBy>周沫</cp:lastModifiedBy>
  <dcterms:modified xsi:type="dcterms:W3CDTF">2025-01-26T06:22:17Z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F11B5A22E3AE4720B9F045194194E42D_11</vt:lpwstr>
  </property>
  <property fmtid="{D5CDD505-2E9C-101B-9397-08002B2CF9AE}" pid="4" name="KSOTemplateDocerSaveRecord">
    <vt:lpwstr>eyJoZGlkIjoiYWRlMzAwYWFkYmQ1M2VhOWE0YjhmNTIzODNmOGVjYWQiLCJ1c2VySWQiOiIzNzgyOTM3MzgifQ==</vt:lpwstr>
  </property>
</Properties>
</file>