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autoSpaceDE/>
        <w:autoSpaceDN/>
        <w:spacing w:line="240" w:lineRule="auto"/>
        <w:jc w:val="center"/>
        <w:rPr>
          <w:rFonts w:hint="eastAsia" w:ascii="方正小标宋简体" w:hAnsi="方正小标宋简体" w:eastAsia="方正小标宋简体" w:cs="方正小标宋简体"/>
          <w:b w:val="0"/>
          <w:bCs w:val="0"/>
          <w:color w:val="000000"/>
          <w:kern w:val="0"/>
          <w:sz w:val="36"/>
          <w:szCs w:val="36"/>
          <w:lang w:val="en-US" w:eastAsia="zh-CN" w:bidi="ar-SA"/>
        </w:rPr>
      </w:pPr>
      <w:bookmarkStart w:id="0" w:name="_GoBack"/>
      <w:bookmarkEnd w:id="0"/>
      <w:r>
        <w:rPr>
          <w:rFonts w:hint="eastAsia" w:ascii="方正小标宋简体" w:hAnsi="方正小标宋简体" w:eastAsia="方正小标宋简体" w:cs="方正小标宋简体"/>
          <w:b w:val="0"/>
          <w:bCs w:val="0"/>
          <w:color w:val="000000"/>
          <w:sz w:val="36"/>
          <w:szCs w:val="36"/>
        </w:rPr>
        <w:t>关于</w:t>
      </w:r>
      <w:r>
        <w:rPr>
          <w:rFonts w:hint="eastAsia" w:ascii="方正小标宋简体" w:hAnsi="方正小标宋简体" w:eastAsia="方正小标宋简体" w:cs="方正小标宋简体"/>
          <w:b w:val="0"/>
          <w:bCs w:val="0"/>
          <w:color w:val="000000"/>
          <w:kern w:val="0"/>
          <w:sz w:val="36"/>
          <w:szCs w:val="36"/>
          <w:lang w:val="en-US" w:eastAsia="zh-CN" w:bidi="ar-SA"/>
        </w:rPr>
        <w:t>枣庄市山亭区赢润德肉鸡养殖专业合作社年出栏肉鸡240万只肉鸡养殖基地建设项目</w:t>
      </w:r>
    </w:p>
    <w:p>
      <w:pPr>
        <w:pStyle w:val="20"/>
        <w:autoSpaceDE/>
        <w:autoSpaceDN/>
        <w:spacing w:line="240" w:lineRule="auto"/>
        <w:jc w:val="center"/>
        <w:rPr>
          <w:rFonts w:hint="eastAsia" w:ascii="方正小标宋简体" w:hAnsi="方正小标宋简体" w:eastAsia="方正小标宋简体" w:cs="方正小标宋简体"/>
          <w:b w:val="0"/>
          <w:bCs w:val="0"/>
          <w:color w:val="000000"/>
          <w:sz w:val="36"/>
          <w:szCs w:val="36"/>
          <w:lang w:eastAsia="zh-CN"/>
        </w:rPr>
      </w:pPr>
      <w:r>
        <w:rPr>
          <w:rFonts w:hint="eastAsia" w:ascii="方正小标宋简体" w:hAnsi="方正小标宋简体" w:eastAsia="方正小标宋简体" w:cs="方正小标宋简体"/>
          <w:b w:val="0"/>
          <w:bCs w:val="0"/>
          <w:color w:val="000000"/>
          <w:sz w:val="36"/>
          <w:szCs w:val="36"/>
        </w:rPr>
        <w:t>环境影响报告书的批复</w:t>
      </w:r>
      <w:r>
        <w:rPr>
          <w:rFonts w:hint="eastAsia" w:ascii="方正小标宋简体" w:hAnsi="方正小标宋简体" w:eastAsia="方正小标宋简体" w:cs="方正小标宋简体"/>
          <w:b w:val="0"/>
          <w:bCs w:val="0"/>
          <w:color w:val="000000"/>
          <w:sz w:val="36"/>
          <w:szCs w:val="36"/>
          <w:lang w:eastAsia="zh-CN"/>
        </w:rPr>
        <w:t>（拟）</w:t>
      </w:r>
    </w:p>
    <w:p>
      <w:pPr>
        <w:pStyle w:val="13"/>
        <w:spacing w:before="0" w:beforeAutospacing="0" w:after="0" w:afterAutospacing="0" w:line="500" w:lineRule="exact"/>
        <w:jc w:val="both"/>
        <w:rPr>
          <w:rFonts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eastAsia="仿宋_GB2312"/>
          <w:color w:val="000000"/>
          <w:sz w:val="32"/>
          <w:szCs w:val="32"/>
          <w:lang w:val="en-US" w:eastAsia="zh-CN"/>
        </w:rPr>
      </w:pPr>
      <w:r>
        <w:rPr>
          <w:rFonts w:hint="eastAsia" w:eastAsia="仿宋_GB2312"/>
          <w:color w:val="000000"/>
          <w:sz w:val="32"/>
          <w:szCs w:val="32"/>
          <w:lang w:val="en-US" w:eastAsia="zh-CN"/>
        </w:rPr>
        <w:t>枣庄市山亭区赢润德肉鸡养殖专业合作社：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eastAsia="仿宋_GB2312"/>
          <w:color w:val="000000"/>
          <w:sz w:val="32"/>
          <w:szCs w:val="32"/>
          <w:lang w:val="en-US" w:eastAsia="zh-CN"/>
        </w:rPr>
      </w:pPr>
      <w:r>
        <w:rPr>
          <w:rFonts w:hint="eastAsia" w:eastAsia="仿宋_GB2312"/>
          <w:color w:val="000000"/>
          <w:sz w:val="32"/>
          <w:szCs w:val="32"/>
          <w:lang w:val="en-US" w:eastAsia="zh-CN"/>
        </w:rPr>
        <w:t>你单位报送的年出栏肉鸡240万只肉鸡养殖基地建设项目环境影响评价文件许可的相关材料收悉。根据《中华人民共和国行政许可法》、《中华人民共和国环境影响评价法》等相关环保法律法规，经研究，形成批复意见如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eastAsia="仿宋_GB2312"/>
          <w:color w:val="000000"/>
          <w:sz w:val="32"/>
          <w:szCs w:val="32"/>
          <w:lang w:val="en-US" w:eastAsia="zh-CN"/>
        </w:rPr>
      </w:pPr>
      <w:r>
        <w:rPr>
          <w:rFonts w:hint="eastAsia" w:eastAsia="仿宋_GB2312"/>
          <w:color w:val="000000"/>
          <w:sz w:val="32"/>
          <w:szCs w:val="32"/>
          <w:lang w:val="en-US" w:eastAsia="zh-CN"/>
        </w:rPr>
        <w:t>一、根据你单位委托山东绿源工程设计研究有限公司编制的《枣庄市山亭区赢润德肉鸡养殖专业合作社年出栏肉鸡240万只肉鸡养殖基地建设项目环境影响报告书》（以下简称《环评报告书》）等相关材料，在项目符合规划的前提下，原则同意《环评报告书》结论。你单位必须严格按照《环评报告书》所列建设项目的性质、规模、地点和生产工艺以及环境保护对策措施和要求进行建设生产，环评报告中提及的环境保护污染防治措施应作为本项目污染治理设施设计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eastAsia="仿宋_GB2312"/>
          <w:color w:val="000000"/>
          <w:sz w:val="32"/>
          <w:szCs w:val="32"/>
          <w:lang w:val="en-US" w:eastAsia="zh-CN"/>
        </w:rPr>
      </w:pPr>
      <w:r>
        <w:rPr>
          <w:rFonts w:hint="eastAsia" w:eastAsia="仿宋_GB2312"/>
          <w:color w:val="000000"/>
          <w:sz w:val="32"/>
          <w:szCs w:val="32"/>
          <w:lang w:val="en-US" w:eastAsia="zh-CN"/>
        </w:rPr>
        <w:t>二、本项目为扩建项目，位于山亭区凫城镇牛角峪村南900米，新增占地面积13666m2，对现有5栋鸡舍进行改造，同时新建8栋鸡舍，建成后共13栋鸡舍，可实现年产240万只肉鸡。目前改扩建项目已基本建设完成，为未批先建，补办环评手续。</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eastAsia="仿宋_GB2312"/>
          <w:color w:val="000000"/>
          <w:sz w:val="32"/>
          <w:szCs w:val="32"/>
          <w:lang w:val="en-US" w:eastAsia="zh-CN"/>
        </w:rPr>
      </w:pPr>
      <w:r>
        <w:rPr>
          <w:rFonts w:hint="eastAsia" w:eastAsia="仿宋_GB2312"/>
          <w:color w:val="000000"/>
          <w:sz w:val="32"/>
          <w:szCs w:val="32"/>
          <w:lang w:val="en-US" w:eastAsia="zh-CN"/>
        </w:rPr>
        <w:t>三、本项目须严格落实环境影响报告书提出的污染防治措施和以下要求: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eastAsia="仿宋_GB2312"/>
          <w:color w:val="000000"/>
          <w:sz w:val="32"/>
          <w:szCs w:val="32"/>
          <w:lang w:val="en-US" w:eastAsia="zh-CN"/>
        </w:rPr>
      </w:pPr>
      <w:r>
        <w:rPr>
          <w:rFonts w:hint="eastAsia" w:eastAsia="仿宋_GB2312"/>
          <w:color w:val="000000"/>
          <w:sz w:val="32"/>
          <w:szCs w:val="32"/>
          <w:lang w:val="en-US" w:eastAsia="zh-CN"/>
        </w:rPr>
        <w:t>1、加强废水的污染防治。要按照雨污分流的原则设计、落实排水系统，并对场区内地面进行防渗处理。本项目厂区内设置污水处理站，生活污水经化粪池处理后与鸡舍冲洗废水、湿帘排水一同经污水处理站处理达标后排入暂存池，出水水质能够满足《农田灌溉水质标准》(GB5084-2021)表1标准(旱作)要求，灌溉期出水可直接用于农田灌溉，非灌溉期暂存于拟建暂存池（1500m</w:t>
      </w:r>
      <w:r>
        <w:rPr>
          <w:rFonts w:hint="eastAsia" w:eastAsia="仿宋_GB2312"/>
          <w:color w:val="000000"/>
          <w:sz w:val="32"/>
          <w:szCs w:val="32"/>
          <w:vertAlign w:val="superscript"/>
          <w:lang w:val="en-US" w:eastAsia="zh-CN"/>
        </w:rPr>
        <w:t>3</w:t>
      </w:r>
      <w:r>
        <w:rPr>
          <w:rFonts w:hint="eastAsia" w:eastAsia="仿宋_GB2312"/>
          <w:color w:val="000000"/>
          <w:sz w:val="32"/>
          <w:szCs w:val="32"/>
          <w:lang w:val="en-US" w:eastAsia="zh-CN"/>
        </w:rPr>
        <w:t>）内，待灌溉期用于农田灌溉。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eastAsia="仿宋_GB2312"/>
          <w:color w:val="000000"/>
          <w:sz w:val="32"/>
          <w:szCs w:val="32"/>
          <w:lang w:val="en-US" w:eastAsia="zh-CN"/>
        </w:rPr>
      </w:pPr>
      <w:r>
        <w:rPr>
          <w:rFonts w:hint="eastAsia" w:eastAsia="仿宋_GB2312"/>
          <w:color w:val="000000"/>
          <w:sz w:val="32"/>
          <w:szCs w:val="32"/>
          <w:lang w:val="en-US" w:eastAsia="zh-CN"/>
        </w:rPr>
        <w:t>厂区污水处理站采用“调节池+水解酸化+SBR+消毒”污水处理工艺，设计处理能力为55m</w:t>
      </w:r>
      <w:r>
        <w:rPr>
          <w:rFonts w:hint="eastAsia" w:eastAsia="仿宋_GB2312"/>
          <w:color w:val="000000"/>
          <w:sz w:val="32"/>
          <w:szCs w:val="32"/>
          <w:vertAlign w:val="superscript"/>
          <w:lang w:val="en-US" w:eastAsia="zh-CN"/>
        </w:rPr>
        <w:t>3</w:t>
      </w:r>
      <w:r>
        <w:rPr>
          <w:rFonts w:hint="eastAsia" w:eastAsia="仿宋_GB2312"/>
          <w:color w:val="000000"/>
          <w:sz w:val="32"/>
          <w:szCs w:val="32"/>
          <w:lang w:val="en-US" w:eastAsia="zh-CN"/>
        </w:rPr>
        <w:t>/d。</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eastAsia="仿宋_GB2312"/>
          <w:color w:val="auto"/>
          <w:sz w:val="32"/>
          <w:szCs w:val="32"/>
          <w:lang w:val="en-US" w:eastAsia="zh-CN"/>
        </w:rPr>
      </w:pPr>
      <w:r>
        <w:rPr>
          <w:rFonts w:hint="eastAsia" w:eastAsia="仿宋_GB2312"/>
          <w:color w:val="000000"/>
          <w:sz w:val="32"/>
          <w:szCs w:val="32"/>
          <w:lang w:val="en-US" w:eastAsia="zh-CN"/>
        </w:rPr>
        <w:t>2、加强废气的污染防治。污水站各类水池及鸡粪暂存池进行封闭收集，</w:t>
      </w:r>
      <w:r>
        <w:rPr>
          <w:rFonts w:hint="eastAsia" w:eastAsia="仿宋_GB2312"/>
          <w:color w:val="000000"/>
          <w:sz w:val="32"/>
          <w:szCs w:val="32"/>
          <w:lang w:val="en-US" w:eastAsia="zh-CN"/>
        </w:rPr>
        <w:t>经“生物除臭塔”除臭处理</w:t>
      </w:r>
      <w:r>
        <w:rPr>
          <w:rFonts w:hint="eastAsia" w:eastAsia="仿宋_GB2312"/>
          <w:color w:val="000000"/>
          <w:sz w:val="32"/>
          <w:szCs w:val="32"/>
          <w:lang w:val="en-US" w:eastAsia="zh-CN"/>
        </w:rPr>
        <w:t>后，通过一根15m高排气筒排放(DA001</w:t>
      </w:r>
      <w:r>
        <w:rPr>
          <w:rFonts w:hint="eastAsia" w:eastAsia="仿宋_GB2312"/>
          <w:color w:val="000000"/>
          <w:sz w:val="32"/>
          <w:szCs w:val="32"/>
          <w:lang w:val="en-US" w:eastAsia="zh-CN"/>
        </w:rPr>
        <w:t>)</w:t>
      </w:r>
      <w:r>
        <w:rPr>
          <w:rFonts w:hint="eastAsia" w:eastAsia="仿宋_GB2312"/>
          <w:color w:val="auto"/>
          <w:sz w:val="32"/>
          <w:szCs w:val="32"/>
          <w:lang w:val="en-US" w:eastAsia="zh-CN"/>
        </w:rPr>
        <w:t>，H</w:t>
      </w:r>
      <w:r>
        <w:rPr>
          <w:rFonts w:hint="eastAsia" w:eastAsia="仿宋_GB2312"/>
          <w:color w:val="auto"/>
          <w:sz w:val="32"/>
          <w:szCs w:val="32"/>
          <w:vertAlign w:val="subscript"/>
          <w:lang w:val="en-US" w:eastAsia="zh-CN"/>
        </w:rPr>
        <w:t>2</w:t>
      </w:r>
      <w:r>
        <w:rPr>
          <w:rFonts w:hint="eastAsia" w:eastAsia="仿宋_GB2312"/>
          <w:color w:val="auto"/>
          <w:sz w:val="32"/>
          <w:szCs w:val="32"/>
          <w:lang w:val="en-US" w:eastAsia="zh-CN"/>
        </w:rPr>
        <w:t>S、NH</w:t>
      </w:r>
      <w:r>
        <w:rPr>
          <w:rFonts w:hint="eastAsia" w:eastAsia="仿宋_GB2312"/>
          <w:color w:val="auto"/>
          <w:sz w:val="32"/>
          <w:szCs w:val="32"/>
          <w:vertAlign w:val="subscript"/>
          <w:lang w:val="en-US" w:eastAsia="zh-CN"/>
        </w:rPr>
        <w:t>3</w:t>
      </w:r>
      <w:r>
        <w:rPr>
          <w:rFonts w:hint="eastAsia" w:eastAsia="仿宋_GB2312"/>
          <w:color w:val="auto"/>
          <w:sz w:val="32"/>
          <w:szCs w:val="32"/>
          <w:lang w:val="en-US" w:eastAsia="zh-CN"/>
        </w:rPr>
        <w:t>执行《恶臭污染物排放标准》（GB14554-93）限值要求，臭气浓度有组织排放执行《山东省畜禽养殖业污染物排放标准》（DB37/534-2005）,臭气浓度无组织排放执行《恶臭污染物排放标准》（GB14554-93）。</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eastAsia="仿宋_GB2312"/>
          <w:color w:val="000000"/>
          <w:sz w:val="32"/>
          <w:szCs w:val="32"/>
          <w:lang w:val="en-US" w:eastAsia="zh-CN"/>
        </w:rPr>
      </w:pPr>
      <w:r>
        <w:rPr>
          <w:rFonts w:hint="eastAsia" w:eastAsia="仿宋_GB2312"/>
          <w:color w:val="000000"/>
          <w:sz w:val="32"/>
          <w:szCs w:val="32"/>
          <w:lang w:val="en-US" w:eastAsia="zh-CN"/>
        </w:rPr>
        <w:t>3、加强固废污染防治。本项目鸡粪、饲料残渣及散落羽毛、污泥等，作为有机肥外售。病死鸡须及时送至畜禽无害化处理中心，场内不得自行处置。</w:t>
      </w:r>
      <w:r>
        <w:rPr>
          <w:rFonts w:hint="eastAsia" w:ascii="仿宋" w:hAnsi="仿宋" w:eastAsia="仿宋" w:cs="仿宋"/>
          <w:color w:val="000000"/>
          <w:kern w:val="2"/>
          <w:sz w:val="32"/>
          <w:szCs w:val="32"/>
          <w:lang w:val="en-US" w:eastAsia="zh-CN"/>
        </w:rPr>
        <w:t>一般工业固体废物贮存场所参考执行《一般工业固体废物贮存和填埋污染控制标准》（GB18599-2020）。</w:t>
      </w:r>
    </w:p>
    <w:p>
      <w:pPr>
        <w:keepNext w:val="0"/>
        <w:keepLines w:val="0"/>
        <w:pageBreakBefore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 w:hAnsi="仿宋" w:eastAsia="仿宋" w:cs="仿宋"/>
          <w:color w:val="000000"/>
          <w:kern w:val="2"/>
          <w:sz w:val="32"/>
          <w:szCs w:val="32"/>
          <w:lang w:val="en-US" w:eastAsia="zh-CN"/>
        </w:rPr>
      </w:pPr>
      <w:r>
        <w:rPr>
          <w:rFonts w:hint="eastAsia" w:eastAsia="仿宋_GB2312"/>
          <w:color w:val="000000"/>
          <w:sz w:val="32"/>
          <w:szCs w:val="32"/>
          <w:lang w:val="en-US" w:eastAsia="zh-CN"/>
        </w:rPr>
        <w:t>废药剂瓶</w:t>
      </w:r>
      <w:r>
        <w:rPr>
          <w:rFonts w:hint="eastAsia" w:eastAsia="仿宋_GB2312"/>
          <w:color w:val="000000"/>
          <w:sz w:val="32"/>
          <w:szCs w:val="32"/>
          <w:lang w:val="en-US" w:eastAsia="zh-CN"/>
        </w:rPr>
        <w:t>等危险废物，暂存于危险废物暂存间，委托有资质的单位处置。废注射器、废药剂瓶等医疗废物，使用专用收集袋收集后置于专用周转箱，暂存于危险废物暂存间，委托有资质的单位处置。</w:t>
      </w:r>
      <w:r>
        <w:rPr>
          <w:rFonts w:hint="eastAsia" w:ascii="仿宋" w:hAnsi="仿宋" w:eastAsia="仿宋" w:cs="仿宋"/>
          <w:color w:val="000000"/>
          <w:kern w:val="2"/>
          <w:sz w:val="32"/>
          <w:szCs w:val="32"/>
          <w:lang w:val="en-US" w:eastAsia="zh-CN"/>
        </w:rPr>
        <w:t>危险废物暂存场所应按照《危险废物贮存污染控制标准》（GB18597-2023）要求建设。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eastAsia="仿宋_GB2312"/>
          <w:color w:val="000000"/>
          <w:sz w:val="32"/>
          <w:szCs w:val="32"/>
          <w:lang w:val="en-US" w:eastAsia="zh-CN"/>
        </w:rPr>
      </w:pPr>
      <w:r>
        <w:rPr>
          <w:rFonts w:hint="eastAsia" w:eastAsia="仿宋_GB2312"/>
          <w:color w:val="000000"/>
          <w:sz w:val="32"/>
          <w:szCs w:val="32"/>
          <w:lang w:val="en-US" w:eastAsia="zh-CN"/>
        </w:rPr>
        <w:t>4、加强噪声污染防治。本项目须合理布局、充分绿化、加强管理和维护高噪声设备。厂界噪声排放须满足《工业企业厂界环境噪声排放标准》（GB12348-2008）2类标准。</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rPr>
        <w:t>5、健全环境管理制度。按照国家和地</w:t>
      </w:r>
      <w:r>
        <w:rPr>
          <w:rFonts w:hint="eastAsia" w:ascii="仿宋" w:hAnsi="仿宋" w:eastAsia="仿宋" w:cs="仿宋"/>
          <w:sz w:val="32"/>
          <w:szCs w:val="32"/>
          <w:lang w:val="en-US" w:eastAsia="zh-CN"/>
        </w:rPr>
        <w:t>方有关规定，建设规范的固体废物堆放场及污染物排放口，并设立标志牌。项目建成运营后须按照《环评报告表》中污染源例行监测计划进行监测，以确保各项污染物处理达标。严格按照国家环境保护相关法律法规以及排污许可证申请与核发技术规范要求申请排污许可证，不得无证排污或不按证排污，同时应做好排污许可证执行报告等相关工作。采用先进的生产工艺、技术和设备，全面贯彻清洁生产理念，采取有效的污染物治理与废物综合利用措施，确保满足清洁生产的要求。</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强化环境风险防范和应急措施。结合《环评报告表》要求制定突发环境事件应急预案并定期演练，配备必要的事故防范应急设施、设备。严格落实非正常工况下污染防治措施，一旦出现事故，必须及时采取措施，防止造成环境污染。</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7、存档原材料及废料等材料购置、使用、库存等台账及成分说明，确保与环评文件一致。若使用原料发生变化，应确保排放污染物种类不得发生重大变化，否则应重新报批环评文件。</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8、环保设施和项目建设施工、运行、维护、检修、拆除过程中要认真履行安全生产责任，严格落实安全生产要求。</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eastAsia="仿宋_GB2312"/>
          <w:color w:val="000000"/>
          <w:sz w:val="32"/>
          <w:szCs w:val="32"/>
          <w:lang w:val="en-US" w:eastAsia="zh-CN"/>
        </w:rPr>
      </w:pPr>
      <w:r>
        <w:rPr>
          <w:rFonts w:hint="eastAsia" w:ascii="仿宋" w:hAnsi="仿宋" w:eastAsia="仿宋"/>
          <w:sz w:val="32"/>
          <w:szCs w:val="32"/>
        </w:rPr>
        <w:t>四、</w:t>
      </w:r>
      <w:r>
        <w:rPr>
          <w:rFonts w:hint="eastAsia" w:eastAsia="仿宋_GB2312"/>
          <w:color w:val="000000"/>
          <w:sz w:val="32"/>
          <w:szCs w:val="32"/>
          <w:lang w:val="en-US" w:eastAsia="zh-CN"/>
        </w:rPr>
        <w:t>根据《中华人民共和国环境影响评价法》等相关环保法律法规的规定，建设项目的环境影响评价文件经批准后，项目的性质、规模、地点、采用的生产工艺或者防治污染、防止生态破坏的措施发生重大变动的情形，不属于本文件行政许可范围内，建设单位应当重新报批建设项目的环境影响评价文件。本项目的环境影响评价文件自批准之日起超过五年，方决定开工建设，环境影响评价文件应报审批部门审核。</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eastAsia="仿宋_GB2312"/>
          <w:color w:val="000000"/>
          <w:sz w:val="32"/>
          <w:szCs w:val="32"/>
          <w:lang w:val="en-US" w:eastAsia="zh-CN"/>
        </w:rPr>
      </w:pPr>
      <w:r>
        <w:rPr>
          <w:rFonts w:hint="eastAsia" w:eastAsia="仿宋_GB2312"/>
          <w:color w:val="000000"/>
          <w:sz w:val="32"/>
          <w:szCs w:val="32"/>
          <w:lang w:val="en-US" w:eastAsia="zh-CN"/>
        </w:rPr>
        <w:t>五、本项目运营期内执行的环境标准和污染物排放标准如发生变化，应按新标准执行。</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eastAsia="仿宋_GB2312"/>
          <w:color w:val="000000"/>
          <w:sz w:val="32"/>
          <w:szCs w:val="32"/>
          <w:lang w:val="en-US" w:eastAsia="zh-CN"/>
        </w:rPr>
      </w:pPr>
      <w:r>
        <w:rPr>
          <w:rFonts w:hint="eastAsia" w:eastAsia="仿宋_GB2312"/>
          <w:color w:val="000000"/>
          <w:sz w:val="32"/>
          <w:szCs w:val="32"/>
          <w:lang w:val="en-US" w:eastAsia="zh-CN"/>
        </w:rPr>
        <w:t>六、本项目如还须依法办理诸如发改立项等批准或备案手续，法定的各项手续办理齐全后，方能开工建设。</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eastAsia="仿宋_GB2312"/>
          <w:color w:val="000000"/>
          <w:sz w:val="32"/>
          <w:szCs w:val="32"/>
          <w:lang w:val="en-US" w:eastAsia="zh-CN"/>
        </w:rPr>
      </w:pPr>
      <w:r>
        <w:rPr>
          <w:rFonts w:hint="eastAsia" w:eastAsia="仿宋_GB2312"/>
          <w:color w:val="000000"/>
          <w:sz w:val="32"/>
          <w:szCs w:val="32"/>
          <w:lang w:val="en-US" w:eastAsia="zh-CN"/>
        </w:rPr>
        <w:t>七、由生态环境监察部门负责该项目的“三同时”监督检查和日常管理工作。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eastAsia="仿宋_GB2312"/>
          <w:color w:val="000000"/>
          <w:sz w:val="32"/>
          <w:szCs w:val="32"/>
          <w:lang w:val="en-US" w:eastAsia="zh-CN"/>
        </w:rPr>
        <w:t>八、</w:t>
      </w:r>
      <w:r>
        <w:rPr>
          <w:rFonts w:hint="eastAsia" w:ascii="仿宋" w:hAnsi="仿宋" w:eastAsia="仿宋" w:cs="仿宋"/>
          <w:color w:val="000000"/>
          <w:sz w:val="32"/>
          <w:szCs w:val="32"/>
          <w:lang w:val="en-US" w:eastAsia="zh-CN"/>
        </w:rPr>
        <w:t>根据《中华人民共和国行政许可法》第七十八条和《中华人民共和国环境影响评价法》第三十二条之规定，行政许可申请人隐瞒有关情况或者提供虚假材料申请行政许可的，行政机关不予受理或者不予行政许可，建设项目环境影响报告表存在基础资料明显不实，内容存在重大缺陷、遗漏或者虚假，环境影响评价结论不正确或者不合理等严重质量问题的，本批复文件自动作废，并追究相关单位和人员的责任。</w:t>
      </w:r>
    </w:p>
    <w:p>
      <w:pPr>
        <w:spacing w:line="520" w:lineRule="exact"/>
        <w:ind w:firstLine="640" w:firstLineChars="200"/>
        <w:rPr>
          <w:rFonts w:ascii="仿宋" w:hAnsi="仿宋" w:eastAsia="仿宋"/>
          <w:sz w:val="32"/>
          <w:szCs w:val="32"/>
        </w:rPr>
      </w:pPr>
      <w:r>
        <w:rPr>
          <w:rFonts w:hint="eastAsia" w:eastAsia="仿宋_GB2312"/>
          <w:color w:val="000000"/>
          <w:sz w:val="32"/>
          <w:szCs w:val="32"/>
          <w:lang w:val="en-US" w:eastAsia="zh-CN"/>
        </w:rPr>
        <w:t>以上意见和《环评报告表》中提出的各项污染防治和环境风险防范措施，你公司应在项目设计、建设、运营和管理中认真予以落实，建立畅通的公众参与平台，及时解决公众担忧的环境问题，满足公众合理的环境诉求，主动接受社会监督，确保在项目建设和运营过程中的环境安全和社会稳定。你公司必须严格执行环境保护“三同时”制度，项目竣工后，须完成建设项目竣工环境保护验收后，方可正式投入生产。违反本规定要求的，承担相应环境保护法律责任。</w:t>
      </w:r>
    </w:p>
    <w:p>
      <w:pPr>
        <w:pStyle w:val="14"/>
        <w:rPr>
          <w:lang w:val="en-US" w:eastAsia="zh-CN"/>
        </w:rPr>
      </w:pPr>
    </w:p>
    <w:p>
      <w:pPr>
        <w:pStyle w:val="18"/>
      </w:pPr>
    </w:p>
    <w:p>
      <w:pPr>
        <w:pStyle w:val="18"/>
      </w:pPr>
    </w:p>
    <w:p>
      <w:pPr>
        <w:pStyle w:val="18"/>
      </w:pPr>
    </w:p>
    <w:p>
      <w:pPr>
        <w:spacing w:line="520" w:lineRule="exact"/>
        <w:ind w:firstLine="640" w:firstLineChars="200"/>
        <w:jc w:val="right"/>
        <w:rPr>
          <w:rFonts w:ascii="仿宋" w:hAnsi="仿宋" w:eastAsia="仿宋"/>
          <w:sz w:val="32"/>
          <w:szCs w:val="32"/>
        </w:rPr>
      </w:pPr>
      <w:r>
        <w:rPr>
          <w:rFonts w:hint="eastAsia" w:ascii="仿宋" w:hAnsi="仿宋" w:eastAsia="仿宋"/>
          <w:sz w:val="32"/>
          <w:szCs w:val="32"/>
        </w:rPr>
        <w:t xml:space="preserve">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oto Sans CJK JP Regular">
    <w:panose1 w:val="020B05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2103C"/>
    <w:rsid w:val="00057B32"/>
    <w:rsid w:val="002E487D"/>
    <w:rsid w:val="004060DF"/>
    <w:rsid w:val="004A2B1D"/>
    <w:rsid w:val="005B2DC7"/>
    <w:rsid w:val="005C556F"/>
    <w:rsid w:val="00661B2B"/>
    <w:rsid w:val="006F5B06"/>
    <w:rsid w:val="00763113"/>
    <w:rsid w:val="0079199B"/>
    <w:rsid w:val="00841AA4"/>
    <w:rsid w:val="008B02D5"/>
    <w:rsid w:val="008B6D04"/>
    <w:rsid w:val="008D291F"/>
    <w:rsid w:val="008E6CEE"/>
    <w:rsid w:val="008F4ABE"/>
    <w:rsid w:val="00963848"/>
    <w:rsid w:val="009C4A37"/>
    <w:rsid w:val="00A31AE6"/>
    <w:rsid w:val="00B9524C"/>
    <w:rsid w:val="00C04A9C"/>
    <w:rsid w:val="00C65767"/>
    <w:rsid w:val="00D2103C"/>
    <w:rsid w:val="00E840F1"/>
    <w:rsid w:val="00F357AE"/>
    <w:rsid w:val="00F3673A"/>
    <w:rsid w:val="020A6EEE"/>
    <w:rsid w:val="047513BE"/>
    <w:rsid w:val="062D138D"/>
    <w:rsid w:val="06CC6542"/>
    <w:rsid w:val="07622F1C"/>
    <w:rsid w:val="07CC38E1"/>
    <w:rsid w:val="080E5F56"/>
    <w:rsid w:val="08E1001E"/>
    <w:rsid w:val="098E5620"/>
    <w:rsid w:val="09C0442D"/>
    <w:rsid w:val="09F07035"/>
    <w:rsid w:val="09FA47A3"/>
    <w:rsid w:val="0A6E666A"/>
    <w:rsid w:val="0B0561AB"/>
    <w:rsid w:val="0BBC03F4"/>
    <w:rsid w:val="0BC95175"/>
    <w:rsid w:val="0BDB5246"/>
    <w:rsid w:val="0BFD7986"/>
    <w:rsid w:val="0D9901F8"/>
    <w:rsid w:val="0E9A4A1B"/>
    <w:rsid w:val="0FC72B2B"/>
    <w:rsid w:val="0FDF449A"/>
    <w:rsid w:val="10513E4E"/>
    <w:rsid w:val="106046C6"/>
    <w:rsid w:val="10C506E9"/>
    <w:rsid w:val="110A50F4"/>
    <w:rsid w:val="12806423"/>
    <w:rsid w:val="13331B45"/>
    <w:rsid w:val="13353E4F"/>
    <w:rsid w:val="13B97B7B"/>
    <w:rsid w:val="13BC7663"/>
    <w:rsid w:val="14B84C9F"/>
    <w:rsid w:val="14D600C1"/>
    <w:rsid w:val="15E06D3E"/>
    <w:rsid w:val="17D20519"/>
    <w:rsid w:val="17E54DFB"/>
    <w:rsid w:val="196C75C9"/>
    <w:rsid w:val="1A0F0058"/>
    <w:rsid w:val="1B566BF8"/>
    <w:rsid w:val="1DDB4E2E"/>
    <w:rsid w:val="1E712CC4"/>
    <w:rsid w:val="1F35050C"/>
    <w:rsid w:val="1FC23589"/>
    <w:rsid w:val="204A37F9"/>
    <w:rsid w:val="21E555CE"/>
    <w:rsid w:val="22260A2F"/>
    <w:rsid w:val="226E34A5"/>
    <w:rsid w:val="22E76103"/>
    <w:rsid w:val="23BE7D2E"/>
    <w:rsid w:val="24277300"/>
    <w:rsid w:val="24501899"/>
    <w:rsid w:val="258F2A57"/>
    <w:rsid w:val="25DC2402"/>
    <w:rsid w:val="26486B03"/>
    <w:rsid w:val="27CB6CB2"/>
    <w:rsid w:val="2825537B"/>
    <w:rsid w:val="28CC62C1"/>
    <w:rsid w:val="29070275"/>
    <w:rsid w:val="2996141E"/>
    <w:rsid w:val="29B24A44"/>
    <w:rsid w:val="2C2C24C8"/>
    <w:rsid w:val="2C431EB6"/>
    <w:rsid w:val="2C7C1E9E"/>
    <w:rsid w:val="2D6C7D9B"/>
    <w:rsid w:val="2F6E2424"/>
    <w:rsid w:val="309C3370"/>
    <w:rsid w:val="30B2786F"/>
    <w:rsid w:val="31D23C55"/>
    <w:rsid w:val="358B14CE"/>
    <w:rsid w:val="359B0575"/>
    <w:rsid w:val="364B5275"/>
    <w:rsid w:val="38636D56"/>
    <w:rsid w:val="395B716C"/>
    <w:rsid w:val="399A1E33"/>
    <w:rsid w:val="3E380E21"/>
    <w:rsid w:val="3FE1F4B3"/>
    <w:rsid w:val="3FFF0D6F"/>
    <w:rsid w:val="420525F8"/>
    <w:rsid w:val="42402EA2"/>
    <w:rsid w:val="43295F93"/>
    <w:rsid w:val="437B3043"/>
    <w:rsid w:val="45BC49BB"/>
    <w:rsid w:val="45C019D5"/>
    <w:rsid w:val="45E47BA5"/>
    <w:rsid w:val="46817B99"/>
    <w:rsid w:val="49DE7B34"/>
    <w:rsid w:val="49F85D48"/>
    <w:rsid w:val="4B415DDF"/>
    <w:rsid w:val="4C0A07F9"/>
    <w:rsid w:val="4C1F65E5"/>
    <w:rsid w:val="4C7364BD"/>
    <w:rsid w:val="4D6E6252"/>
    <w:rsid w:val="4DD3030D"/>
    <w:rsid w:val="4EE82041"/>
    <w:rsid w:val="4FF037E8"/>
    <w:rsid w:val="4FFB701B"/>
    <w:rsid w:val="50157CD4"/>
    <w:rsid w:val="502805D6"/>
    <w:rsid w:val="505C6E33"/>
    <w:rsid w:val="52026856"/>
    <w:rsid w:val="53D81642"/>
    <w:rsid w:val="54A41421"/>
    <w:rsid w:val="55252F3B"/>
    <w:rsid w:val="555A3847"/>
    <w:rsid w:val="56D76F0D"/>
    <w:rsid w:val="57A96621"/>
    <w:rsid w:val="58E1665D"/>
    <w:rsid w:val="595578E5"/>
    <w:rsid w:val="5AC11B78"/>
    <w:rsid w:val="5BA012C5"/>
    <w:rsid w:val="5BAF704A"/>
    <w:rsid w:val="5C66316E"/>
    <w:rsid w:val="5C672EA2"/>
    <w:rsid w:val="5D6F224A"/>
    <w:rsid w:val="5F2648A8"/>
    <w:rsid w:val="5F4C7578"/>
    <w:rsid w:val="5FFEE583"/>
    <w:rsid w:val="61026E67"/>
    <w:rsid w:val="61B606A9"/>
    <w:rsid w:val="62533936"/>
    <w:rsid w:val="629C5B89"/>
    <w:rsid w:val="638556AA"/>
    <w:rsid w:val="63EF55B1"/>
    <w:rsid w:val="64123933"/>
    <w:rsid w:val="64AE4EAB"/>
    <w:rsid w:val="659F6D52"/>
    <w:rsid w:val="65CE3E0F"/>
    <w:rsid w:val="65E85FBE"/>
    <w:rsid w:val="670E3911"/>
    <w:rsid w:val="672E2AD6"/>
    <w:rsid w:val="677F32EE"/>
    <w:rsid w:val="68EF6D08"/>
    <w:rsid w:val="6A155930"/>
    <w:rsid w:val="6A764128"/>
    <w:rsid w:val="6B03721C"/>
    <w:rsid w:val="6CAE7ACC"/>
    <w:rsid w:val="6CBF2C2A"/>
    <w:rsid w:val="6D226B77"/>
    <w:rsid w:val="6E4E6094"/>
    <w:rsid w:val="6FB72013"/>
    <w:rsid w:val="70140EAE"/>
    <w:rsid w:val="70BA2008"/>
    <w:rsid w:val="71BF2820"/>
    <w:rsid w:val="720543E3"/>
    <w:rsid w:val="72E85EE5"/>
    <w:rsid w:val="730576E7"/>
    <w:rsid w:val="735743A3"/>
    <w:rsid w:val="739A2CC7"/>
    <w:rsid w:val="73D91E4F"/>
    <w:rsid w:val="73EA7984"/>
    <w:rsid w:val="748D24A7"/>
    <w:rsid w:val="74B75B1A"/>
    <w:rsid w:val="74F37707"/>
    <w:rsid w:val="753021D1"/>
    <w:rsid w:val="75863B30"/>
    <w:rsid w:val="75947405"/>
    <w:rsid w:val="76306C1E"/>
    <w:rsid w:val="78114FBA"/>
    <w:rsid w:val="781D60E1"/>
    <w:rsid w:val="787A54F9"/>
    <w:rsid w:val="79F502FC"/>
    <w:rsid w:val="7AF55826"/>
    <w:rsid w:val="7BF57F99"/>
    <w:rsid w:val="7E560C73"/>
    <w:rsid w:val="7E602378"/>
    <w:rsid w:val="7F735099"/>
    <w:rsid w:val="7F9CAD2E"/>
    <w:rsid w:val="AFBF5013"/>
    <w:rsid w:val="B59F5BD2"/>
    <w:rsid w:val="BBFB5D26"/>
    <w:rsid w:val="BEDF60CB"/>
    <w:rsid w:val="D5CB54A0"/>
    <w:rsid w:val="D64FF964"/>
    <w:rsid w:val="DDDF3DC7"/>
    <w:rsid w:val="DFD6D610"/>
    <w:rsid w:val="E7BD4D83"/>
    <w:rsid w:val="FB3B3B55"/>
    <w:rsid w:val="FBBE1D3E"/>
    <w:rsid w:val="FD8FC978"/>
    <w:rsid w:val="FDF7DF8F"/>
    <w:rsid w:val="FEBFEE56"/>
    <w:rsid w:val="FFCDB0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 Char"/>
    <w:basedOn w:val="1"/>
    <w:qFormat/>
    <w:uiPriority w:val="0"/>
    <w:rPr>
      <w:sz w:val="24"/>
    </w:rPr>
  </w:style>
  <w:style w:type="paragraph" w:styleId="3">
    <w:name w:val="Normal Indent"/>
    <w:basedOn w:val="1"/>
    <w:next w:val="1"/>
    <w:qFormat/>
    <w:uiPriority w:val="0"/>
    <w:pPr>
      <w:spacing w:line="240" w:lineRule="auto"/>
      <w:ind w:firstLine="420"/>
    </w:pPr>
  </w:style>
  <w:style w:type="paragraph" w:styleId="4">
    <w:name w:val="Body Text"/>
    <w:basedOn w:val="1"/>
    <w:next w:val="5"/>
    <w:qFormat/>
    <w:uiPriority w:val="0"/>
    <w:pPr>
      <w:spacing w:after="120"/>
    </w:pPr>
  </w:style>
  <w:style w:type="paragraph" w:customStyle="1" w:styleId="5">
    <w:name w:val="Date1"/>
    <w:basedOn w:val="1"/>
    <w:next w:val="1"/>
    <w:qFormat/>
    <w:uiPriority w:val="0"/>
    <w:pPr>
      <w:adjustRightInd w:val="0"/>
      <w:textAlignment w:val="baseline"/>
    </w:pPr>
    <w:rPr>
      <w:szCs w:val="20"/>
    </w:rPr>
  </w:style>
  <w:style w:type="paragraph" w:styleId="6">
    <w:name w:val="Body Text Indent"/>
    <w:basedOn w:val="1"/>
    <w:next w:val="7"/>
    <w:qFormat/>
    <w:uiPriority w:val="0"/>
    <w:pPr>
      <w:spacing w:after="120"/>
      <w:ind w:left="420" w:leftChars="200"/>
    </w:pPr>
  </w:style>
  <w:style w:type="paragraph" w:customStyle="1" w:styleId="7">
    <w:name w:val="样式 正文文本缩进 + 行距: 1.5 倍行距"/>
    <w:basedOn w:val="8"/>
    <w:next w:val="9"/>
    <w:qFormat/>
    <w:uiPriority w:val="0"/>
    <w:pPr>
      <w:spacing w:after="120"/>
      <w:ind w:left="90" w:leftChars="32" w:firstLine="560" w:firstLineChars="200"/>
    </w:pPr>
    <w:rPr>
      <w:sz w:val="24"/>
    </w:rPr>
  </w:style>
  <w:style w:type="paragraph" w:customStyle="1" w:styleId="8">
    <w:name w:val="Body Text Indent"/>
    <w:basedOn w:val="1"/>
    <w:next w:val="7"/>
    <w:qFormat/>
    <w:uiPriority w:val="0"/>
    <w:pPr>
      <w:spacing w:after="120"/>
      <w:ind w:left="420" w:leftChars="200"/>
    </w:pPr>
    <w:rPr>
      <w:rFonts w:ascii="Calibri" w:hAnsi="Calibri"/>
      <w:kern w:val="0"/>
      <w:sz w:val="20"/>
      <w:szCs w:val="20"/>
    </w:rPr>
  </w:style>
  <w:style w:type="paragraph" w:styleId="9">
    <w:name w:val="header"/>
    <w:basedOn w:val="1"/>
    <w:next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0">
    <w:name w:val="样式5"/>
    <w:basedOn w:val="4"/>
    <w:next w:val="11"/>
    <w:qFormat/>
    <w:uiPriority w:val="0"/>
    <w:pPr>
      <w:spacing w:line="400" w:lineRule="exact"/>
      <w:ind w:firstLine="200" w:firstLineChars="200"/>
    </w:pPr>
    <w:rPr>
      <w:sz w:val="24"/>
      <w:szCs w:val="20"/>
    </w:rPr>
  </w:style>
  <w:style w:type="paragraph" w:styleId="11">
    <w:name w:val="endnote text"/>
    <w:basedOn w:val="1"/>
    <w:qFormat/>
    <w:uiPriority w:val="0"/>
    <w:pPr>
      <w:snapToGrid w:val="0"/>
    </w:pPr>
  </w:style>
  <w:style w:type="paragraph" w:styleId="12">
    <w:name w:val="footer"/>
    <w:basedOn w:val="1"/>
    <w:qFormat/>
    <w:uiPriority w:val="0"/>
    <w:pPr>
      <w:tabs>
        <w:tab w:val="center" w:pos="4153"/>
        <w:tab w:val="right" w:pos="8306"/>
      </w:tabs>
      <w:snapToGrid w:val="0"/>
      <w:jc w:val="left"/>
    </w:pPr>
    <w:rPr>
      <w:sz w:val="1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Cs w:val="21"/>
    </w:rPr>
  </w:style>
  <w:style w:type="paragraph" w:styleId="14">
    <w:name w:val="Body Text First Indent 2"/>
    <w:basedOn w:val="6"/>
    <w:next w:val="1"/>
    <w:qFormat/>
    <w:uiPriority w:val="0"/>
    <w:pPr>
      <w:ind w:firstLine="420" w:firstLineChars="200"/>
    </w:pPr>
    <w:rPr>
      <w:lang w:val="en-GB" w:eastAsia="zh-TW"/>
    </w:rPr>
  </w:style>
  <w:style w:type="character" w:styleId="17">
    <w:name w:val="page number"/>
    <w:basedOn w:val="16"/>
    <w:qFormat/>
    <w:uiPriority w:val="0"/>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9">
    <w:name w:val="fontstyle11"/>
    <w:basedOn w:val="16"/>
    <w:qFormat/>
    <w:uiPriority w:val="0"/>
    <w:rPr>
      <w:rFonts w:ascii="TimesNewRomanPSMT" w:hAnsi="TimesNewRomanPSMT" w:eastAsia="TimesNewRomanPSMT" w:cs="TimesNewRomanPSMT"/>
      <w:color w:val="000000"/>
      <w:sz w:val="24"/>
      <w:szCs w:val="24"/>
    </w:rPr>
  </w:style>
  <w:style w:type="paragraph" w:customStyle="1" w:styleId="20">
    <w:name w:val="Plain Text"/>
    <w:basedOn w:val="1"/>
    <w:qFormat/>
    <w:uiPriority w:val="0"/>
    <w:rPr>
      <w:rFonts w:ascii="宋体" w:hAnsi="Courier New" w:cs="Courier New"/>
    </w:rPr>
  </w:style>
  <w:style w:type="character" w:customStyle="1" w:styleId="21">
    <w:name w:val="JJJJJ Char"/>
    <w:link w:val="22"/>
    <w:qFormat/>
    <w:uiPriority w:val="0"/>
    <w:rPr>
      <w:rFonts w:ascii="Times New Roman" w:hAnsi="Times New Roman" w:eastAsia="宋体"/>
      <w:sz w:val="24"/>
    </w:rPr>
  </w:style>
  <w:style w:type="paragraph" w:customStyle="1" w:styleId="22">
    <w:name w:val="JJJJJ"/>
    <w:basedOn w:val="1"/>
    <w:link w:val="21"/>
    <w:qFormat/>
    <w:uiPriority w:val="0"/>
    <w:pPr>
      <w:tabs>
        <w:tab w:val="left" w:pos="600"/>
      </w:tabs>
      <w:spacing w:line="360" w:lineRule="auto"/>
      <w:ind w:firstLine="200" w:firstLineChars="200"/>
      <w:jc w:val="both"/>
    </w:pPr>
    <w:rPr>
      <w:rFonts w:ascii="Times New Roman" w:hAnsi="Times New Roman" w:eastAsia="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315</Words>
  <Characters>1797</Characters>
  <Lines>14</Lines>
  <Paragraphs>4</Paragraphs>
  <TotalTime>2</TotalTime>
  <ScaleCrop>false</ScaleCrop>
  <LinksUpToDate>false</LinksUpToDate>
  <CharactersWithSpaces>2108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2018-12-12T06:37:00Z</dcterms:created>
  <dc:creator>Administrator</dc:creator>
  <cp:lastModifiedBy>团子</cp:lastModifiedBy>
  <cp:lastPrinted>2019-03-20T01:49:00Z</cp:lastPrinted>
  <dcterms:modified xsi:type="dcterms:W3CDTF">2023-09-25T17:29:04Z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