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outlineLvl w:val="0"/>
        <w:rPr>
          <w:rFonts w:ascii="方正小标宋_GBK" w:hAnsi="宋体" w:eastAsia="方正小标宋_GBK"/>
          <w:bCs/>
          <w:sz w:val="72"/>
          <w:szCs w:val="72"/>
        </w:rPr>
      </w:pPr>
      <w:bookmarkStart w:id="0" w:name="_Ref154821938"/>
      <w:r>
        <w:rPr>
          <w:rFonts w:hint="eastAsia" w:ascii="方正小标宋_GBK" w:hAnsi="宋体" w:eastAsia="方正小标宋_GBK"/>
          <w:bCs/>
          <w:sz w:val="72"/>
          <w:szCs w:val="72"/>
        </w:rPr>
        <w:t>建设项目环境影响报告表</w:t>
      </w:r>
    </w:p>
    <w:p>
      <w:pPr>
        <w:adjustRightInd w:val="0"/>
        <w:snapToGrid w:val="0"/>
        <w:spacing w:before="192" w:beforeLines="80"/>
        <w:jc w:val="center"/>
        <w:rPr>
          <w:rFonts w:eastAsia="仿宋" w:asciiTheme="minorHAnsi" w:hAnsiTheme="minorHAnsi"/>
          <w:bCs/>
          <w:sz w:val="48"/>
          <w:szCs w:val="48"/>
        </w:rPr>
      </w:pPr>
      <w:r>
        <w:rPr>
          <w:rFonts w:hint="eastAsia" w:eastAsia="仿宋" w:asciiTheme="minorHAnsi" w:hAnsiTheme="minorHAnsi"/>
          <w:bCs/>
          <w:sz w:val="48"/>
          <w:szCs w:val="48"/>
        </w:rPr>
        <w:t>（污染影响类）</w:t>
      </w:r>
    </w:p>
    <w:p>
      <w:pPr>
        <w:widowControl/>
        <w:adjustRightInd w:val="0"/>
        <w:snapToGrid w:val="0"/>
        <w:spacing w:before="192" w:beforeLines="80"/>
        <w:jc w:val="center"/>
        <w:rPr>
          <w:rFonts w:ascii="楷体_GB2312" w:hAnsi="宋体" w:eastAsia="楷体_GB2312"/>
          <w:bCs/>
          <w:sz w:val="48"/>
          <w:szCs w:val="48"/>
        </w:rPr>
      </w:pPr>
    </w:p>
    <w:p>
      <w:pPr>
        <w:widowControl/>
        <w:jc w:val="center"/>
        <w:rPr>
          <w:rFonts w:ascii="宋体" w:hAnsi="宋体" w:eastAsia="仿宋"/>
          <w:sz w:val="52"/>
          <w:szCs w:val="52"/>
        </w:rPr>
      </w:pPr>
    </w:p>
    <w:p>
      <w:pPr>
        <w:pStyle w:val="2"/>
        <w:ind w:left="480" w:firstLine="600"/>
      </w:pPr>
    </w:p>
    <w:p>
      <w:pPr>
        <w:widowControl/>
        <w:ind w:firstLine="1040"/>
        <w:jc w:val="left"/>
        <w:rPr>
          <w:rFonts w:ascii="宋体" w:hAnsi="宋体" w:eastAsia="仿宋"/>
          <w:sz w:val="32"/>
          <w:szCs w:val="32"/>
        </w:rPr>
      </w:pPr>
    </w:p>
    <w:p>
      <w:pPr>
        <w:pStyle w:val="2"/>
        <w:ind w:left="480" w:firstLine="600"/>
      </w:pPr>
    </w:p>
    <w:p/>
    <w:p>
      <w:pPr>
        <w:pStyle w:val="2"/>
        <w:ind w:left="480" w:firstLine="600"/>
      </w:pPr>
    </w:p>
    <w:p/>
    <w:p/>
    <w:p>
      <w:pPr>
        <w:pStyle w:val="2"/>
        <w:tabs>
          <w:tab w:val="center" w:pos="5396"/>
        </w:tabs>
        <w:ind w:left="480" w:firstLine="602"/>
        <w:rPr>
          <w:rFonts w:eastAsia="仿宋"/>
          <w:b/>
          <w:bCs/>
          <w:color w:val="auto"/>
        </w:rPr>
      </w:pPr>
      <w:r>
        <w:rPr>
          <w:rFonts w:eastAsia="仿宋"/>
          <w:b/>
          <w:bCs/>
          <w:color w:val="auto"/>
        </w:rPr>
        <w:tab/>
      </w:r>
    </w:p>
    <w:tbl>
      <w:tblPr>
        <w:tblStyle w:val="37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85"/>
        <w:gridCol w:w="6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85" w:type="dxa"/>
            <w:vAlign w:val="center"/>
          </w:tcPr>
          <w:p>
            <w:pPr>
              <w:widowControl/>
              <w:adjustRightInd w:val="0"/>
              <w:snapToGrid w:val="0"/>
              <w:jc w:val="right"/>
              <w:rPr>
                <w:rFonts w:ascii="华文仿宋" w:hAnsi="华文仿宋" w:eastAsia="华文仿宋" w:cs="华文仿宋"/>
                <w:b/>
                <w:color w:val="000000"/>
                <w:spacing w:val="56"/>
                <w:kern w:val="44"/>
                <w:sz w:val="36"/>
                <w:szCs w:val="36"/>
              </w:rPr>
            </w:pPr>
            <w:r>
              <w:rPr>
                <w:rFonts w:hint="eastAsia" w:ascii="华文仿宋" w:hAnsi="华文仿宋" w:eastAsia="华文仿宋" w:cs="华文仿宋"/>
                <w:b/>
                <w:color w:val="000000"/>
                <w:spacing w:val="110"/>
                <w:kern w:val="44"/>
                <w:sz w:val="36"/>
                <w:szCs w:val="36"/>
              </w:rPr>
              <w:t>项目名称</w:t>
            </w:r>
            <w:r>
              <w:rPr>
                <w:rFonts w:hint="eastAsia" w:ascii="华文仿宋" w:hAnsi="华文仿宋" w:eastAsia="华文仿宋" w:cs="华文仿宋"/>
                <w:b/>
                <w:color w:val="000000"/>
                <w:spacing w:val="56"/>
                <w:kern w:val="44"/>
                <w:sz w:val="36"/>
                <w:szCs w:val="36"/>
              </w:rPr>
              <w:t>:</w:t>
            </w:r>
          </w:p>
        </w:tc>
        <w:tc>
          <w:tcPr>
            <w:tcW w:w="6864" w:type="dxa"/>
            <w:tcBorders>
              <w:bottom w:val="single" w:color="auto" w:sz="4" w:space="0"/>
            </w:tcBorders>
            <w:vAlign w:val="center"/>
          </w:tcPr>
          <w:p>
            <w:pPr>
              <w:widowControl/>
              <w:adjustRightInd w:val="0"/>
              <w:snapToGrid w:val="0"/>
              <w:jc w:val="center"/>
              <w:rPr>
                <w:rFonts w:ascii="华文仿宋" w:hAnsi="华文仿宋" w:eastAsia="华文仿宋" w:cs="华文仿宋"/>
                <w:b/>
                <w:color w:val="000000"/>
                <w:kern w:val="44"/>
                <w:sz w:val="36"/>
                <w:szCs w:val="36"/>
              </w:rPr>
            </w:pPr>
            <w:r>
              <w:rPr>
                <w:rFonts w:hint="eastAsia" w:ascii="华文仿宋" w:hAnsi="华文仿宋" w:eastAsia="华文仿宋" w:cs="华文仿宋"/>
                <w:b/>
                <w:color w:val="000000"/>
                <w:kern w:val="44"/>
                <w:sz w:val="36"/>
                <w:szCs w:val="36"/>
              </w:rPr>
              <w:t>年产3</w:t>
            </w:r>
            <w:r>
              <w:rPr>
                <w:rFonts w:ascii="华文仿宋" w:hAnsi="华文仿宋" w:eastAsia="华文仿宋" w:cs="华文仿宋"/>
                <w:b/>
                <w:color w:val="000000"/>
                <w:kern w:val="44"/>
                <w:sz w:val="36"/>
                <w:szCs w:val="36"/>
              </w:rPr>
              <w:t>0万</w:t>
            </w:r>
            <w:r>
              <w:rPr>
                <w:rFonts w:hint="eastAsia" w:ascii="华文仿宋" w:hAnsi="华文仿宋" w:eastAsia="华文仿宋" w:cs="华文仿宋"/>
                <w:b/>
                <w:color w:val="000000"/>
                <w:kern w:val="44"/>
                <w:sz w:val="36"/>
                <w:szCs w:val="36"/>
              </w:rPr>
              <w:t>立方商品混凝土搅拌站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85" w:type="dxa"/>
            <w:vAlign w:val="center"/>
          </w:tcPr>
          <w:p>
            <w:pPr>
              <w:widowControl/>
              <w:adjustRightInd w:val="0"/>
              <w:snapToGrid w:val="0"/>
              <w:jc w:val="right"/>
              <w:rPr>
                <w:rFonts w:ascii="华文仿宋" w:hAnsi="华文仿宋" w:eastAsia="华文仿宋" w:cs="华文仿宋"/>
                <w:b/>
                <w:color w:val="000000"/>
                <w:spacing w:val="-44"/>
                <w:kern w:val="44"/>
                <w:sz w:val="36"/>
                <w:szCs w:val="36"/>
              </w:rPr>
            </w:pPr>
            <w:r>
              <w:rPr>
                <w:rFonts w:hint="eastAsia" w:ascii="华文仿宋" w:hAnsi="华文仿宋" w:eastAsia="华文仿宋" w:cs="华文仿宋"/>
                <w:b/>
                <w:color w:val="000000"/>
                <w:spacing w:val="-56"/>
                <w:kern w:val="44"/>
                <w:sz w:val="36"/>
                <w:szCs w:val="36"/>
              </w:rPr>
              <w:t>建设单位</w:t>
            </w:r>
            <w:r>
              <w:rPr>
                <w:rFonts w:hint="eastAsia" w:ascii="华文仿宋" w:hAnsi="华文仿宋" w:eastAsia="华文仿宋" w:cs="华文仿宋"/>
                <w:b/>
                <w:color w:val="000000"/>
                <w:spacing w:val="-44"/>
                <w:kern w:val="44"/>
                <w:sz w:val="28"/>
                <w:szCs w:val="28"/>
              </w:rPr>
              <w:t>(盖章)</w:t>
            </w:r>
            <w:r>
              <w:rPr>
                <w:rFonts w:ascii="华文仿宋" w:hAnsi="华文仿宋" w:eastAsia="华文仿宋" w:cs="华文仿宋"/>
                <w:b/>
                <w:color w:val="000000"/>
                <w:spacing w:val="-44"/>
                <w:kern w:val="44"/>
                <w:sz w:val="28"/>
                <w:szCs w:val="28"/>
              </w:rPr>
              <w:t xml:space="preserve"> </w:t>
            </w:r>
            <w:r>
              <w:rPr>
                <w:rFonts w:hint="eastAsia" w:ascii="华文仿宋" w:hAnsi="华文仿宋" w:eastAsia="华文仿宋" w:cs="华文仿宋"/>
                <w:b/>
                <w:color w:val="000000"/>
                <w:spacing w:val="-44"/>
                <w:kern w:val="44"/>
                <w:sz w:val="36"/>
                <w:szCs w:val="36"/>
              </w:rPr>
              <w:t>：</w:t>
            </w:r>
          </w:p>
        </w:tc>
        <w:tc>
          <w:tcPr>
            <w:tcW w:w="6864" w:type="dxa"/>
            <w:tcBorders>
              <w:top w:val="single" w:color="auto" w:sz="4" w:space="0"/>
              <w:bottom w:val="single" w:color="auto" w:sz="4" w:space="0"/>
            </w:tcBorders>
            <w:vAlign w:val="center"/>
          </w:tcPr>
          <w:p>
            <w:pPr>
              <w:widowControl/>
              <w:adjustRightInd w:val="0"/>
              <w:snapToGrid w:val="0"/>
              <w:jc w:val="center"/>
              <w:rPr>
                <w:rFonts w:ascii="华文仿宋" w:hAnsi="华文仿宋" w:eastAsia="华文仿宋" w:cs="华文仿宋"/>
                <w:b/>
                <w:color w:val="000000"/>
                <w:kern w:val="44"/>
                <w:sz w:val="36"/>
                <w:szCs w:val="36"/>
              </w:rPr>
            </w:pPr>
            <w:r>
              <w:rPr>
                <w:rFonts w:hint="eastAsia" w:ascii="华文仿宋" w:hAnsi="华文仿宋" w:eastAsia="华文仿宋" w:cs="华文仿宋"/>
                <w:b/>
                <w:color w:val="000000"/>
                <w:kern w:val="44"/>
                <w:sz w:val="36"/>
                <w:szCs w:val="36"/>
              </w:rPr>
              <w:t>山东秀美汇鑫建材有限公司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85" w:type="dxa"/>
            <w:vAlign w:val="center"/>
          </w:tcPr>
          <w:p>
            <w:pPr>
              <w:widowControl/>
              <w:adjustRightInd w:val="0"/>
              <w:snapToGrid w:val="0"/>
              <w:jc w:val="right"/>
              <w:rPr>
                <w:rFonts w:ascii="华文仿宋" w:hAnsi="华文仿宋" w:eastAsia="华文仿宋" w:cs="华文仿宋"/>
                <w:b/>
                <w:color w:val="000000"/>
                <w:spacing w:val="54"/>
                <w:kern w:val="44"/>
                <w:sz w:val="36"/>
                <w:szCs w:val="36"/>
              </w:rPr>
            </w:pPr>
            <w:r>
              <w:rPr>
                <w:rFonts w:hint="eastAsia" w:ascii="华文仿宋" w:hAnsi="华文仿宋" w:eastAsia="华文仿宋" w:cs="华文仿宋"/>
                <w:b/>
                <w:color w:val="000000"/>
                <w:spacing w:val="110"/>
                <w:kern w:val="44"/>
                <w:sz w:val="36"/>
                <w:szCs w:val="36"/>
              </w:rPr>
              <w:t>编制日期</w:t>
            </w:r>
            <w:r>
              <w:rPr>
                <w:rFonts w:hint="eastAsia" w:ascii="华文仿宋" w:hAnsi="华文仿宋" w:eastAsia="华文仿宋" w:cs="华文仿宋"/>
                <w:b/>
                <w:color w:val="000000"/>
                <w:spacing w:val="54"/>
                <w:kern w:val="44"/>
                <w:sz w:val="36"/>
                <w:szCs w:val="36"/>
              </w:rPr>
              <w:t>:</w:t>
            </w:r>
          </w:p>
        </w:tc>
        <w:tc>
          <w:tcPr>
            <w:tcW w:w="6864" w:type="dxa"/>
            <w:tcBorders>
              <w:top w:val="single" w:color="auto" w:sz="4" w:space="0"/>
              <w:bottom w:val="single" w:color="auto" w:sz="4" w:space="0"/>
            </w:tcBorders>
            <w:vAlign w:val="center"/>
          </w:tcPr>
          <w:p>
            <w:pPr>
              <w:widowControl/>
              <w:adjustRightInd w:val="0"/>
              <w:snapToGrid w:val="0"/>
              <w:jc w:val="center"/>
              <w:rPr>
                <w:rFonts w:ascii="华文仿宋" w:hAnsi="华文仿宋" w:eastAsia="华文仿宋" w:cs="华文仿宋"/>
                <w:b/>
                <w:color w:val="000000"/>
                <w:kern w:val="44"/>
                <w:sz w:val="36"/>
                <w:szCs w:val="36"/>
              </w:rPr>
            </w:pPr>
            <w:r>
              <w:rPr>
                <w:rFonts w:ascii="华文仿宋" w:hAnsi="华文仿宋" w:eastAsia="华文仿宋" w:cs="华文仿宋"/>
                <w:b/>
                <w:color w:val="000000"/>
                <w:kern w:val="44"/>
                <w:sz w:val="36"/>
                <w:szCs w:val="36"/>
              </w:rPr>
              <w:t>2024</w:t>
            </w:r>
            <w:r>
              <w:rPr>
                <w:rFonts w:hint="eastAsia" w:ascii="华文仿宋" w:hAnsi="华文仿宋" w:eastAsia="华文仿宋" w:cs="华文仿宋"/>
                <w:b/>
                <w:color w:val="000000"/>
                <w:kern w:val="44"/>
                <w:sz w:val="36"/>
                <w:szCs w:val="36"/>
              </w:rPr>
              <w:t>年3月</w:t>
            </w:r>
          </w:p>
        </w:tc>
      </w:tr>
    </w:tbl>
    <w:p>
      <w:pPr>
        <w:widowControl/>
        <w:tabs>
          <w:tab w:val="left" w:pos="6098"/>
        </w:tabs>
        <w:ind w:firstLine="1040"/>
        <w:jc w:val="left"/>
        <w:rPr>
          <w:rFonts w:ascii="宋体" w:hAnsi="宋体" w:eastAsia="仿宋"/>
          <w:b/>
          <w:bCs/>
          <w:sz w:val="32"/>
          <w:szCs w:val="32"/>
        </w:rPr>
      </w:pPr>
      <w:r>
        <w:rPr>
          <w:rFonts w:ascii="宋体" w:hAnsi="宋体" w:eastAsia="仿宋"/>
          <w:b/>
          <w:bCs/>
          <w:sz w:val="32"/>
          <w:szCs w:val="32"/>
        </w:rPr>
        <w:tab/>
      </w:r>
    </w:p>
    <w:p>
      <w:pPr>
        <w:widowControl/>
        <w:tabs>
          <w:tab w:val="left" w:pos="6035"/>
        </w:tabs>
        <w:adjustRightInd w:val="0"/>
        <w:snapToGrid w:val="0"/>
        <w:spacing w:line="360" w:lineRule="auto"/>
        <w:ind w:firstLine="1561" w:firstLineChars="432"/>
        <w:jc w:val="left"/>
        <w:rPr>
          <w:rFonts w:ascii="仿宋_GB2312" w:hAnsi="宋体" w:eastAsia="仿宋_GB2312"/>
          <w:sz w:val="36"/>
          <w:szCs w:val="36"/>
        </w:rPr>
      </w:pPr>
      <w:r>
        <w:rPr>
          <w:rFonts w:hint="eastAsia" w:ascii="仿宋_GB2312" w:hAnsi="宋体"/>
          <w:b/>
          <w:bCs/>
          <w:color w:val="FFFFFF" w:themeColor="background1"/>
          <w:sz w:val="36"/>
          <w:szCs w:val="36"/>
          <w:u w:val="single"/>
          <w14:textFill>
            <w14:solidFill>
              <w14:schemeClr w14:val="bg1"/>
            </w14:solidFill>
          </w14:textFill>
        </w:rPr>
        <w:t>有</w:t>
      </w:r>
      <w:r>
        <w:rPr>
          <w:rFonts w:ascii="仿宋_GB2312" w:hAnsi="宋体"/>
          <w:b/>
          <w:bCs/>
          <w:color w:val="FFFFFF" w:themeColor="background1"/>
          <w:sz w:val="36"/>
          <w:szCs w:val="36"/>
          <w:u w:val="single"/>
          <w14:textFill>
            <w14:solidFill>
              <w14:schemeClr w14:val="bg1"/>
            </w14:solidFill>
          </w14:textFill>
        </w:rPr>
        <w:tab/>
      </w:r>
    </w:p>
    <w:p>
      <w:pPr>
        <w:pStyle w:val="2"/>
        <w:ind w:left="480" w:firstLine="600"/>
      </w:pPr>
    </w:p>
    <w:p>
      <w:pPr>
        <w:pStyle w:val="2"/>
        <w:ind w:left="480" w:firstLine="600"/>
      </w:pPr>
    </w:p>
    <w:p/>
    <w:p>
      <w:pPr>
        <w:pStyle w:val="2"/>
        <w:ind w:left="480" w:firstLine="600"/>
      </w:pPr>
    </w:p>
    <w:p/>
    <w:p/>
    <w:p/>
    <w:p>
      <w:pPr>
        <w:jc w:val="center"/>
        <w:rPr>
          <w:b/>
          <w:bCs/>
        </w:rPr>
      </w:pPr>
      <w:r>
        <w:rPr>
          <w:rFonts w:hint="eastAsia" w:ascii="楷体_GB2312" w:hAnsi="宋体"/>
          <w:b/>
          <w:bCs/>
          <w:sz w:val="36"/>
          <w:szCs w:val="36"/>
        </w:rPr>
        <w:t>中华人民共和国生态环境部制</w:t>
      </w:r>
    </w:p>
    <w:p>
      <w:pPr>
        <w:pStyle w:val="2"/>
        <w:ind w:left="480" w:firstLine="600"/>
      </w:pPr>
    </w:p>
    <w:p>
      <w:pPr>
        <w:pStyle w:val="70"/>
        <w:spacing w:before="120"/>
        <w:rPr>
          <w:lang w:eastAsia="zh-CN"/>
        </w:rPr>
      </w:pPr>
      <w:r>
        <w:rPr>
          <w:lang w:eastAsia="zh-CN"/>
        </w:rPr>
        <w:br w:type="page"/>
      </w:r>
    </w:p>
    <w:p>
      <w:pPr>
        <w:sectPr>
          <w:pgSz w:w="11906" w:h="16838"/>
          <w:pgMar w:top="1418" w:right="1247" w:bottom="1418" w:left="1247" w:header="851" w:footer="454" w:gutter="0"/>
          <w:pgNumType w:start="1"/>
          <w:cols w:space="425" w:num="1"/>
          <w:docGrid w:linePitch="312" w:charSpace="0"/>
        </w:sectPr>
      </w:pPr>
    </w:p>
    <w:p>
      <w:pPr>
        <w:outlineLvl w:val="0"/>
      </w:pPr>
      <w:r>
        <w:rPr>
          <w:rFonts w:hint="eastAsia" w:eastAsia="黑体"/>
          <w:sz w:val="28"/>
          <w:szCs w:val="28"/>
        </w:rPr>
        <w:t>一、建设项目基本情况</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9"/>
        <w:gridCol w:w="2197"/>
        <w:gridCol w:w="2014"/>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建设项目名称</w:t>
            </w:r>
          </w:p>
        </w:tc>
        <w:tc>
          <w:tcPr>
            <w:tcW w:w="4045" w:type="pct"/>
            <w:gridSpan w:val="3"/>
            <w:tcMar>
              <w:left w:w="57" w:type="dxa"/>
              <w:right w:w="57" w:type="dxa"/>
            </w:tcMar>
            <w:vAlign w:val="center"/>
          </w:tcPr>
          <w:p>
            <w:pPr>
              <w:adjustRightInd w:val="0"/>
              <w:snapToGrid w:val="0"/>
              <w:jc w:val="center"/>
              <w:rPr>
                <w:bCs/>
              </w:rPr>
            </w:pPr>
            <w:r>
              <w:rPr>
                <w:rFonts w:hint="eastAsia"/>
                <w:bCs/>
              </w:rPr>
              <w:t>年产30万立方商品混凝土搅拌站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项目代码</w:t>
            </w:r>
          </w:p>
        </w:tc>
        <w:tc>
          <w:tcPr>
            <w:tcW w:w="4045" w:type="pct"/>
            <w:gridSpan w:val="3"/>
            <w:tcMar>
              <w:left w:w="57" w:type="dxa"/>
              <w:right w:w="57" w:type="dxa"/>
            </w:tcMar>
            <w:vAlign w:val="center"/>
          </w:tcPr>
          <w:p>
            <w:pPr>
              <w:adjustRightInd w:val="0"/>
              <w:snapToGrid w:val="0"/>
              <w:jc w:val="center"/>
            </w:pPr>
            <w:r>
              <w:rPr>
                <w:color w:val="000000" w:themeColor="text1"/>
                <w14:textFill>
                  <w14:solidFill>
                    <w14:schemeClr w14:val="tx1"/>
                  </w14:solidFill>
                </w14:textFill>
              </w:rPr>
              <w:t>2401-370406-89-01-951125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建设单位联系人</w:t>
            </w:r>
          </w:p>
        </w:tc>
        <w:tc>
          <w:tcPr>
            <w:tcW w:w="1153" w:type="pct"/>
            <w:tcMar>
              <w:left w:w="57" w:type="dxa"/>
              <w:right w:w="57" w:type="dxa"/>
            </w:tcMar>
            <w:vAlign w:val="center"/>
          </w:tcPr>
          <w:p>
            <w:pPr>
              <w:adjustRightInd w:val="0"/>
              <w:snapToGrid w:val="0"/>
              <w:jc w:val="center"/>
            </w:pPr>
            <w:r>
              <w:rPr>
                <w:rFonts w:hint="eastAsia"/>
              </w:rPr>
              <w:t>葛清志</w:t>
            </w:r>
          </w:p>
        </w:tc>
        <w:tc>
          <w:tcPr>
            <w:tcW w:w="1057" w:type="pct"/>
            <w:tcMar>
              <w:left w:w="57" w:type="dxa"/>
              <w:right w:w="57" w:type="dxa"/>
            </w:tcMar>
            <w:vAlign w:val="center"/>
          </w:tcPr>
          <w:p>
            <w:pPr>
              <w:adjustRightInd w:val="0"/>
              <w:snapToGrid w:val="0"/>
              <w:jc w:val="center"/>
            </w:pPr>
            <w:r>
              <w:rPr>
                <w:rFonts w:hint="eastAsia"/>
              </w:rPr>
              <w:t>联系方式</w:t>
            </w:r>
          </w:p>
        </w:tc>
        <w:tc>
          <w:tcPr>
            <w:tcW w:w="1835" w:type="pct"/>
            <w:tcMar>
              <w:left w:w="57" w:type="dxa"/>
              <w:right w:w="57" w:type="dxa"/>
            </w:tcMar>
            <w:vAlign w:val="center"/>
          </w:tcPr>
          <w:p>
            <w:pPr>
              <w:adjustRightInd w:val="0"/>
              <w:snapToGrid w:val="0"/>
              <w:jc w:val="center"/>
            </w:pPr>
            <w:r>
              <w:t>13280225889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建设地点</w:t>
            </w:r>
          </w:p>
        </w:tc>
        <w:tc>
          <w:tcPr>
            <w:tcW w:w="4045" w:type="pct"/>
            <w:gridSpan w:val="3"/>
            <w:tcMar>
              <w:left w:w="57" w:type="dxa"/>
              <w:right w:w="57" w:type="dxa"/>
            </w:tcMar>
            <w:vAlign w:val="center"/>
          </w:tcPr>
          <w:p>
            <w:pPr>
              <w:adjustRightInd w:val="0"/>
              <w:snapToGrid w:val="0"/>
              <w:jc w:val="center"/>
              <w:rPr>
                <w:color w:val="FF0000"/>
              </w:rPr>
            </w:pPr>
            <w:r>
              <w:rPr>
                <w:color w:val="000000" w:themeColor="text1"/>
                <w14:textFill>
                  <w14:solidFill>
                    <w14:schemeClr w14:val="tx1"/>
                  </w14:solidFill>
                </w14:textFill>
              </w:rPr>
              <w:t>山东</w:t>
            </w:r>
            <w:r>
              <w:rPr>
                <w:rFonts w:hint="eastAsia"/>
                <w:color w:val="000000" w:themeColor="text1"/>
                <w14:textFill>
                  <w14:solidFill>
                    <w14:schemeClr w14:val="tx1"/>
                  </w14:solidFill>
                </w14:textFill>
              </w:rPr>
              <w:t>省枣庄市山亭区徐庄镇水城子村以北S</w:t>
            </w:r>
            <w:r>
              <w:rPr>
                <w:color w:val="000000" w:themeColor="text1"/>
                <w14:textFill>
                  <w14:solidFill>
                    <w14:schemeClr w14:val="tx1"/>
                  </w14:solidFill>
                </w14:textFill>
              </w:rPr>
              <w:t>343</w:t>
            </w:r>
            <w:r>
              <w:rPr>
                <w:rFonts w:hint="eastAsia"/>
                <w:color w:val="000000" w:themeColor="text1"/>
                <w14:textFill>
                  <w14:solidFill>
                    <w14:schemeClr w14:val="tx1"/>
                  </w14:solidFill>
                </w14:textFill>
              </w:rPr>
              <w:t>线以西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地理坐标</w:t>
            </w:r>
          </w:p>
        </w:tc>
        <w:tc>
          <w:tcPr>
            <w:tcW w:w="4045" w:type="pct"/>
            <w:gridSpan w:val="3"/>
            <w:tcMar>
              <w:left w:w="57" w:type="dxa"/>
              <w:right w:w="57" w:type="dxa"/>
            </w:tcMar>
            <w:vAlign w:val="center"/>
          </w:tcPr>
          <w:p>
            <w:pPr>
              <w:jc w:val="center"/>
              <w:rPr>
                <w:color w:val="FF0000"/>
              </w:rPr>
            </w:pPr>
            <w:r>
              <w:rPr>
                <w:rFonts w:hint="eastAsia"/>
                <w:color w:val="000000" w:themeColor="text1"/>
                <w14:textFill>
                  <w14:solidFill>
                    <w14:schemeClr w14:val="tx1"/>
                  </w14:solidFill>
                </w14:textFill>
              </w:rPr>
              <w:t>（</w:t>
            </w:r>
            <w:r>
              <w:rPr>
                <w:color w:val="000000" w:themeColor="text1"/>
                <w:u w:val="single"/>
                <w14:textFill>
                  <w14:solidFill>
                    <w14:schemeClr w14:val="tx1"/>
                  </w14:solidFill>
                </w14:textFill>
              </w:rPr>
              <w:t xml:space="preserve">117 </w:t>
            </w:r>
            <w:r>
              <w:rPr>
                <w:rFonts w:hint="eastAsia"/>
                <w:color w:val="000000" w:themeColor="text1"/>
                <w14:textFill>
                  <w14:solidFill>
                    <w14:schemeClr w14:val="tx1"/>
                  </w14:solidFill>
                </w14:textFill>
              </w:rPr>
              <w:t>度</w:t>
            </w:r>
            <w:r>
              <w:rPr>
                <w:color w:val="000000" w:themeColor="text1"/>
                <w:u w:val="single"/>
                <w14:textFill>
                  <w14:solidFill>
                    <w14:schemeClr w14:val="tx1"/>
                  </w14:solidFill>
                </w14:textFill>
              </w:rPr>
              <w:t>32</w:t>
            </w:r>
            <w:r>
              <w:rPr>
                <w:rFonts w:hint="eastAsia"/>
                <w:color w:val="000000" w:themeColor="text1"/>
                <w14:textFill>
                  <w14:solidFill>
                    <w14:schemeClr w14:val="tx1"/>
                  </w14:solidFill>
                </w14:textFill>
              </w:rPr>
              <w:t>分</w:t>
            </w:r>
            <w:r>
              <w:rPr>
                <w:color w:val="000000" w:themeColor="text1"/>
                <w:u w:val="single"/>
                <w14:textFill>
                  <w14:solidFill>
                    <w14:schemeClr w14:val="tx1"/>
                  </w14:solidFill>
                </w14:textFill>
              </w:rPr>
              <w:t xml:space="preserve"> 37.820 </w:t>
            </w:r>
            <w:r>
              <w:rPr>
                <w:rFonts w:hint="eastAsia"/>
                <w:color w:val="000000" w:themeColor="text1"/>
                <w14:textFill>
                  <w14:solidFill>
                    <w14:schemeClr w14:val="tx1"/>
                  </w14:solidFill>
                </w14:textFill>
              </w:rPr>
              <w:t>秒，</w:t>
            </w:r>
            <w:r>
              <w:rPr>
                <w:color w:val="000000" w:themeColor="text1"/>
                <w:u w:val="single"/>
                <w14:textFill>
                  <w14:solidFill>
                    <w14:schemeClr w14:val="tx1"/>
                  </w14:solidFill>
                </w14:textFill>
              </w:rPr>
              <w:t>35</w:t>
            </w:r>
            <w:r>
              <w:rPr>
                <w:rFonts w:hint="eastAsia"/>
                <w:color w:val="000000" w:themeColor="text1"/>
                <w14:textFill>
                  <w14:solidFill>
                    <w14:schemeClr w14:val="tx1"/>
                  </w14:solidFill>
                </w14:textFill>
              </w:rPr>
              <w:t>度</w:t>
            </w:r>
            <w:r>
              <w:rPr>
                <w:color w:val="000000" w:themeColor="text1"/>
                <w:u w:val="single"/>
                <w14:textFill>
                  <w14:solidFill>
                    <w14:schemeClr w14:val="tx1"/>
                  </w14:solidFill>
                </w14:textFill>
              </w:rPr>
              <w:t>04</w:t>
            </w:r>
            <w:r>
              <w:rPr>
                <w:rFonts w:hint="eastAsia"/>
                <w:color w:val="000000" w:themeColor="text1"/>
                <w14:textFill>
                  <w14:solidFill>
                    <w14:schemeClr w14:val="tx1"/>
                  </w14:solidFill>
                </w14:textFill>
              </w:rPr>
              <w:t>分</w:t>
            </w:r>
            <w:r>
              <w:rPr>
                <w:color w:val="000000" w:themeColor="text1"/>
                <w:u w:val="single"/>
                <w14:textFill>
                  <w14:solidFill>
                    <w14:schemeClr w14:val="tx1"/>
                  </w14:solidFill>
                </w14:textFill>
              </w:rPr>
              <w:t xml:space="preserve"> 32.581</w:t>
            </w:r>
            <w:r>
              <w:rPr>
                <w:rFonts w:hint="eastAsia"/>
                <w:color w:val="000000" w:themeColor="text1"/>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国民经济</w:t>
            </w:r>
          </w:p>
          <w:p>
            <w:pPr>
              <w:adjustRightInd w:val="0"/>
              <w:snapToGrid w:val="0"/>
              <w:jc w:val="center"/>
            </w:pPr>
            <w:r>
              <w:rPr>
                <w:rFonts w:hint="eastAsia"/>
              </w:rPr>
              <w:t>行业类别</w:t>
            </w:r>
          </w:p>
        </w:tc>
        <w:tc>
          <w:tcPr>
            <w:tcW w:w="1153" w:type="pct"/>
            <w:tcMar>
              <w:left w:w="57" w:type="dxa"/>
              <w:right w:w="57" w:type="dxa"/>
            </w:tcMar>
            <w:vAlign w:val="center"/>
          </w:tcPr>
          <w:p>
            <w:pPr>
              <w:adjustRightInd w:val="0"/>
              <w:snapToGrid w:val="0"/>
              <w:jc w:val="center"/>
              <w:rPr>
                <w:color w:val="FF0000"/>
              </w:rPr>
            </w:pPr>
            <w:r>
              <w:rPr>
                <w:rFonts w:hint="eastAsia" w:ascii="宋体" w:hAnsi="宋体"/>
              </w:rPr>
              <w:t>C3029其他水泥类似制品制造</w:t>
            </w:r>
          </w:p>
        </w:tc>
        <w:tc>
          <w:tcPr>
            <w:tcW w:w="1057" w:type="pct"/>
            <w:tcMar>
              <w:left w:w="57" w:type="dxa"/>
              <w:right w:w="57" w:type="dxa"/>
            </w:tcMar>
            <w:vAlign w:val="center"/>
          </w:tcPr>
          <w:p>
            <w:pPr>
              <w:adjustRightInd w:val="0"/>
              <w:snapToGrid w:val="0"/>
              <w:jc w:val="center"/>
              <w:rPr>
                <w:color w:val="000000" w:themeColor="text1"/>
                <w14:textFill>
                  <w14:solidFill>
                    <w14:schemeClr w14:val="tx1"/>
                  </w14:solidFill>
                </w14:textFill>
              </w:rPr>
            </w:pPr>
            <w:bookmarkStart w:id="1" w:name="_Hlk49843745"/>
            <w:r>
              <w:rPr>
                <w:rFonts w:hint="eastAsia"/>
                <w:color w:val="000000" w:themeColor="text1"/>
                <w14:textFill>
                  <w14:solidFill>
                    <w14:schemeClr w14:val="tx1"/>
                  </w14:solidFill>
                </w14:textFill>
              </w:rPr>
              <w:t>建设项目</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行业类别</w:t>
            </w:r>
            <w:bookmarkEnd w:id="1"/>
          </w:p>
        </w:tc>
        <w:tc>
          <w:tcPr>
            <w:tcW w:w="1835" w:type="pct"/>
            <w:tcMar>
              <w:left w:w="57" w:type="dxa"/>
              <w:right w:w="57" w:type="dxa"/>
            </w:tcMar>
            <w:vAlign w:val="center"/>
          </w:tcPr>
          <w:p>
            <w:pPr>
              <w:adjustRightInd w:val="0"/>
              <w:snapToGrid w:val="0"/>
              <w:rPr>
                <w:color w:val="FF0000"/>
              </w:rPr>
            </w:pPr>
            <w:r>
              <w:rPr>
                <w:rFonts w:hint="eastAsia"/>
                <w:color w:val="000000" w:themeColor="text1"/>
                <w14:textFill>
                  <w14:solidFill>
                    <w14:schemeClr w14:val="tx1"/>
                  </w14:solidFill>
                </w14:textFill>
              </w:rPr>
              <w:t>二十七、非金属矿物制品业 55石膏、水泥制品及类似制品制造302，商品混凝土；砼结构构件制造；水泥制品制造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建设性质</w:t>
            </w:r>
          </w:p>
        </w:tc>
        <w:tc>
          <w:tcPr>
            <w:tcW w:w="1153" w:type="pct"/>
            <w:tcMar>
              <w:left w:w="57" w:type="dxa"/>
              <w:right w:w="57" w:type="dxa"/>
            </w:tcMar>
            <w:vAlign w:val="center"/>
          </w:tcPr>
          <w:p>
            <w:r>
              <w:rPr/>
              <w:sym w:font="Wingdings 2" w:char="0052"/>
            </w:r>
            <w:r>
              <w:rPr>
                <w:rFonts w:hint="eastAsia"/>
              </w:rPr>
              <w:t>新建（迁建）</w:t>
            </w:r>
          </w:p>
          <w:p>
            <w:r>
              <w:rPr>
                <w:rFonts w:hint="eastAsia"/>
              </w:rPr>
              <w:t>□改建</w:t>
            </w:r>
          </w:p>
          <w:p>
            <w:r>
              <w:rPr>
                <w:rFonts w:hint="eastAsia"/>
              </w:rPr>
              <w:t>□扩建</w:t>
            </w:r>
          </w:p>
          <w:p>
            <w:r>
              <w:rPr>
                <w:rFonts w:hint="eastAsia"/>
              </w:rPr>
              <w:t>□技术改造</w:t>
            </w:r>
          </w:p>
        </w:tc>
        <w:tc>
          <w:tcPr>
            <w:tcW w:w="1057" w:type="pct"/>
            <w:tcMar>
              <w:left w:w="57" w:type="dxa"/>
              <w:right w:w="57" w:type="dxa"/>
            </w:tcMar>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申报情形</w:t>
            </w:r>
          </w:p>
        </w:tc>
        <w:tc>
          <w:tcPr>
            <w:tcW w:w="1835" w:type="pct"/>
            <w:tcMar>
              <w:left w:w="57" w:type="dxa"/>
              <w:right w:w="57" w:type="dxa"/>
            </w:tcMar>
            <w:vAlign w:val="center"/>
          </w:tcPr>
          <w:p>
            <w:r>
              <w:rPr/>
              <w:sym w:font="Wingdings 2" w:char="0052"/>
            </w:r>
            <w:r>
              <w:rPr>
                <w:rFonts w:hint="eastAsia"/>
              </w:rPr>
              <w:t>首次申报项目</w:t>
            </w:r>
            <w:r>
              <w:t xml:space="preserve">             </w:t>
            </w:r>
          </w:p>
          <w:p>
            <w:r>
              <w:rPr>
                <w:rFonts w:hint="eastAsia"/>
              </w:rPr>
              <w:t>□不予批准后再次申报项目</w:t>
            </w:r>
          </w:p>
          <w:p>
            <w:r>
              <w:rPr>
                <w:rFonts w:hint="eastAsia"/>
              </w:rPr>
              <w:sym w:font="Wingdings 2" w:char="00A3"/>
            </w:r>
            <w:r>
              <w:rPr>
                <w:rFonts w:hint="eastAsia"/>
              </w:rPr>
              <w:t>超五年重新审核项目</w:t>
            </w:r>
            <w:r>
              <w:t xml:space="preserve">     </w:t>
            </w:r>
          </w:p>
          <w:p>
            <w:r>
              <w:rPr>
                <w:rFonts w:hint="eastAsia"/>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项目审批（备案）部门</w:t>
            </w:r>
          </w:p>
        </w:tc>
        <w:tc>
          <w:tcPr>
            <w:tcW w:w="1153" w:type="pct"/>
            <w:tcMar>
              <w:left w:w="57" w:type="dxa"/>
              <w:right w:w="57" w:type="dxa"/>
            </w:tcMar>
            <w:vAlign w:val="center"/>
          </w:tcPr>
          <w:p>
            <w:pPr>
              <w:adjustRightInd w:val="0"/>
              <w:snapToGrid w:val="0"/>
              <w:jc w:val="center"/>
            </w:pPr>
            <w:r>
              <w:rPr>
                <w:rFonts w:hint="eastAsia"/>
              </w:rPr>
              <w:t>山亭区行政审批服务局</w:t>
            </w:r>
          </w:p>
        </w:tc>
        <w:tc>
          <w:tcPr>
            <w:tcW w:w="1057" w:type="pct"/>
            <w:tcMar>
              <w:left w:w="57" w:type="dxa"/>
              <w:right w:w="57" w:type="dxa"/>
            </w:tcMar>
            <w:vAlign w:val="center"/>
          </w:tcPr>
          <w:p>
            <w:pPr>
              <w:adjustRightInd w:val="0"/>
              <w:snapToGrid w:val="0"/>
              <w:jc w:val="center"/>
            </w:pPr>
            <w:r>
              <w:rPr>
                <w:rFonts w:hint="eastAsia"/>
              </w:rPr>
              <w:t>项目审批（备案）文号</w:t>
            </w:r>
          </w:p>
        </w:tc>
        <w:tc>
          <w:tcPr>
            <w:tcW w:w="1835" w:type="pct"/>
            <w:tcMar>
              <w:left w:w="57" w:type="dxa"/>
              <w:right w:w="57" w:type="dxa"/>
            </w:tcMar>
            <w:vAlign w:val="center"/>
          </w:tcPr>
          <w:p>
            <w:pPr>
              <w:jc w:val="center"/>
            </w:pPr>
            <w:r>
              <w:rPr>
                <w:color w:val="000000" w:themeColor="text1"/>
                <w14:textFill>
                  <w14:solidFill>
                    <w14:schemeClr w14:val="tx1"/>
                  </w14:solidFill>
                </w14:textFill>
              </w:rPr>
              <w:t>2401-370406-89-01-951125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总投资（万元）</w:t>
            </w:r>
          </w:p>
        </w:tc>
        <w:tc>
          <w:tcPr>
            <w:tcW w:w="1153" w:type="pct"/>
            <w:tcMar>
              <w:left w:w="57" w:type="dxa"/>
              <w:right w:w="57" w:type="dxa"/>
            </w:tcMar>
            <w:vAlign w:val="center"/>
          </w:tcPr>
          <w:p>
            <w:pPr>
              <w:adjustRightInd w:val="0"/>
              <w:snapToGrid w:val="0"/>
              <w:jc w:val="center"/>
            </w:pPr>
            <w:r>
              <w:t>300</w:t>
            </w:r>
          </w:p>
        </w:tc>
        <w:tc>
          <w:tcPr>
            <w:tcW w:w="1057" w:type="pct"/>
            <w:tcMar>
              <w:top w:w="16" w:type="dxa"/>
              <w:left w:w="57" w:type="dxa"/>
              <w:right w:w="57" w:type="dxa"/>
            </w:tcMar>
            <w:vAlign w:val="center"/>
          </w:tcPr>
          <w:p>
            <w:pPr>
              <w:adjustRightInd w:val="0"/>
              <w:snapToGrid w:val="0"/>
              <w:jc w:val="center"/>
            </w:pPr>
            <w:r>
              <w:rPr>
                <w:rFonts w:hint="eastAsia"/>
              </w:rPr>
              <w:t>环保投资（万元）</w:t>
            </w:r>
          </w:p>
        </w:tc>
        <w:tc>
          <w:tcPr>
            <w:tcW w:w="1835" w:type="pct"/>
            <w:tcMar>
              <w:left w:w="57" w:type="dxa"/>
              <w:right w:w="57" w:type="dxa"/>
            </w:tcMar>
            <w:vAlign w:val="center"/>
          </w:tcPr>
          <w:p>
            <w:pPr>
              <w:adjustRightInd w:val="0"/>
              <w:snapToGrid w:val="0"/>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环保投资占比（</w:t>
            </w:r>
            <w:r>
              <w:t>%</w:t>
            </w:r>
            <w:r>
              <w:rPr>
                <w:rFonts w:hint="eastAsia"/>
              </w:rPr>
              <w:t>）</w:t>
            </w:r>
          </w:p>
        </w:tc>
        <w:tc>
          <w:tcPr>
            <w:tcW w:w="1153" w:type="pct"/>
            <w:tcMar>
              <w:left w:w="57" w:type="dxa"/>
              <w:right w:w="57" w:type="dxa"/>
            </w:tcMar>
            <w:vAlign w:val="center"/>
          </w:tcPr>
          <w:p>
            <w:pPr>
              <w:adjustRightInd w:val="0"/>
              <w:snapToGrid w:val="0"/>
              <w:jc w:val="center"/>
            </w:pPr>
            <w:r>
              <w:t>10</w:t>
            </w:r>
          </w:p>
        </w:tc>
        <w:tc>
          <w:tcPr>
            <w:tcW w:w="1057" w:type="pct"/>
            <w:tcMar>
              <w:top w:w="16" w:type="dxa"/>
              <w:left w:w="57" w:type="dxa"/>
              <w:right w:w="57" w:type="dxa"/>
            </w:tcMar>
            <w:vAlign w:val="center"/>
          </w:tcPr>
          <w:p>
            <w:pPr>
              <w:adjustRightInd w:val="0"/>
              <w:snapToGrid w:val="0"/>
              <w:jc w:val="center"/>
            </w:pPr>
            <w:r>
              <w:rPr>
                <w:rFonts w:hint="eastAsia"/>
              </w:rPr>
              <w:t>施工工期</w:t>
            </w:r>
          </w:p>
        </w:tc>
        <w:tc>
          <w:tcPr>
            <w:tcW w:w="1835" w:type="pct"/>
            <w:tcMar>
              <w:left w:w="57" w:type="dxa"/>
              <w:right w:w="57" w:type="dxa"/>
            </w:tcMar>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 w:type="pct"/>
            <w:tcMar>
              <w:top w:w="16" w:type="dxa"/>
              <w:left w:w="57" w:type="dxa"/>
              <w:right w:w="57" w:type="dxa"/>
            </w:tcMar>
            <w:vAlign w:val="center"/>
          </w:tcPr>
          <w:p>
            <w:pPr>
              <w:adjustRightInd w:val="0"/>
              <w:snapToGrid w:val="0"/>
              <w:jc w:val="center"/>
            </w:pPr>
            <w:r>
              <w:rPr>
                <w:rFonts w:hint="eastAsia"/>
              </w:rPr>
              <w:t>是否开工建设</w:t>
            </w:r>
          </w:p>
        </w:tc>
        <w:tc>
          <w:tcPr>
            <w:tcW w:w="1153" w:type="pct"/>
            <w:tcMar>
              <w:left w:w="57" w:type="dxa"/>
              <w:right w:w="57" w:type="dxa"/>
            </w:tcMar>
            <w:vAlign w:val="center"/>
          </w:tcPr>
          <w:p>
            <w:pPr>
              <w:adjustRightInd w:val="0"/>
              <w:snapToGrid w:val="0"/>
            </w:pPr>
            <w:r>
              <w:rPr/>
              <w:sym w:font="Wingdings 2" w:char="0052"/>
            </w:r>
            <w:r>
              <w:rPr>
                <w:rFonts w:hint="eastAsia"/>
              </w:rPr>
              <w:t>否</w:t>
            </w:r>
          </w:p>
          <w:p>
            <w:pPr>
              <w:adjustRightInd w:val="0"/>
              <w:snapToGrid w:val="0"/>
            </w:pPr>
            <w:r>
              <w:rPr>
                <w:rFonts w:hint="eastAsia"/>
              </w:rPr>
              <w:sym w:font="Wingdings 2" w:char="00A3"/>
            </w:r>
            <w:r>
              <w:rPr>
                <w:rFonts w:hint="eastAsia"/>
              </w:rPr>
              <w:t>是：</w:t>
            </w:r>
            <w:r>
              <w:rPr>
                <w:rFonts w:hint="eastAsia"/>
                <w:u w:val="single"/>
              </w:rPr>
              <w:t xml:space="preserve">             </w:t>
            </w:r>
          </w:p>
        </w:tc>
        <w:tc>
          <w:tcPr>
            <w:tcW w:w="1057" w:type="pct"/>
            <w:tcMar>
              <w:top w:w="16" w:type="dxa"/>
              <w:left w:w="57" w:type="dxa"/>
              <w:right w:w="57" w:type="dxa"/>
            </w:tcMar>
            <w:vAlign w:val="center"/>
          </w:tcPr>
          <w:p>
            <w:pPr>
              <w:adjustRightInd w:val="0"/>
              <w:snapToGrid w:val="0"/>
              <w:jc w:val="center"/>
            </w:pPr>
            <w:r>
              <w:rPr>
                <w:rFonts w:hint="eastAsia"/>
                <w:spacing w:val="-6"/>
              </w:rPr>
              <w:t>用地面积（</w:t>
            </w:r>
            <w:r>
              <w:rPr>
                <w:spacing w:val="-6"/>
              </w:rPr>
              <w:t>m</w:t>
            </w:r>
            <w:r>
              <w:rPr>
                <w:spacing w:val="-6"/>
                <w:vertAlign w:val="superscript"/>
              </w:rPr>
              <w:t>2</w:t>
            </w:r>
            <w:r>
              <w:rPr>
                <w:rFonts w:hint="eastAsia"/>
                <w:spacing w:val="-6"/>
              </w:rPr>
              <w:t>）</w:t>
            </w:r>
          </w:p>
        </w:tc>
        <w:tc>
          <w:tcPr>
            <w:tcW w:w="1835" w:type="pct"/>
            <w:tcMar>
              <w:left w:w="57" w:type="dxa"/>
              <w:right w:w="57" w:type="dxa"/>
            </w:tcMar>
            <w:vAlign w:val="center"/>
          </w:tcPr>
          <w:p>
            <w:pPr>
              <w:adjustRightInd w:val="0"/>
              <w:snapToGrid w:val="0"/>
              <w:jc w:val="center"/>
              <w:rPr>
                <w:color w:val="000000" w:themeColor="text1"/>
                <w14:textFill>
                  <w14:solidFill>
                    <w14:schemeClr w14:val="tx1"/>
                  </w14:solidFill>
                </w14:textFill>
              </w:rPr>
            </w:pPr>
            <w:bookmarkStart w:id="2" w:name="OLE_LINK1"/>
            <w:r>
              <w:rPr>
                <w:rFonts w:cs="Times New Roman"/>
                <w:color w:val="000000" w:themeColor="text1"/>
                <w:szCs w:val="21"/>
                <w14:textFill>
                  <w14:solidFill>
                    <w14:schemeClr w14:val="tx1"/>
                  </w14:solidFill>
                </w14:textFill>
              </w:rPr>
              <w:t>15333</w:t>
            </w:r>
            <w:bookmarkEnd w:id="2"/>
            <w:r>
              <w:rPr>
                <w:rFonts w:cs="Times New Roman"/>
                <w:color w:val="000000" w:themeColor="text1"/>
                <w:szCs w:val="21"/>
                <w14:textFill>
                  <w14:solidFill>
                    <w14:schemeClr w14:val="tx1"/>
                  </w14:solidFill>
                </w14:textFill>
              </w:rPr>
              <w:t>m</w:t>
            </w:r>
            <w:r>
              <w:rPr>
                <w:rFonts w:cs="Times New Roman"/>
                <w:color w:val="000000" w:themeColor="text1"/>
                <w:szCs w:val="21"/>
                <w:vertAlign w:val="superscript"/>
                <w14:textFill>
                  <w14:solidFill>
                    <w14:schemeClr w14:val="tx1"/>
                  </w14:solidFill>
                </w14:textFill>
              </w:rPr>
              <w:t>2</w:t>
            </w:r>
            <w:r>
              <w:rPr>
                <w:rFonts w:hint="eastAsia" w:cs="Times New Roman"/>
                <w:color w:val="000000" w:themeColor="text1"/>
                <w:szCs w:val="21"/>
                <w14:textFill>
                  <w14:solidFill>
                    <w14:schemeClr w14:val="tx1"/>
                  </w14:solidFill>
                </w14:textFill>
              </w:rPr>
              <w:t>（2</w:t>
            </w:r>
            <w:r>
              <w:rPr>
                <w:rFonts w:cs="Times New Roman"/>
                <w:color w:val="000000" w:themeColor="text1"/>
                <w:szCs w:val="21"/>
                <w14:textFill>
                  <w14:solidFill>
                    <w14:schemeClr w14:val="tx1"/>
                  </w14:solidFill>
                </w14:textFill>
              </w:rPr>
              <w:t>3</w:t>
            </w:r>
            <w:r>
              <w:rPr>
                <w:rFonts w:hint="eastAsia" w:cs="Times New Roman"/>
                <w:color w:val="000000" w:themeColor="text1"/>
                <w:szCs w:val="21"/>
                <w14:textFill>
                  <w14:solidFill>
                    <w14:schemeClr w14:val="tx1"/>
                  </w14:solidFill>
                </w14:textFill>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tcMar>
              <w:left w:w="57" w:type="dxa"/>
              <w:right w:w="57" w:type="dxa"/>
            </w:tcMar>
            <w:vAlign w:val="center"/>
          </w:tcPr>
          <w:p>
            <w:pPr>
              <w:autoSpaceDE w:val="0"/>
              <w:autoSpaceDN w:val="0"/>
              <w:adjustRightInd w:val="0"/>
              <w:snapToGrid w:val="0"/>
              <w:jc w:val="center"/>
            </w:pPr>
            <w:r>
              <w:rPr>
                <w:rFonts w:hint="eastAsia"/>
              </w:rPr>
              <w:t>专项评价设置情况</w:t>
            </w:r>
          </w:p>
        </w:tc>
        <w:tc>
          <w:tcPr>
            <w:tcW w:w="4045" w:type="pct"/>
            <w:gridSpan w:val="3"/>
            <w:tcMar>
              <w:left w:w="0" w:type="dxa"/>
              <w:right w:w="0" w:type="dxa"/>
            </w:tcMar>
            <w:vAlign w:val="center"/>
          </w:tcPr>
          <w:tbl>
            <w:tblPr>
              <w:tblStyle w:val="44"/>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905"/>
              <w:gridCol w:w="3724"/>
              <w:gridCol w:w="2175"/>
              <w:gridCol w:w="89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1" w:hRule="atLeast"/>
                <w:jc w:val="center"/>
              </w:trPr>
              <w:tc>
                <w:tcPr>
                  <w:tcW w:w="588" w:type="pct"/>
                  <w:vAlign w:val="center"/>
                </w:tcPr>
                <w:p>
                  <w:pPr>
                    <w:jc w:val="center"/>
                    <w:rPr>
                      <w:sz w:val="21"/>
                      <w:szCs w:val="21"/>
                    </w:rPr>
                  </w:pPr>
                  <w:r>
                    <w:rPr>
                      <w:rFonts w:hint="eastAsia"/>
                      <w:sz w:val="21"/>
                      <w:szCs w:val="21"/>
                    </w:rPr>
                    <w:t>专项评价类别</w:t>
                  </w:r>
                </w:p>
              </w:tc>
              <w:tc>
                <w:tcPr>
                  <w:tcW w:w="2419" w:type="pct"/>
                  <w:vAlign w:val="center"/>
                </w:tcPr>
                <w:p>
                  <w:pPr>
                    <w:jc w:val="center"/>
                    <w:rPr>
                      <w:sz w:val="21"/>
                      <w:szCs w:val="21"/>
                    </w:rPr>
                  </w:pPr>
                  <w:r>
                    <w:rPr>
                      <w:rFonts w:hint="eastAsia"/>
                      <w:sz w:val="21"/>
                      <w:szCs w:val="21"/>
                    </w:rPr>
                    <w:t>设置原则</w:t>
                  </w:r>
                </w:p>
              </w:tc>
              <w:tc>
                <w:tcPr>
                  <w:tcW w:w="1413" w:type="pct"/>
                  <w:vAlign w:val="center"/>
                </w:tcPr>
                <w:p>
                  <w:pPr>
                    <w:jc w:val="center"/>
                    <w:rPr>
                      <w:sz w:val="21"/>
                      <w:szCs w:val="21"/>
                    </w:rPr>
                  </w:pPr>
                  <w:r>
                    <w:rPr>
                      <w:rFonts w:hint="eastAsia"/>
                      <w:sz w:val="21"/>
                      <w:szCs w:val="21"/>
                    </w:rPr>
                    <w:t>本项目情况</w:t>
                  </w:r>
                </w:p>
              </w:tc>
              <w:tc>
                <w:tcPr>
                  <w:tcW w:w="580" w:type="pct"/>
                  <w:vAlign w:val="center"/>
                </w:tcPr>
                <w:p>
                  <w:pPr>
                    <w:jc w:val="center"/>
                    <w:rPr>
                      <w:sz w:val="21"/>
                      <w:szCs w:val="21"/>
                    </w:rPr>
                  </w:pPr>
                  <w:r>
                    <w:rPr>
                      <w:rFonts w:hint="eastAsia"/>
                      <w:sz w:val="21"/>
                      <w:szCs w:val="21"/>
                    </w:rPr>
                    <w:t>是否设置专项</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88" w:type="pct"/>
                  <w:vAlign w:val="center"/>
                </w:tcPr>
                <w:p>
                  <w:pPr>
                    <w:jc w:val="center"/>
                    <w:rPr>
                      <w:sz w:val="21"/>
                      <w:szCs w:val="21"/>
                    </w:rPr>
                  </w:pPr>
                  <w:r>
                    <w:rPr>
                      <w:rFonts w:hint="eastAsia"/>
                      <w:sz w:val="21"/>
                      <w:szCs w:val="21"/>
                    </w:rPr>
                    <w:t>大气</w:t>
                  </w:r>
                </w:p>
              </w:tc>
              <w:tc>
                <w:tcPr>
                  <w:tcW w:w="2419" w:type="pct"/>
                  <w:vAlign w:val="center"/>
                </w:tcPr>
                <w:p>
                  <w:pPr>
                    <w:widowControl/>
                    <w:rPr>
                      <w:sz w:val="21"/>
                      <w:szCs w:val="21"/>
                    </w:rPr>
                  </w:pPr>
                  <w:r>
                    <w:rPr>
                      <w:rFonts w:hint="eastAsia" w:ascii="宋体" w:hAnsi="宋体"/>
                      <w:color w:val="000000"/>
                      <w:sz w:val="21"/>
                      <w:szCs w:val="21"/>
                      <w:lang w:bidi="ar"/>
                    </w:rPr>
                    <w:t>排放废气含有毒有害污染物、二噁英、苯并[</w:t>
                  </w:r>
                  <w:r>
                    <w:rPr>
                      <w:rFonts w:hint="eastAsia" w:ascii="宋体" w:hAnsi="宋体"/>
                      <w:i/>
                      <w:iCs/>
                      <w:color w:val="000000"/>
                      <w:sz w:val="21"/>
                      <w:szCs w:val="21"/>
                      <w:lang w:bidi="ar"/>
                    </w:rPr>
                    <w:t>a</w:t>
                  </w:r>
                  <w:r>
                    <w:rPr>
                      <w:rFonts w:hint="eastAsia" w:ascii="宋体" w:hAnsi="宋体"/>
                      <w:color w:val="000000"/>
                      <w:sz w:val="21"/>
                      <w:szCs w:val="21"/>
                      <w:lang w:bidi="ar"/>
                    </w:rPr>
                    <w:t>]芘、氰化物、氯气且厂界外500米范围内有环境空气保护目标的建设项目。</w:t>
                  </w:r>
                </w:p>
              </w:tc>
              <w:tc>
                <w:tcPr>
                  <w:tcW w:w="1413" w:type="pct"/>
                  <w:vAlign w:val="center"/>
                </w:tcPr>
                <w:p>
                  <w:pPr>
                    <w:jc w:val="center"/>
                    <w:rPr>
                      <w:sz w:val="21"/>
                      <w:szCs w:val="21"/>
                    </w:rPr>
                  </w:pPr>
                  <w:r>
                    <w:rPr>
                      <w:rFonts w:hint="eastAsia"/>
                      <w:sz w:val="21"/>
                      <w:szCs w:val="21"/>
                    </w:rPr>
                    <w:t>本项目废气污染物主要为颗粒物，不涉及前述污染物</w:t>
                  </w:r>
                </w:p>
              </w:tc>
              <w:tc>
                <w:tcPr>
                  <w:tcW w:w="580" w:type="pct"/>
                  <w:vAlign w:val="center"/>
                </w:tcPr>
                <w:p>
                  <w:pPr>
                    <w:jc w:val="center"/>
                    <w:rPr>
                      <w:sz w:val="21"/>
                      <w:szCs w:val="21"/>
                    </w:rPr>
                  </w:pPr>
                  <w:r>
                    <w:rPr>
                      <w:rFonts w:hint="eastAsia"/>
                      <w:sz w:val="21"/>
                      <w:szCs w:val="21"/>
                    </w:rPr>
                    <w:t>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88" w:type="pct"/>
                  <w:vAlign w:val="center"/>
                </w:tcPr>
                <w:p>
                  <w:pPr>
                    <w:jc w:val="center"/>
                    <w:rPr>
                      <w:sz w:val="21"/>
                      <w:szCs w:val="21"/>
                    </w:rPr>
                  </w:pPr>
                  <w:r>
                    <w:rPr>
                      <w:rFonts w:hint="eastAsia"/>
                      <w:sz w:val="21"/>
                      <w:szCs w:val="21"/>
                    </w:rPr>
                    <w:t>地表水</w:t>
                  </w:r>
                </w:p>
              </w:tc>
              <w:tc>
                <w:tcPr>
                  <w:tcW w:w="2419" w:type="pct"/>
                  <w:vAlign w:val="center"/>
                </w:tcPr>
                <w:p>
                  <w:pPr>
                    <w:widowControl/>
                    <w:rPr>
                      <w:sz w:val="21"/>
                      <w:szCs w:val="21"/>
                    </w:rPr>
                  </w:pPr>
                  <w:r>
                    <w:rPr>
                      <w:rFonts w:hint="eastAsia" w:ascii="宋体" w:hAnsi="宋体"/>
                      <w:color w:val="000000"/>
                      <w:sz w:val="21"/>
                      <w:szCs w:val="21"/>
                      <w:lang w:bidi="ar"/>
                    </w:rPr>
                    <w:t>新增工业废水直排建设项目（槽罐车外送污水处理厂的除外）；新增废水直排的污水集中处理厂。</w:t>
                  </w:r>
                </w:p>
              </w:tc>
              <w:tc>
                <w:tcPr>
                  <w:tcW w:w="1413" w:type="pct"/>
                  <w:vAlign w:val="center"/>
                </w:tcPr>
                <w:p>
                  <w:pPr>
                    <w:jc w:val="center"/>
                    <w:rPr>
                      <w:sz w:val="21"/>
                      <w:szCs w:val="21"/>
                    </w:rPr>
                  </w:pPr>
                  <w:r>
                    <w:rPr>
                      <w:rFonts w:hint="eastAsia"/>
                      <w:sz w:val="21"/>
                      <w:szCs w:val="21"/>
                    </w:rPr>
                    <w:t>项目无废水直接排放</w:t>
                  </w:r>
                </w:p>
              </w:tc>
              <w:tc>
                <w:tcPr>
                  <w:tcW w:w="580" w:type="pct"/>
                  <w:vAlign w:val="center"/>
                </w:tcPr>
                <w:p>
                  <w:pPr>
                    <w:jc w:val="center"/>
                    <w:rPr>
                      <w:sz w:val="21"/>
                      <w:szCs w:val="21"/>
                    </w:rPr>
                  </w:pPr>
                  <w:r>
                    <w:rPr>
                      <w:rFonts w:hint="eastAsia"/>
                      <w:sz w:val="21"/>
                      <w:szCs w:val="21"/>
                    </w:rPr>
                    <w:t>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88" w:type="pct"/>
                  <w:vAlign w:val="center"/>
                </w:tcPr>
                <w:p>
                  <w:pPr>
                    <w:jc w:val="center"/>
                    <w:rPr>
                      <w:sz w:val="21"/>
                      <w:szCs w:val="21"/>
                    </w:rPr>
                  </w:pPr>
                  <w:r>
                    <w:rPr>
                      <w:rFonts w:hint="eastAsia"/>
                      <w:sz w:val="21"/>
                      <w:szCs w:val="21"/>
                    </w:rPr>
                    <w:t>环境风险</w:t>
                  </w:r>
                </w:p>
              </w:tc>
              <w:tc>
                <w:tcPr>
                  <w:tcW w:w="2419" w:type="pct"/>
                  <w:vAlign w:val="center"/>
                </w:tcPr>
                <w:p>
                  <w:pPr>
                    <w:widowControl/>
                    <w:rPr>
                      <w:sz w:val="21"/>
                      <w:szCs w:val="21"/>
                    </w:rPr>
                  </w:pPr>
                  <w:r>
                    <w:rPr>
                      <w:rFonts w:hint="eastAsia" w:ascii="宋体" w:hAnsi="宋体"/>
                      <w:color w:val="000000"/>
                      <w:sz w:val="21"/>
                      <w:szCs w:val="21"/>
                      <w:lang w:bidi="ar"/>
                    </w:rPr>
                    <w:t>有毒有害和易燃易爆危险物质存储量超过临界量的建设项目。</w:t>
                  </w:r>
                </w:p>
              </w:tc>
              <w:tc>
                <w:tcPr>
                  <w:tcW w:w="1413" w:type="pct"/>
                  <w:vAlign w:val="center"/>
                </w:tcPr>
                <w:p>
                  <w:pPr>
                    <w:jc w:val="center"/>
                    <w:rPr>
                      <w:sz w:val="21"/>
                      <w:szCs w:val="21"/>
                    </w:rPr>
                  </w:pPr>
                  <w:r>
                    <w:rPr>
                      <w:rFonts w:hint="eastAsia"/>
                      <w:sz w:val="21"/>
                      <w:szCs w:val="21"/>
                    </w:rPr>
                    <w:t>本项目不涉及《建设项目环境风险评价技术导则》（HJ 169）附录B所列有毒有害和易燃易爆危险物质</w:t>
                  </w:r>
                </w:p>
              </w:tc>
              <w:tc>
                <w:tcPr>
                  <w:tcW w:w="580" w:type="pct"/>
                  <w:vAlign w:val="center"/>
                </w:tcPr>
                <w:p>
                  <w:pPr>
                    <w:jc w:val="center"/>
                    <w:rPr>
                      <w:sz w:val="21"/>
                      <w:szCs w:val="21"/>
                    </w:rPr>
                  </w:pPr>
                  <w:r>
                    <w:rPr>
                      <w:rFonts w:hint="eastAsia"/>
                      <w:sz w:val="21"/>
                      <w:szCs w:val="21"/>
                    </w:rPr>
                    <w:t>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88" w:type="pct"/>
                  <w:vAlign w:val="center"/>
                </w:tcPr>
                <w:p>
                  <w:pPr>
                    <w:jc w:val="center"/>
                    <w:rPr>
                      <w:sz w:val="21"/>
                      <w:szCs w:val="21"/>
                    </w:rPr>
                  </w:pPr>
                  <w:r>
                    <w:rPr>
                      <w:rFonts w:hint="eastAsia"/>
                      <w:sz w:val="21"/>
                      <w:szCs w:val="21"/>
                    </w:rPr>
                    <w:t>生态</w:t>
                  </w:r>
                </w:p>
              </w:tc>
              <w:tc>
                <w:tcPr>
                  <w:tcW w:w="2419" w:type="pct"/>
                  <w:vAlign w:val="center"/>
                </w:tcPr>
                <w:p>
                  <w:pPr>
                    <w:widowControl/>
                    <w:rPr>
                      <w:sz w:val="21"/>
                      <w:szCs w:val="21"/>
                    </w:rPr>
                  </w:pPr>
                  <w:r>
                    <w:rPr>
                      <w:rFonts w:hint="eastAsia" w:ascii="宋体" w:hAnsi="宋体"/>
                      <w:color w:val="000000"/>
                      <w:sz w:val="21"/>
                      <w:szCs w:val="21"/>
                      <w:lang w:bidi="ar"/>
                    </w:rPr>
                    <w:t>取水口下游500米范围内有重要水生生物的自然产卵场、索饵场、越冬场和洄游通道的新增河道取水的污染类建设项目。</w:t>
                  </w:r>
                </w:p>
              </w:tc>
              <w:tc>
                <w:tcPr>
                  <w:tcW w:w="1413" w:type="pct"/>
                  <w:vAlign w:val="center"/>
                </w:tcPr>
                <w:p>
                  <w:pPr>
                    <w:jc w:val="center"/>
                    <w:rPr>
                      <w:sz w:val="21"/>
                      <w:szCs w:val="21"/>
                    </w:rPr>
                  </w:pPr>
                  <w:r>
                    <w:rPr>
                      <w:rFonts w:hint="eastAsia"/>
                      <w:sz w:val="21"/>
                      <w:szCs w:val="21"/>
                    </w:rPr>
                    <w:t>项目不涉及。</w:t>
                  </w:r>
                </w:p>
              </w:tc>
              <w:tc>
                <w:tcPr>
                  <w:tcW w:w="580" w:type="pct"/>
                  <w:vAlign w:val="center"/>
                </w:tcPr>
                <w:p>
                  <w:pPr>
                    <w:jc w:val="center"/>
                    <w:rPr>
                      <w:sz w:val="21"/>
                      <w:szCs w:val="21"/>
                    </w:rPr>
                  </w:pPr>
                  <w:r>
                    <w:rPr>
                      <w:rFonts w:hint="eastAsia"/>
                      <w:sz w:val="21"/>
                      <w:szCs w:val="21"/>
                    </w:rPr>
                    <w:t>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88" w:type="pct"/>
                  <w:vAlign w:val="center"/>
                </w:tcPr>
                <w:p>
                  <w:pPr>
                    <w:jc w:val="center"/>
                    <w:rPr>
                      <w:sz w:val="21"/>
                      <w:szCs w:val="21"/>
                    </w:rPr>
                  </w:pPr>
                  <w:r>
                    <w:rPr>
                      <w:rFonts w:hint="eastAsia"/>
                      <w:sz w:val="21"/>
                      <w:szCs w:val="21"/>
                    </w:rPr>
                    <w:t>海洋</w:t>
                  </w:r>
                </w:p>
              </w:tc>
              <w:tc>
                <w:tcPr>
                  <w:tcW w:w="2419" w:type="pct"/>
                  <w:vAlign w:val="center"/>
                </w:tcPr>
                <w:p>
                  <w:pPr>
                    <w:rPr>
                      <w:sz w:val="21"/>
                      <w:szCs w:val="21"/>
                    </w:rPr>
                  </w:pPr>
                  <w:r>
                    <w:rPr>
                      <w:sz w:val="21"/>
                      <w:szCs w:val="21"/>
                    </w:rPr>
                    <w:t>直接向海排放污染物的海洋工程建设项目</w:t>
                  </w:r>
                  <w:r>
                    <w:rPr>
                      <w:rFonts w:hint="eastAsia"/>
                      <w:sz w:val="21"/>
                      <w:szCs w:val="21"/>
                    </w:rPr>
                    <w:t>。</w:t>
                  </w:r>
                </w:p>
              </w:tc>
              <w:tc>
                <w:tcPr>
                  <w:tcW w:w="1413" w:type="pct"/>
                  <w:vAlign w:val="center"/>
                </w:tcPr>
                <w:p>
                  <w:pPr>
                    <w:jc w:val="center"/>
                    <w:rPr>
                      <w:sz w:val="21"/>
                      <w:szCs w:val="21"/>
                    </w:rPr>
                  </w:pPr>
                  <w:r>
                    <w:rPr>
                      <w:rFonts w:hint="eastAsia"/>
                      <w:sz w:val="21"/>
                      <w:szCs w:val="21"/>
                    </w:rPr>
                    <w:t>项目不涉及。</w:t>
                  </w:r>
                </w:p>
              </w:tc>
              <w:tc>
                <w:tcPr>
                  <w:tcW w:w="580" w:type="pct"/>
                  <w:vAlign w:val="center"/>
                </w:tcPr>
                <w:p>
                  <w:pPr>
                    <w:jc w:val="center"/>
                    <w:rPr>
                      <w:sz w:val="21"/>
                      <w:szCs w:val="21"/>
                    </w:rPr>
                  </w:pPr>
                  <w:r>
                    <w:rPr>
                      <w:rFonts w:hint="eastAsia"/>
                      <w:sz w:val="21"/>
                      <w:szCs w:val="21"/>
                    </w:rPr>
                    <w:t>否</w:t>
                  </w:r>
                </w:p>
              </w:tc>
            </w:tr>
          </w:tbl>
          <w:p>
            <w:pPr>
              <w:autoSpaceDE w:val="0"/>
              <w:autoSpaceDN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tcMar>
              <w:left w:w="57" w:type="dxa"/>
              <w:right w:w="57" w:type="dxa"/>
            </w:tcMar>
            <w:vAlign w:val="center"/>
          </w:tcPr>
          <w:p>
            <w:pPr>
              <w:autoSpaceDE w:val="0"/>
              <w:autoSpaceDN w:val="0"/>
              <w:adjustRightInd w:val="0"/>
              <w:snapToGrid w:val="0"/>
              <w:jc w:val="center"/>
            </w:pPr>
            <w:r>
              <w:rPr>
                <w:rFonts w:hint="eastAsia"/>
              </w:rPr>
              <w:t>规划情况</w:t>
            </w:r>
          </w:p>
        </w:tc>
        <w:tc>
          <w:tcPr>
            <w:tcW w:w="4045" w:type="pct"/>
            <w:gridSpan w:val="3"/>
            <w:tcMar>
              <w:left w:w="57" w:type="dxa"/>
              <w:right w:w="57" w:type="dxa"/>
            </w:tcMar>
            <w:vAlign w:val="center"/>
          </w:tcPr>
          <w:p>
            <w:pPr>
              <w:autoSpaceDE w:val="0"/>
              <w:autoSpaceDN w:val="0"/>
              <w:adjustRightInd w:val="0"/>
              <w:snapToGrid w:val="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tcMar>
              <w:left w:w="57" w:type="dxa"/>
              <w:right w:w="57" w:type="dxa"/>
            </w:tcMar>
            <w:vAlign w:val="center"/>
          </w:tcPr>
          <w:p>
            <w:pPr>
              <w:adjustRightInd w:val="0"/>
              <w:snapToGrid w:val="0"/>
              <w:jc w:val="center"/>
            </w:pPr>
            <w:r>
              <w:rPr>
                <w:rFonts w:hint="eastAsia"/>
              </w:rPr>
              <w:t>规划环境影响评价情况</w:t>
            </w:r>
          </w:p>
        </w:tc>
        <w:tc>
          <w:tcPr>
            <w:tcW w:w="4045" w:type="pct"/>
            <w:gridSpan w:val="3"/>
            <w:tcMar>
              <w:left w:w="57" w:type="dxa"/>
              <w:right w:w="57" w:type="dxa"/>
            </w:tcMar>
            <w:vAlign w:val="center"/>
          </w:tcPr>
          <w:p>
            <w:pPr>
              <w:pStyle w:val="69"/>
              <w:spacing w:line="240" w:lineRule="auto"/>
              <w:ind w:left="48" w:right="48" w:firstLine="0"/>
              <w:jc w:val="center"/>
              <w:rPr>
                <w:sz w:val="21"/>
                <w:szCs w:val="21"/>
                <w:lang w:eastAsia="zh-CN"/>
              </w:rPr>
            </w:pPr>
            <w:r>
              <w:rPr>
                <w:rFonts w:hint="eastAsia"/>
                <w:sz w:val="21"/>
                <w:szCs w:val="21"/>
                <w:lang w:eastAsia="zh-CN"/>
              </w:rPr>
              <w:t>无</w:t>
            </w:r>
          </w:p>
        </w:tc>
      </w:tr>
    </w:tbl>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1"/>
        <w:gridCol w:w="8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 w:type="dxa"/>
            <w:vAlign w:val="center"/>
          </w:tcPr>
          <w:p>
            <w:pPr>
              <w:pStyle w:val="68"/>
              <w:spacing w:before="24" w:after="2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规划及规划环境</w:t>
            </w:r>
          </w:p>
          <w:p>
            <w:pPr>
              <w:pStyle w:val="68"/>
              <w:spacing w:before="24" w:after="2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影响评价符合性</w:t>
            </w:r>
          </w:p>
        </w:tc>
        <w:tc>
          <w:tcPr>
            <w:tcW w:w="8981" w:type="dxa"/>
            <w:vAlign w:val="center"/>
          </w:tcPr>
          <w:p>
            <w:pPr>
              <w:pStyle w:val="69"/>
              <w:ind w:left="48" w:right="48"/>
              <w:rPr>
                <w:lang w:eastAsia="zh-CN"/>
              </w:rPr>
            </w:pPr>
            <w:bookmarkStart w:id="3" w:name="一、建设项目基本情况"/>
            <w:bookmarkEnd w:id="3"/>
            <w:r>
              <w:rPr>
                <w:rFonts w:hint="eastAsia"/>
                <w:lang w:eastAsia="zh-CN"/>
              </w:rPr>
              <w:t>根据山亭区徐庄镇人民政府的说明，徐庄镇人民政府在该项目即将落地的徐庄镇水城子村以北、S343线以西进行建材工业集聚区规划环评设计，该园区占地约1300亩，东至徐庄镇卫生院，西至幸福庄大桥，南至安泰水泥厂，北至徐庄镇敬老院。该园区主导产业为商品混凝土、透水砖、仿瓷砖、仿真路沿石等建材（主要建设单位为山东秀美汇鑫建材有限公司），承诺规划环评报审时间不晚于项目投产时间。</w:t>
            </w:r>
          </w:p>
          <w:bookmarkEnd w:id="0"/>
          <w:p>
            <w:pPr>
              <w:pStyle w:val="69"/>
              <w:ind w:left="48" w:right="48"/>
              <w:rPr>
                <w:lang w:eastAsia="zh-CN"/>
              </w:rPr>
            </w:pPr>
            <w:r>
              <w:rPr>
                <w:rFonts w:hint="eastAsia"/>
                <w:lang w:eastAsia="zh-CN"/>
              </w:rPr>
              <w:t>项目位于拟进行规划环评设计的建材工业集聚区内，且符合园区主导产业。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 w:type="dxa"/>
            <w:vAlign w:val="center"/>
          </w:tcPr>
          <w:p>
            <w:pPr>
              <w:pStyle w:val="68"/>
              <w:spacing w:before="24" w:after="2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其他符合性分析</w:t>
            </w:r>
          </w:p>
        </w:tc>
        <w:tc>
          <w:tcPr>
            <w:tcW w:w="8981" w:type="dxa"/>
          </w:tcPr>
          <w:p>
            <w:pPr>
              <w:pStyle w:val="69"/>
              <w:numPr>
                <w:ilvl w:val="0"/>
                <w:numId w:val="4"/>
              </w:numPr>
              <w:ind w:left="48" w:right="48"/>
              <w:rPr>
                <w:b/>
                <w:lang w:eastAsia="zh-CN"/>
              </w:rPr>
            </w:pPr>
            <w:r>
              <w:rPr>
                <w:b/>
                <w:lang w:eastAsia="zh-CN"/>
              </w:rPr>
              <w:t>产业政策的符合性分析</w:t>
            </w:r>
          </w:p>
          <w:p>
            <w:pPr>
              <w:pStyle w:val="69"/>
              <w:ind w:left="48" w:right="48"/>
              <w:rPr>
                <w:lang w:eastAsia="zh-CN"/>
              </w:rPr>
            </w:pPr>
            <w:r>
              <w:rPr>
                <w:rFonts w:hint="eastAsia"/>
                <w:lang w:eastAsia="zh-CN"/>
              </w:rPr>
              <w:t>该项目为备案制，已取得山东省建设项目备案证明，项目代码为</w:t>
            </w:r>
            <w:r>
              <w:rPr>
                <w:color w:val="000000" w:themeColor="text1"/>
                <w:lang w:eastAsia="zh-CN"/>
                <w14:textFill>
                  <w14:solidFill>
                    <w14:schemeClr w14:val="tx1"/>
                  </w14:solidFill>
                </w14:textFill>
              </w:rPr>
              <w:t>2311-370406-89-01-617714</w:t>
            </w:r>
            <w:r>
              <w:rPr>
                <w:rFonts w:hint="eastAsia"/>
                <w:lang w:eastAsia="zh-CN"/>
              </w:rPr>
              <w:t>。经查对，本项目不属于国家发改委发布的《产业结构调整指导目录（2</w:t>
            </w:r>
            <w:r>
              <w:rPr>
                <w:lang w:eastAsia="zh-CN"/>
              </w:rPr>
              <w:t>024</w:t>
            </w:r>
            <w:r>
              <w:rPr>
                <w:rFonts w:hint="eastAsia"/>
                <w:lang w:eastAsia="zh-CN"/>
              </w:rPr>
              <w:t>年本》中“鼓励类”、“限制类”和“淘汰类”行列，可视为允许类，符合国家产业政策。</w:t>
            </w:r>
          </w:p>
          <w:p>
            <w:pPr>
              <w:pStyle w:val="69"/>
              <w:numPr>
                <w:ilvl w:val="0"/>
                <w:numId w:val="4"/>
              </w:numPr>
              <w:ind w:left="48" w:right="48"/>
              <w:rPr>
                <w:b/>
                <w:lang w:eastAsia="zh-CN"/>
              </w:rPr>
            </w:pPr>
            <w:r>
              <w:rPr>
                <w:rFonts w:hint="eastAsia"/>
                <w:b/>
                <w:lang w:eastAsia="zh-CN"/>
              </w:rPr>
              <w:t>项目用地及选址合理</w:t>
            </w:r>
            <w:r>
              <w:rPr>
                <w:b/>
                <w:lang w:eastAsia="zh-CN"/>
              </w:rPr>
              <w:t xml:space="preserve">性分析 </w:t>
            </w:r>
          </w:p>
          <w:p>
            <w:pPr>
              <w:pStyle w:val="69"/>
              <w:ind w:left="48" w:right="4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本项目位于</w:t>
            </w:r>
            <w:r>
              <w:rPr>
                <w:rFonts w:hint="eastAsia"/>
                <w:color w:val="000000" w:themeColor="text1"/>
                <w:lang w:eastAsia="zh-CN"/>
                <w14:textFill>
                  <w14:solidFill>
                    <w14:schemeClr w14:val="tx1"/>
                  </w14:solidFill>
                </w14:textFill>
              </w:rPr>
              <w:t>山亭区徐庄镇水城子村以北、S</w:t>
            </w:r>
            <w:r>
              <w:rPr>
                <w:color w:val="000000" w:themeColor="text1"/>
                <w:lang w:eastAsia="zh-CN"/>
                <w14:textFill>
                  <w14:solidFill>
                    <w14:schemeClr w14:val="tx1"/>
                  </w14:solidFill>
                </w14:textFill>
              </w:rPr>
              <w:t>343</w:t>
            </w:r>
            <w:r>
              <w:rPr>
                <w:rFonts w:hint="eastAsia"/>
                <w:color w:val="000000" w:themeColor="text1"/>
                <w:lang w:eastAsia="zh-CN"/>
                <w14:textFill>
                  <w14:solidFill>
                    <w14:schemeClr w14:val="tx1"/>
                  </w14:solidFill>
                </w14:textFill>
              </w:rPr>
              <w:t>线以西，</w:t>
            </w:r>
            <w:r>
              <w:rPr>
                <w:color w:val="000000" w:themeColor="text1"/>
                <w:lang w:eastAsia="zh-CN"/>
                <w14:textFill>
                  <w14:solidFill>
                    <w14:schemeClr w14:val="tx1"/>
                  </w14:solidFill>
                </w14:textFill>
              </w:rPr>
              <w:t>对照《限制用地项目目录（2012年本）》和《禁止用地项目目录（2012年本）》，本项目不属于其规定的限制用地和禁止用地项目范畴，可视为允许类项目。</w:t>
            </w:r>
            <w:r>
              <w:rPr>
                <w:rFonts w:hint="eastAsia"/>
                <w:color w:val="000000" w:themeColor="text1"/>
                <w:lang w:eastAsia="zh-CN"/>
                <w14:textFill>
                  <w14:solidFill>
                    <w14:schemeClr w14:val="tx1"/>
                  </w14:solidFill>
                </w14:textFill>
              </w:rPr>
              <w:t>根据山亭区国土空间规划“三区三线”的划定结果，项目位于城镇开发边界内，不在三区三线划定成果中耕地和永久基本农田保护红线、生态保护红线内。根据山亭区徐庄镇人民政府出具的证明，项目用地性质为建设用地，符合山亭区及徐庄镇土地利用规划</w:t>
            </w:r>
            <w:r>
              <w:rPr>
                <w:color w:val="000000" w:themeColor="text1"/>
                <w:lang w:eastAsia="zh-CN"/>
                <w14:textFill>
                  <w14:solidFill>
                    <w14:schemeClr w14:val="tx1"/>
                  </w14:solidFill>
                </w14:textFill>
              </w:rPr>
              <w:t>。</w:t>
            </w:r>
          </w:p>
          <w:p>
            <w:pPr>
              <w:pStyle w:val="69"/>
              <w:numPr>
                <w:ilvl w:val="0"/>
                <w:numId w:val="4"/>
              </w:numPr>
              <w:ind w:left="48" w:right="48"/>
              <w:rPr>
                <w:b/>
                <w:bCs/>
                <w:lang w:eastAsia="zh-CN"/>
              </w:rPr>
            </w:pPr>
            <w:r>
              <w:rPr>
                <w:rFonts w:hint="eastAsia"/>
                <w:b/>
                <w:bCs/>
                <w:lang w:eastAsia="zh-CN"/>
              </w:rPr>
              <w:t>“三线一单”符合性分析</w:t>
            </w:r>
          </w:p>
          <w:p>
            <w:pPr>
              <w:pStyle w:val="69"/>
              <w:ind w:left="48" w:right="48"/>
              <w:rPr>
                <w:lang w:eastAsia="zh-CN"/>
              </w:rPr>
            </w:pPr>
            <w:r>
              <w:rPr>
                <w:rFonts w:hint="eastAsia"/>
                <w:lang w:eastAsia="zh-CN"/>
              </w:rPr>
              <w:t>（1</w:t>
            </w:r>
            <w:r>
              <w:rPr>
                <w:lang w:eastAsia="zh-CN"/>
              </w:rPr>
              <w:t>）</w:t>
            </w:r>
            <w:r>
              <w:rPr>
                <w:rFonts w:hint="eastAsia"/>
                <w:lang w:eastAsia="zh-CN"/>
              </w:rPr>
              <w:t>生态保护红线符合性分析</w:t>
            </w:r>
          </w:p>
          <w:p>
            <w:pPr>
              <w:pStyle w:val="69"/>
              <w:ind w:left="48" w:right="48"/>
              <w:rPr>
                <w:color w:val="FF0000"/>
                <w:lang w:eastAsia="zh-CN"/>
              </w:rPr>
            </w:pPr>
            <w:r>
              <w:rPr>
                <w:rFonts w:hint="eastAsia"/>
                <w:lang w:eastAsia="zh-CN"/>
              </w:rPr>
              <w:t>本项目位于</w:t>
            </w:r>
            <w:r>
              <w:rPr>
                <w:rFonts w:hint="eastAsia"/>
                <w:color w:val="000000" w:themeColor="text1"/>
                <w:lang w:eastAsia="zh-CN"/>
                <w14:textFill>
                  <w14:solidFill>
                    <w14:schemeClr w14:val="tx1"/>
                  </w14:solidFill>
                </w14:textFill>
              </w:rPr>
              <w:t>山亭区徐庄镇水城子村以北、S</w:t>
            </w:r>
            <w:r>
              <w:rPr>
                <w:color w:val="000000" w:themeColor="text1"/>
                <w:lang w:eastAsia="zh-CN"/>
                <w14:textFill>
                  <w14:solidFill>
                    <w14:schemeClr w14:val="tx1"/>
                  </w14:solidFill>
                </w14:textFill>
              </w:rPr>
              <w:t>343</w:t>
            </w:r>
            <w:r>
              <w:rPr>
                <w:rFonts w:hint="eastAsia"/>
                <w:color w:val="000000" w:themeColor="text1"/>
                <w:lang w:eastAsia="zh-CN"/>
                <w14:textFill>
                  <w14:solidFill>
                    <w14:schemeClr w14:val="tx1"/>
                  </w14:solidFill>
                </w14:textFill>
              </w:rPr>
              <w:t>线以西。“三区三线”是根据农业空间、生态空间、城镇空间三个区域，分别对应划定的耕地和永久基本农田保护红线、城镇开发边界、生态保护红线三条控制线。根据山亭区国土空间规划“三区三线”的划定结果，项目位于城镇开发边界内，不在三区三线划定成果中耕地和永久基本农田保护红线、生态保护红线内。</w:t>
            </w:r>
          </w:p>
          <w:p>
            <w:pPr>
              <w:pStyle w:val="69"/>
              <w:ind w:left="48" w:right="48"/>
              <w:rPr>
                <w:lang w:eastAsia="zh-CN"/>
              </w:rPr>
            </w:pPr>
            <w:r>
              <w:rPr>
                <w:rFonts w:hint="eastAsia"/>
                <w:lang w:eastAsia="zh-CN"/>
              </w:rPr>
              <w:t>（2）环境质量底线符合性分析</w:t>
            </w:r>
          </w:p>
          <w:p>
            <w:pPr>
              <w:pStyle w:val="69"/>
              <w:ind w:left="48" w:right="48"/>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项目无废水排放，废气、噪声均达标排放，固废均能得到合理处置。废气</w:t>
            </w:r>
            <w:r>
              <w:rPr>
                <w:lang w:eastAsia="zh-CN"/>
              </w:rPr>
              <w:t>排放总量指标实行 2 倍削减替代</w:t>
            </w:r>
            <w:r>
              <w:rPr>
                <w:rFonts w:hint="eastAsia"/>
                <w:lang w:eastAsia="zh-CN"/>
              </w:rPr>
              <w:t>。</w:t>
            </w:r>
            <w:r>
              <w:rPr>
                <w:rFonts w:hint="eastAsia"/>
                <w:color w:val="000000" w:themeColor="text1"/>
                <w:lang w:eastAsia="zh-CN"/>
                <w14:textFill>
                  <w14:solidFill>
                    <w14:schemeClr w14:val="tx1"/>
                  </w14:solidFill>
                </w14:textFill>
              </w:rPr>
              <w:t>项目实施后不会突破该项目所在地环境质量底线。</w:t>
            </w:r>
          </w:p>
          <w:p>
            <w:pPr>
              <w:pStyle w:val="69"/>
              <w:ind w:left="48" w:right="48"/>
              <w:rPr>
                <w:lang w:eastAsia="zh-CN"/>
              </w:rPr>
            </w:pPr>
            <w:r>
              <w:rPr>
                <w:rFonts w:hint="eastAsia"/>
                <w:lang w:eastAsia="zh-CN"/>
              </w:rPr>
              <w:t>（3）资源利用上线符合性分析</w:t>
            </w:r>
          </w:p>
          <w:p>
            <w:pPr>
              <w:pStyle w:val="69"/>
              <w:ind w:left="48" w:right="48"/>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本项目营运过程中消耗一定量的电、水等资源，项目资源消耗量相对区域资源利用总量较少，均不会达到资源利用上线，符合资源利用上线要求。</w:t>
            </w:r>
          </w:p>
          <w:p>
            <w:pPr>
              <w:pStyle w:val="69"/>
              <w:ind w:left="48" w:right="48"/>
              <w:rPr>
                <w:lang w:eastAsia="zh-CN"/>
              </w:rPr>
            </w:pPr>
            <w:r>
              <w:rPr>
                <w:rFonts w:hint="eastAsia"/>
                <w:lang w:eastAsia="zh-CN"/>
              </w:rPr>
              <w:t>（4）与生态环境准入清单相符性分析</w:t>
            </w:r>
          </w:p>
          <w:p>
            <w:pPr>
              <w:pStyle w:val="69"/>
              <w:ind w:left="48" w:right="48"/>
              <w:rPr>
                <w:lang w:eastAsia="zh-CN"/>
              </w:rPr>
            </w:pPr>
            <w:r>
              <w:rPr>
                <w:rFonts w:hint="eastAsia"/>
                <w:lang w:eastAsia="zh-CN"/>
              </w:rPr>
              <w:t>本项目位于</w:t>
            </w:r>
            <w:r>
              <w:rPr>
                <w:rFonts w:hint="eastAsia"/>
                <w:color w:val="000000" w:themeColor="text1"/>
                <w:lang w:eastAsia="zh-CN"/>
                <w14:textFill>
                  <w14:solidFill>
                    <w14:schemeClr w14:val="tx1"/>
                  </w14:solidFill>
                </w14:textFill>
              </w:rPr>
              <w:t>山亭区徐庄镇水城子村以北、S</w:t>
            </w:r>
            <w:r>
              <w:rPr>
                <w:color w:val="000000" w:themeColor="text1"/>
                <w:lang w:eastAsia="zh-CN"/>
                <w14:textFill>
                  <w14:solidFill>
                    <w14:schemeClr w14:val="tx1"/>
                  </w14:solidFill>
                </w14:textFill>
              </w:rPr>
              <w:t>343</w:t>
            </w:r>
            <w:r>
              <w:rPr>
                <w:rFonts w:hint="eastAsia"/>
                <w:color w:val="000000" w:themeColor="text1"/>
                <w:lang w:eastAsia="zh-CN"/>
                <w14:textFill>
                  <w14:solidFill>
                    <w14:schemeClr w14:val="tx1"/>
                  </w14:solidFill>
                </w14:textFill>
              </w:rPr>
              <w:t>线以西，</w:t>
            </w:r>
            <w:r>
              <w:rPr>
                <w:rFonts w:hint="eastAsia"/>
                <w:lang w:eastAsia="zh-CN"/>
              </w:rPr>
              <w:t>根据枣庄市生态环境保护委员会关于印发《枣庄市“三线一单”生态环境分区管控方案》配套文件的通知（</w:t>
            </w:r>
            <w:r>
              <w:rPr>
                <w:rFonts w:hint="eastAsia" w:ascii="宋体" w:hAnsi="宋体" w:eastAsia="宋体"/>
                <w:lang w:eastAsia="zh-CN"/>
              </w:rPr>
              <w:t>枣环委字[2021</w:t>
            </w:r>
            <w:r>
              <w:rPr>
                <w:rFonts w:ascii="宋体" w:hAnsi="宋体" w:eastAsia="宋体"/>
                <w:lang w:eastAsia="zh-CN"/>
              </w:rPr>
              <w:t>]</w:t>
            </w:r>
            <w:r>
              <w:rPr>
                <w:rFonts w:hint="eastAsia" w:ascii="宋体" w:hAnsi="宋体" w:eastAsia="宋体"/>
                <w:lang w:eastAsia="zh-CN"/>
              </w:rPr>
              <w:t>3号</w:t>
            </w:r>
            <w:r>
              <w:rPr>
                <w:rFonts w:hint="eastAsia"/>
                <w:lang w:eastAsia="zh-CN"/>
              </w:rPr>
              <w:t>），本项目所在区域环境管控单元编码为ZH370406</w:t>
            </w:r>
            <w:r>
              <w:rPr>
                <w:lang w:eastAsia="zh-CN"/>
              </w:rPr>
              <w:t>3</w:t>
            </w:r>
            <w:r>
              <w:rPr>
                <w:rFonts w:hint="eastAsia"/>
                <w:lang w:eastAsia="zh-CN"/>
              </w:rPr>
              <w:t>000</w:t>
            </w:r>
            <w:r>
              <w:rPr>
                <w:lang w:eastAsia="zh-CN"/>
              </w:rPr>
              <w:t>9</w:t>
            </w:r>
            <w:r>
              <w:rPr>
                <w:rFonts w:hint="eastAsia"/>
                <w:lang w:eastAsia="zh-CN"/>
              </w:rPr>
              <w:t>，环境管控单元名称为徐庄镇，属于一般管控单元。</w:t>
            </w:r>
          </w:p>
          <w:p>
            <w:pPr>
              <w:pStyle w:val="69"/>
              <w:ind w:left="48" w:right="48"/>
              <w:rPr>
                <w:lang w:eastAsia="zh-CN"/>
              </w:rPr>
            </w:pPr>
            <w:r>
              <w:rPr>
                <w:rFonts w:hint="eastAsia"/>
                <w:lang w:eastAsia="zh-CN"/>
              </w:rPr>
              <w:t>项目与徐庄镇生态环境管控单元要求符合性分析如下：</w:t>
            </w:r>
          </w:p>
          <w:p>
            <w:pPr>
              <w:pStyle w:val="320"/>
            </w:pPr>
            <w:r>
              <w:rPr>
                <w:rFonts w:hint="eastAsia"/>
              </w:rPr>
              <w:t xml:space="preserve">表 </w:t>
            </w:r>
            <w:r>
              <w:fldChar w:fldCharType="begin"/>
            </w:r>
            <w:r>
              <w:instrText xml:space="preserve"> </w:instrText>
            </w:r>
            <w:r>
              <w:rPr>
                <w:rFonts w:hint="eastAsia"/>
              </w:rPr>
              <w:instrText xml:space="preserve">SEQ 表格 \* ARABIC</w:instrText>
            </w:r>
            <w:r>
              <w:instrText xml:space="preserve"> </w:instrText>
            </w:r>
            <w:r>
              <w:fldChar w:fldCharType="separate"/>
            </w:r>
            <w:r>
              <w:t>2</w:t>
            </w:r>
            <w:r>
              <w:fldChar w:fldCharType="end"/>
            </w:r>
            <w:r>
              <w:t xml:space="preserve"> </w:t>
            </w:r>
            <w:r>
              <w:rPr>
                <w:rFonts w:hint="eastAsia"/>
              </w:rPr>
              <w:t>项目与所在环境管控单元要求符合性分析一览表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1"/>
              <w:gridCol w:w="3800"/>
              <w:gridCol w:w="2919"/>
              <w:gridCol w:w="8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21" w:type="pct"/>
                  <w:gridSpan w:val="2"/>
                  <w:tcMar>
                    <w:left w:w="57" w:type="dxa"/>
                    <w:right w:w="57" w:type="dxa"/>
                  </w:tcMar>
                  <w:vAlign w:val="center"/>
                </w:tcPr>
                <w:p>
                  <w:pPr>
                    <w:pStyle w:val="68"/>
                    <w:spacing w:before="24" w:after="24"/>
                  </w:pPr>
                  <w:r>
                    <w:t>管控要求</w:t>
                  </w:r>
                </w:p>
              </w:tc>
              <w:tc>
                <w:tcPr>
                  <w:tcW w:w="1627" w:type="pct"/>
                  <w:tcMar>
                    <w:left w:w="57" w:type="dxa"/>
                    <w:right w:w="57" w:type="dxa"/>
                  </w:tcMar>
                  <w:vAlign w:val="center"/>
                </w:tcPr>
                <w:p>
                  <w:pPr>
                    <w:pStyle w:val="68"/>
                    <w:spacing w:before="24" w:after="24"/>
                  </w:pPr>
                  <w:r>
                    <w:t>项目情况</w:t>
                  </w:r>
                </w:p>
              </w:tc>
              <w:tc>
                <w:tcPr>
                  <w:tcW w:w="452" w:type="pct"/>
                  <w:tcMar>
                    <w:left w:w="57" w:type="dxa"/>
                    <w:right w:w="57" w:type="dxa"/>
                  </w:tcMar>
                  <w:vAlign w:val="center"/>
                </w:tcPr>
                <w:p>
                  <w:pPr>
                    <w:pStyle w:val="68"/>
                    <w:spacing w:before="24" w:after="24"/>
                  </w:pPr>
                  <w:r>
                    <w:t>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3" w:type="pct"/>
                  <w:tcMar>
                    <w:left w:w="57" w:type="dxa"/>
                    <w:right w:w="57" w:type="dxa"/>
                  </w:tcMar>
                  <w:vAlign w:val="center"/>
                </w:tcPr>
                <w:p>
                  <w:pPr>
                    <w:pStyle w:val="68"/>
                    <w:spacing w:before="24" w:after="24"/>
                  </w:pPr>
                  <w:r>
                    <w:t>空间布局约束</w:t>
                  </w:r>
                </w:p>
              </w:tc>
              <w:tc>
                <w:tcPr>
                  <w:tcW w:w="2118" w:type="pct"/>
                  <w:tcMar>
                    <w:left w:w="57" w:type="dxa"/>
                    <w:right w:w="57" w:type="dxa"/>
                  </w:tcMar>
                  <w:vAlign w:val="center"/>
                </w:tcPr>
                <w:p>
                  <w:pPr>
                    <w:pStyle w:val="68"/>
                    <w:spacing w:before="24" w:after="24"/>
                    <w:jc w:val="left"/>
                  </w:pPr>
                  <w:r>
                    <w:t>1.</w:t>
                  </w:r>
                  <w:r>
                    <w:rPr>
                      <w:rFonts w:hint="eastAsia"/>
                    </w:rPr>
                    <w:t>一般生态空间，原则上按限制开发区域的要求进行管理。按照生态空间用途分区，依法制定区域准入条件，明确允许、限制、禁止的产业和项目类型清单。</w:t>
                  </w:r>
                </w:p>
                <w:p>
                  <w:pPr>
                    <w:pStyle w:val="68"/>
                    <w:spacing w:before="24" w:after="24"/>
                    <w:jc w:val="left"/>
                  </w:pPr>
                  <w:r>
                    <w:t>2.</w:t>
                  </w:r>
                  <w:r>
                    <w:rPr>
                      <w:rFonts w:hint="eastAsia"/>
                    </w:rPr>
                    <w:t>任何单位和个人不得向雨水收集口、雨水管道排放或者倾倒污水、污物和垃圾等废弃物。</w:t>
                  </w:r>
                </w:p>
                <w:p>
                  <w:pPr>
                    <w:pStyle w:val="68"/>
                    <w:spacing w:before="24" w:after="24"/>
                    <w:jc w:val="left"/>
                  </w:pPr>
                  <w:r>
                    <w:t>3.</w:t>
                  </w:r>
                  <w:r>
                    <w:rPr>
                      <w:rFonts w:hint="eastAsia"/>
                    </w:rPr>
                    <w:t>严格控制在优先保护类耕地集中区域新建有色金属冶炼、石油加工、化工、医药、焦化、电镀、制革、铅蓄电池制造等排放重金属、持久性有机物和挥发性有机物的项目。</w:t>
                  </w:r>
                </w:p>
              </w:tc>
              <w:tc>
                <w:tcPr>
                  <w:tcW w:w="1627" w:type="pct"/>
                  <w:tcMar>
                    <w:left w:w="57" w:type="dxa"/>
                    <w:right w:w="57" w:type="dxa"/>
                  </w:tcMar>
                  <w:vAlign w:val="center"/>
                </w:tcPr>
                <w:p>
                  <w:pPr>
                    <w:pStyle w:val="68"/>
                    <w:spacing w:before="24" w:after="24"/>
                    <w:jc w:val="left"/>
                  </w:pPr>
                  <w:r>
                    <w:rPr>
                      <w:rFonts w:hint="eastAsia"/>
                    </w:rPr>
                    <w:t>1.</w:t>
                  </w:r>
                  <w:r>
                    <w:t>项目建设符合一般生态空间开发要求，满足准入条件</w:t>
                  </w:r>
                  <w:r>
                    <w:rPr>
                      <w:rFonts w:hint="eastAsia"/>
                    </w:rPr>
                    <w:t>。</w:t>
                  </w:r>
                </w:p>
                <w:p>
                  <w:pPr>
                    <w:pStyle w:val="68"/>
                    <w:spacing w:before="24" w:after="24"/>
                    <w:jc w:val="left"/>
                  </w:pPr>
                  <w:r>
                    <w:rPr>
                      <w:rFonts w:hint="eastAsia"/>
                    </w:rPr>
                    <w:t>2.本项目无废水外排；固废均得到妥善处置，去向明确；本项目不向雨水收集口、雨水管道排放或者倾倒污水、污物和垃圾等废弃物。</w:t>
                  </w:r>
                </w:p>
                <w:p>
                  <w:pPr>
                    <w:pStyle w:val="68"/>
                    <w:spacing w:before="24" w:after="24"/>
                    <w:jc w:val="left"/>
                  </w:pPr>
                  <w:r>
                    <w:rPr>
                      <w:rFonts w:hint="eastAsia"/>
                    </w:rPr>
                    <w:t>3.本项目厂址不属于优先保护类耕地集中区域，且本项目不属于有色金属冶炼、石油加工、化工、医药、焦化、电镀、制革、铅蓄电池制造等排放重金属、持久性有机物和挥发性有机物的项目。</w:t>
                  </w:r>
                </w:p>
              </w:tc>
              <w:tc>
                <w:tcPr>
                  <w:tcW w:w="452" w:type="pct"/>
                  <w:vAlign w:val="center"/>
                </w:tcPr>
                <w:p>
                  <w:pPr>
                    <w:pStyle w:val="68"/>
                    <w:spacing w:before="24" w:after="24"/>
                  </w:pPr>
                  <w:r>
                    <w:rPr>
                      <w:rFonts w:hint="eastAsia"/>
                    </w:rPr>
                    <w:t>符</w:t>
                  </w:r>
                  <w:r>
                    <w:t>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3" w:type="pct"/>
                  <w:tcMar>
                    <w:left w:w="57" w:type="dxa"/>
                    <w:right w:w="57" w:type="dxa"/>
                  </w:tcMar>
                  <w:vAlign w:val="center"/>
                </w:tcPr>
                <w:p>
                  <w:pPr>
                    <w:pStyle w:val="68"/>
                    <w:spacing w:before="24" w:after="24"/>
                  </w:pPr>
                  <w:r>
                    <w:t>污染物排放管控</w:t>
                  </w:r>
                </w:p>
              </w:tc>
              <w:tc>
                <w:tcPr>
                  <w:tcW w:w="2118" w:type="pct"/>
                  <w:tcMar>
                    <w:left w:w="57" w:type="dxa"/>
                    <w:right w:w="57" w:type="dxa"/>
                  </w:tcMar>
                  <w:vAlign w:val="center"/>
                </w:tcPr>
                <w:p>
                  <w:pPr>
                    <w:pStyle w:val="68"/>
                    <w:spacing w:before="24" w:after="24"/>
                    <w:jc w:val="left"/>
                  </w:pPr>
                  <w:r>
                    <w:rPr>
                      <w:rFonts w:hint="eastAsia"/>
                    </w:rPr>
                    <w:t>1</w:t>
                  </w:r>
                  <w:r>
                    <w:t>.</w:t>
                  </w:r>
                  <w:r>
                    <w:rPr>
                      <w:rFonts w:hint="eastAsia"/>
                    </w:rPr>
                    <w:t>新建城镇污水集中处理设施应当同步配套建设除磷脱氮、污泥处置设施，及中水利用设施；已建成的城镇污水集中处理设施应当开展除磷脱氮深度处理和污泥处置。</w:t>
                  </w:r>
                </w:p>
                <w:p>
                  <w:pPr>
                    <w:pStyle w:val="68"/>
                    <w:spacing w:before="24" w:after="24"/>
                    <w:jc w:val="left"/>
                  </w:pPr>
                  <w:r>
                    <w:t>2.</w:t>
                  </w:r>
                  <w:r>
                    <w:rPr>
                      <w:rFonts w:hint="eastAsia"/>
                    </w:rPr>
                    <w:t>加快实施生活污水处理系统升级改造和污水处理能力提升工程，确保新增收集污水得到有效处理。</w:t>
                  </w:r>
                </w:p>
                <w:p>
                  <w:pPr>
                    <w:pStyle w:val="68"/>
                    <w:spacing w:before="24" w:after="24"/>
                    <w:jc w:val="left"/>
                  </w:pPr>
                  <w:r>
                    <w:t>3.</w:t>
                  </w:r>
                  <w:r>
                    <w:rPr>
                      <w:rFonts w:hint="eastAsia"/>
                    </w:rPr>
                    <w:t>分类治理农村生活污水，提倡相邻村庄联合建设污水处理设施。农村地区以建设微型湿地群和小型氧化塘为重点，有效处理农村生产生活污水。</w:t>
                  </w:r>
                </w:p>
                <w:p>
                  <w:pPr>
                    <w:pStyle w:val="68"/>
                    <w:spacing w:before="24" w:after="24"/>
                    <w:jc w:val="left"/>
                  </w:pPr>
                  <w:r>
                    <w:t>4.</w:t>
                  </w:r>
                  <w:r>
                    <w:rPr>
                      <w:rFonts w:hint="eastAsia"/>
                    </w:rPr>
                    <w:t>实施规模化养殖，推广畜禽粪污园地收储、转运、堆肥项目。化肥、农药使用总量实现零增长，养殖废弃物综合利用率</w:t>
                  </w:r>
                  <w:r>
                    <w:t>90%</w:t>
                  </w:r>
                  <w:r>
                    <w:rPr>
                      <w:rFonts w:hint="eastAsia"/>
                    </w:rPr>
                    <w:t>以上。建立健全废旧农膜回收利用体系。</w:t>
                  </w:r>
                </w:p>
              </w:tc>
              <w:tc>
                <w:tcPr>
                  <w:tcW w:w="1627" w:type="pct"/>
                  <w:tcMar>
                    <w:left w:w="57" w:type="dxa"/>
                    <w:right w:w="57" w:type="dxa"/>
                  </w:tcMar>
                  <w:vAlign w:val="center"/>
                </w:tcPr>
                <w:p>
                  <w:pPr>
                    <w:pStyle w:val="68"/>
                    <w:spacing w:before="24" w:after="24"/>
                    <w:jc w:val="left"/>
                  </w:pPr>
                  <w:r>
                    <w:t>1.</w:t>
                  </w:r>
                  <w:r>
                    <w:rPr>
                      <w:rFonts w:hint="eastAsia"/>
                    </w:rPr>
                    <w:t>本项目不涉及。</w:t>
                  </w:r>
                </w:p>
                <w:p>
                  <w:pPr>
                    <w:pStyle w:val="68"/>
                    <w:spacing w:before="24" w:after="24"/>
                    <w:jc w:val="left"/>
                  </w:pPr>
                  <w:r>
                    <w:rPr>
                      <w:rFonts w:hint="eastAsia"/>
                    </w:rPr>
                    <w:t>2</w:t>
                  </w:r>
                  <w:r>
                    <w:t>.</w:t>
                  </w:r>
                  <w:r>
                    <w:rPr>
                      <w:rFonts w:hint="eastAsia"/>
                    </w:rPr>
                    <w:t>本项目不涉及。</w:t>
                  </w:r>
                </w:p>
                <w:p>
                  <w:pPr>
                    <w:pStyle w:val="68"/>
                    <w:spacing w:before="24" w:after="24"/>
                    <w:jc w:val="left"/>
                  </w:pPr>
                  <w:r>
                    <w:rPr>
                      <w:rFonts w:hint="eastAsia"/>
                    </w:rPr>
                    <w:t>3</w:t>
                  </w:r>
                  <w:r>
                    <w:t>.</w:t>
                  </w:r>
                  <w:r>
                    <w:rPr>
                      <w:rFonts w:hint="eastAsia"/>
                    </w:rPr>
                    <w:t>本项目不涉及。</w:t>
                  </w:r>
                </w:p>
                <w:p>
                  <w:pPr>
                    <w:pStyle w:val="68"/>
                    <w:spacing w:before="24" w:after="24"/>
                    <w:jc w:val="left"/>
                  </w:pPr>
                  <w:r>
                    <w:rPr>
                      <w:rFonts w:hint="eastAsia"/>
                    </w:rPr>
                    <w:t>4</w:t>
                  </w:r>
                  <w:r>
                    <w:t>.</w:t>
                  </w:r>
                  <w:r>
                    <w:rPr>
                      <w:rFonts w:hint="eastAsia"/>
                    </w:rPr>
                    <w:t>本项目不涉及。</w:t>
                  </w:r>
                </w:p>
              </w:tc>
              <w:tc>
                <w:tcPr>
                  <w:tcW w:w="452" w:type="pct"/>
                  <w:vAlign w:val="center"/>
                </w:tcPr>
                <w:p>
                  <w:pPr>
                    <w:pStyle w:val="68"/>
                    <w:spacing w:before="24" w:after="24"/>
                  </w:pPr>
                  <w:r>
                    <w:rPr>
                      <w:rFonts w:hint="eastAsia"/>
                    </w:rPr>
                    <w:t>符</w:t>
                  </w:r>
                  <w:r>
                    <w:t>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3" w:type="pct"/>
                  <w:tcMar>
                    <w:left w:w="57" w:type="dxa"/>
                    <w:right w:w="57" w:type="dxa"/>
                  </w:tcMar>
                  <w:vAlign w:val="center"/>
                </w:tcPr>
                <w:p>
                  <w:pPr>
                    <w:pStyle w:val="68"/>
                    <w:spacing w:before="24" w:after="24"/>
                  </w:pPr>
                  <w:r>
                    <w:t>环境风险防控</w:t>
                  </w:r>
                </w:p>
              </w:tc>
              <w:tc>
                <w:tcPr>
                  <w:tcW w:w="2118" w:type="pct"/>
                  <w:tcMar>
                    <w:left w:w="57" w:type="dxa"/>
                    <w:right w:w="57" w:type="dxa"/>
                  </w:tcMar>
                  <w:vAlign w:val="center"/>
                </w:tcPr>
                <w:p>
                  <w:pPr>
                    <w:pStyle w:val="68"/>
                    <w:spacing w:before="24" w:after="24"/>
                    <w:jc w:val="left"/>
                  </w:pPr>
                  <w:r>
                    <w:t>1.</w:t>
                  </w:r>
                  <w:r>
                    <w:rPr>
                      <w:rFonts w:hint="eastAsia"/>
                    </w:rPr>
                    <w:t>当预测到区域将出现重污染天气时，根据预警发布，按级别启动应急响应措施。</w:t>
                  </w:r>
                </w:p>
                <w:p>
                  <w:pPr>
                    <w:pStyle w:val="68"/>
                    <w:spacing w:before="24" w:after="24"/>
                    <w:jc w:val="left"/>
                  </w:pPr>
                  <w:r>
                    <w:t>2.</w:t>
                  </w:r>
                  <w:r>
                    <w:rPr>
                      <w:rFonts w:hint="eastAsia"/>
                    </w:rPr>
                    <w:t>生活垃圾的收集、运输、处置设施应当采取防扬散、防流失、防渗漏或者其他符合水污染防治要求的措施。</w:t>
                  </w:r>
                </w:p>
                <w:p>
                  <w:pPr>
                    <w:pStyle w:val="68"/>
                    <w:spacing w:before="24" w:after="24"/>
                    <w:jc w:val="left"/>
                  </w:pPr>
                  <w:r>
                    <w:t>3.</w:t>
                  </w:r>
                  <w:r>
                    <w:rPr>
                      <w:rFonts w:hint="eastAsia"/>
                    </w:rPr>
                    <w:t>履行土壤保护的责任，避免因过度施肥、滥用农药等掠夺式农业生产方式造成土壤环境质量下降。</w:t>
                  </w:r>
                </w:p>
                <w:p>
                  <w:pPr>
                    <w:pStyle w:val="68"/>
                    <w:spacing w:before="24" w:after="24"/>
                    <w:jc w:val="left"/>
                  </w:pPr>
                  <w:r>
                    <w:t>4.</w:t>
                  </w:r>
                  <w:r>
                    <w:rPr>
                      <w:rFonts w:hint="eastAsia"/>
                    </w:rPr>
                    <w:t>灌溉用水应符合农田灌溉水水质标准。对因长期使用污水灌溉导致土壤污染严重、威胁农产品质量安全的，要及时调整种植结构。</w:t>
                  </w:r>
                </w:p>
              </w:tc>
              <w:tc>
                <w:tcPr>
                  <w:tcW w:w="1627" w:type="pct"/>
                  <w:tcMar>
                    <w:left w:w="57" w:type="dxa"/>
                    <w:right w:w="57" w:type="dxa"/>
                  </w:tcMar>
                  <w:vAlign w:val="center"/>
                </w:tcPr>
                <w:p>
                  <w:pPr>
                    <w:pStyle w:val="68"/>
                    <w:spacing w:before="24" w:after="24"/>
                    <w:jc w:val="left"/>
                  </w:pPr>
                  <w:r>
                    <w:rPr>
                      <w:rFonts w:hint="eastAsia"/>
                    </w:rPr>
                    <w:t>1</w:t>
                  </w:r>
                  <w:r>
                    <w:t>.</w:t>
                  </w:r>
                  <w:r>
                    <w:rPr>
                      <w:rFonts w:hint="eastAsia"/>
                    </w:rPr>
                    <w:t>本项目执行重污染天气应急响应措施。</w:t>
                  </w:r>
                </w:p>
                <w:p>
                  <w:pPr>
                    <w:pStyle w:val="68"/>
                    <w:spacing w:before="24" w:after="24"/>
                    <w:jc w:val="left"/>
                  </w:pPr>
                  <w:r>
                    <w:rPr>
                      <w:rFonts w:hint="eastAsia"/>
                    </w:rPr>
                    <w:t>2</w:t>
                  </w:r>
                  <w:r>
                    <w:t>.</w:t>
                  </w:r>
                  <w:r>
                    <w:rPr>
                      <w:rFonts w:hint="eastAsia"/>
                    </w:rPr>
                    <w:t>本项目生活垃圾采用垃圾桶收集，委托环卫部门清运。</w:t>
                  </w:r>
                </w:p>
                <w:p>
                  <w:pPr>
                    <w:pStyle w:val="68"/>
                    <w:spacing w:before="24" w:after="24"/>
                    <w:jc w:val="left"/>
                  </w:pPr>
                  <w:r>
                    <w:rPr>
                      <w:rFonts w:hint="eastAsia"/>
                    </w:rPr>
                    <w:t>3</w:t>
                  </w:r>
                  <w:r>
                    <w:t>.</w:t>
                  </w:r>
                  <w:r>
                    <w:rPr>
                      <w:rFonts w:hint="eastAsia"/>
                    </w:rPr>
                    <w:t>本项目不涉及。</w:t>
                  </w:r>
                </w:p>
                <w:p>
                  <w:pPr>
                    <w:pStyle w:val="68"/>
                    <w:spacing w:before="24" w:after="24"/>
                    <w:jc w:val="left"/>
                  </w:pPr>
                  <w:r>
                    <w:t>4</w:t>
                  </w:r>
                  <w:r>
                    <w:rPr>
                      <w:rFonts w:hint="eastAsia"/>
                    </w:rPr>
                    <w:t>.不项目不涉及。</w:t>
                  </w:r>
                </w:p>
              </w:tc>
              <w:tc>
                <w:tcPr>
                  <w:tcW w:w="452" w:type="pct"/>
                  <w:vAlign w:val="center"/>
                </w:tcPr>
                <w:p>
                  <w:pPr>
                    <w:pStyle w:val="68"/>
                    <w:spacing w:before="24" w:after="24"/>
                  </w:pPr>
                  <w: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3" w:type="pct"/>
                  <w:tcMar>
                    <w:left w:w="57" w:type="dxa"/>
                    <w:right w:w="57" w:type="dxa"/>
                  </w:tcMar>
                  <w:vAlign w:val="center"/>
                </w:tcPr>
                <w:p>
                  <w:pPr>
                    <w:pStyle w:val="68"/>
                    <w:spacing w:before="24" w:after="24"/>
                  </w:pPr>
                  <w:r>
                    <w:t>资源开发效率要求</w:t>
                  </w:r>
                </w:p>
              </w:tc>
              <w:tc>
                <w:tcPr>
                  <w:tcW w:w="2118" w:type="pct"/>
                  <w:tcMar>
                    <w:left w:w="57" w:type="dxa"/>
                    <w:right w:w="57" w:type="dxa"/>
                  </w:tcMar>
                  <w:vAlign w:val="center"/>
                </w:tcPr>
                <w:p>
                  <w:pPr>
                    <w:pStyle w:val="68"/>
                    <w:spacing w:before="24" w:after="24"/>
                    <w:jc w:val="left"/>
                  </w:pPr>
                  <w:r>
                    <w:t>1</w:t>
                  </w:r>
                  <w:r>
                    <w:rPr>
                      <w:rFonts w:hint="eastAsia"/>
                    </w:rPr>
                    <w:t>.加强餐饮业燃料烟气及油烟污染防治，使用天然气、液化石油气、太阳能、电能等清洁能源。</w:t>
                  </w:r>
                </w:p>
                <w:p>
                  <w:pPr>
                    <w:pStyle w:val="68"/>
                    <w:spacing w:before="24" w:after="24"/>
                    <w:jc w:val="left"/>
                  </w:pPr>
                  <w:r>
                    <w:t>2.</w:t>
                  </w:r>
                  <w:r>
                    <w:rPr>
                      <w:rFonts w:hint="eastAsia"/>
                    </w:rPr>
                    <w:t>实施生活节水改造，禁止生产、销售并限期淘汰不符合节水标准的产品、设备，建立新型节水器具推荐推广目录。</w:t>
                  </w:r>
                </w:p>
                <w:p>
                  <w:pPr>
                    <w:pStyle w:val="68"/>
                    <w:spacing w:before="24" w:after="24"/>
                    <w:jc w:val="left"/>
                  </w:pPr>
                  <w:r>
                    <w:t>3.</w:t>
                  </w:r>
                  <w:r>
                    <w:rPr>
                      <w:rFonts w:hint="eastAsia"/>
                    </w:rPr>
                    <w:t>推进垃圾减量化、资源化、无害化处置。</w:t>
                  </w:r>
                </w:p>
                <w:p>
                  <w:pPr>
                    <w:pStyle w:val="68"/>
                    <w:spacing w:before="24" w:after="24"/>
                    <w:jc w:val="left"/>
                  </w:pPr>
                  <w:r>
                    <w:t>4.</w:t>
                  </w:r>
                  <w:r>
                    <w:rPr>
                      <w:rFonts w:hint="eastAsia"/>
                    </w:rPr>
                    <w:t>加快污泥处理处置设施建设，选择适宜的污泥处理技术，实行污泥稳定化、无害化和资源化处理处置。</w:t>
                  </w:r>
                </w:p>
              </w:tc>
              <w:tc>
                <w:tcPr>
                  <w:tcW w:w="1627" w:type="pct"/>
                  <w:tcMar>
                    <w:left w:w="57" w:type="dxa"/>
                    <w:right w:w="57" w:type="dxa"/>
                  </w:tcMar>
                  <w:vAlign w:val="center"/>
                </w:tcPr>
                <w:p>
                  <w:pPr>
                    <w:pStyle w:val="68"/>
                    <w:spacing w:before="24" w:after="24"/>
                    <w:jc w:val="left"/>
                  </w:pPr>
                  <w:r>
                    <w:rPr>
                      <w:rFonts w:hint="eastAsia"/>
                    </w:rPr>
                    <w:t>1</w:t>
                  </w:r>
                  <w:r>
                    <w:t>.</w:t>
                  </w:r>
                  <w:r>
                    <w:rPr>
                      <w:rFonts w:hint="eastAsia"/>
                    </w:rPr>
                    <w:t>本项目不涉及，且本项目仅使用电能。</w:t>
                  </w:r>
                </w:p>
                <w:p>
                  <w:pPr>
                    <w:pStyle w:val="68"/>
                    <w:spacing w:before="24" w:after="24"/>
                    <w:jc w:val="left"/>
                  </w:pPr>
                  <w:r>
                    <w:t>2.</w:t>
                  </w:r>
                  <w:r>
                    <w:rPr>
                      <w:rFonts w:hint="eastAsia"/>
                    </w:rPr>
                    <w:t>本项目节约用水。</w:t>
                  </w:r>
                </w:p>
                <w:p>
                  <w:pPr>
                    <w:pStyle w:val="68"/>
                    <w:spacing w:before="24" w:after="24"/>
                    <w:jc w:val="left"/>
                  </w:pPr>
                  <w:r>
                    <w:rPr>
                      <w:rFonts w:hint="eastAsia"/>
                    </w:rPr>
                    <w:t>3.</w:t>
                  </w:r>
                  <w:r>
                    <w:rPr>
                      <w:rFonts w:cs="宋体"/>
                      <w:kern w:val="0"/>
                      <w:sz w:val="24"/>
                      <w:szCs w:val="24"/>
                    </w:rPr>
                    <w:t xml:space="preserve"> </w:t>
                  </w:r>
                  <w:r>
                    <w:t>本项目生活垃圾</w:t>
                  </w:r>
                  <w:r>
                    <w:rPr>
                      <w:rFonts w:hint="eastAsia"/>
                    </w:rPr>
                    <w:t>采用垃圾桶收集，委托环卫部门清运。</w:t>
                  </w:r>
                </w:p>
                <w:p>
                  <w:pPr>
                    <w:pStyle w:val="68"/>
                    <w:spacing w:before="24" w:after="24"/>
                    <w:jc w:val="left"/>
                  </w:pPr>
                  <w:r>
                    <w:rPr>
                      <w:rFonts w:hint="eastAsia"/>
                    </w:rPr>
                    <w:t>4</w:t>
                  </w:r>
                  <w:r>
                    <w:t>.本项目</w:t>
                  </w:r>
                  <w:r>
                    <w:rPr>
                      <w:rFonts w:hint="eastAsia"/>
                    </w:rPr>
                    <w:t>不涉及。</w:t>
                  </w:r>
                </w:p>
              </w:tc>
              <w:tc>
                <w:tcPr>
                  <w:tcW w:w="452" w:type="pct"/>
                  <w:vAlign w:val="center"/>
                </w:tcPr>
                <w:p>
                  <w:pPr>
                    <w:pStyle w:val="68"/>
                    <w:spacing w:before="24" w:after="24"/>
                  </w:pPr>
                  <w:r>
                    <w:rPr>
                      <w:rFonts w:hint="eastAsia"/>
                    </w:rPr>
                    <w:t>符</w:t>
                  </w:r>
                  <w:r>
                    <w:t>合</w:t>
                  </w:r>
                </w:p>
              </w:tc>
            </w:tr>
          </w:tbl>
          <w:p>
            <w:pPr>
              <w:pStyle w:val="69"/>
              <w:ind w:left="48" w:right="48"/>
              <w:rPr>
                <w:lang w:eastAsia="zh-CN"/>
              </w:rPr>
            </w:pPr>
            <w:r>
              <w:rPr>
                <w:rFonts w:hint="eastAsia"/>
                <w:lang w:eastAsia="zh-CN"/>
              </w:rPr>
              <w:t>项目与《枣庄市“三线一单”生态环境分区管控更新方案（2022 年动态更新）》（枣环委字〔2023〕3号）、符合性分析如下：</w:t>
            </w:r>
          </w:p>
          <w:p>
            <w:pPr>
              <w:pStyle w:val="320"/>
            </w:pPr>
            <w:r>
              <w:rPr>
                <w:rFonts w:hint="eastAsia"/>
              </w:rPr>
              <w:t xml:space="preserve">表 </w:t>
            </w:r>
            <w:r>
              <w:fldChar w:fldCharType="begin"/>
            </w:r>
            <w:r>
              <w:instrText xml:space="preserve"> </w:instrText>
            </w:r>
            <w:r>
              <w:rPr>
                <w:rFonts w:hint="eastAsia"/>
              </w:rPr>
              <w:instrText xml:space="preserve">SEQ 表格 \* ARABIC</w:instrText>
            </w:r>
            <w:r>
              <w:instrText xml:space="preserve"> </w:instrText>
            </w:r>
            <w:r>
              <w:fldChar w:fldCharType="separate"/>
            </w:r>
            <w:r>
              <w:t>2</w:t>
            </w:r>
            <w:r>
              <w:fldChar w:fldCharType="end"/>
            </w:r>
            <w:r>
              <w:t xml:space="preserve"> </w:t>
            </w:r>
            <w:r>
              <w:rPr>
                <w:rFonts w:hint="eastAsia"/>
              </w:rPr>
              <w:t>与《枣庄市“三线一单”生态环境分区管控更新方案》符合性分析一览表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240"/>
              <w:gridCol w:w="2986"/>
              <w:gridCol w:w="7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rPr>
                      <w:lang w:val="zh-CN"/>
                    </w:rPr>
                  </w:pPr>
                  <w:r>
                    <w:rPr>
                      <w:rFonts w:hint="eastAsia"/>
                    </w:rPr>
                    <w:t>枣环委字〔2023〕3 号文件要求</w:t>
                  </w:r>
                </w:p>
              </w:tc>
              <w:tc>
                <w:tcPr>
                  <w:tcW w:w="1664" w:type="pct"/>
                  <w:vAlign w:val="center"/>
                </w:tcPr>
                <w:p>
                  <w:pPr>
                    <w:pStyle w:val="68"/>
                    <w:spacing w:before="24" w:after="24"/>
                    <w:rPr>
                      <w:lang w:val="zh-CN"/>
                    </w:rPr>
                  </w:pPr>
                  <w:r>
                    <w:rPr>
                      <w:rFonts w:hint="eastAsia"/>
                      <w:lang w:val="zh-CN"/>
                    </w:rPr>
                    <w:t>本项目情况</w:t>
                  </w:r>
                </w:p>
              </w:tc>
              <w:tc>
                <w:tcPr>
                  <w:tcW w:w="415" w:type="pct"/>
                  <w:vAlign w:val="center"/>
                </w:tcPr>
                <w:p>
                  <w:pPr>
                    <w:pStyle w:val="68"/>
                    <w:spacing w:before="24" w:after="24"/>
                    <w:rPr>
                      <w:lang w:val="zh-CN"/>
                    </w:rPr>
                  </w:pPr>
                  <w:r>
                    <w:rPr>
                      <w:lang w:val="zh-CN"/>
                    </w:rPr>
                    <w:t>是否满足要求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lang w:val="zh-CN"/>
                    </w:rPr>
                  </w:pPr>
                  <w:r>
                    <w:rPr>
                      <w:rFonts w:hint="eastAsia"/>
                      <w:lang w:val="zh-CN"/>
                    </w:rPr>
                    <w:t>生态保护红线及生态空间保护。全市生态保护红线面积380.92 平方公里，占全市国土面积的8.35%，主要生态系统服务功能为水土保持、水源涵养及生物多样性维护保护（待枣庄市生态保护红线调整方案批复后，本部分内容以最新发布数据为准）；自然保护区、森林自然公园、湿地自然公园、地质自然公园、水产种质资源保护区、饮用水水源地保护区等各类保护地以及公益林地得到有效保护。到“十四五”末，实现全市80%以上的应治理区域得到有效治理修复保护，湿地保护率达到70%以上。</w:t>
                  </w:r>
                </w:p>
              </w:tc>
              <w:tc>
                <w:tcPr>
                  <w:tcW w:w="1664" w:type="pct"/>
                  <w:vAlign w:val="center"/>
                </w:tcPr>
                <w:p>
                  <w:pPr>
                    <w:pStyle w:val="68"/>
                    <w:spacing w:before="24" w:after="24"/>
                    <w:rPr>
                      <w:lang w:val="zh-CN"/>
                    </w:rPr>
                  </w:pPr>
                  <w:r>
                    <w:rPr>
                      <w:rFonts w:hint="eastAsia"/>
                    </w:rPr>
                    <w:t>根据山亭区国土空间规划“三区三线”的划定结果，项目位于城镇开发边界内，不在三区三线划定成果中耕地和永久基本农田保护红线、生态保护红线内。</w:t>
                  </w:r>
                </w:p>
              </w:tc>
              <w:tc>
                <w:tcPr>
                  <w:tcW w:w="415" w:type="pct"/>
                  <w:vAlign w:val="center"/>
                </w:tcPr>
                <w:p>
                  <w:pPr>
                    <w:pStyle w:val="68"/>
                    <w:spacing w:before="24" w:after="24"/>
                    <w:rPr>
                      <w:lang w:val="zh-CN"/>
                    </w:rPr>
                  </w:pPr>
                  <w:r>
                    <w:rPr>
                      <w:lang w:val="zh-CN"/>
                    </w:rPr>
                    <w:t>满足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lang w:val="zh-CN"/>
                    </w:rPr>
                  </w:pPr>
                  <w:r>
                    <w:rPr>
                      <w:rFonts w:hint="eastAsia"/>
                      <w:lang w:val="zh-CN"/>
                    </w:rPr>
                    <w:t>环境质量底线。全市大气环境质量持续改善，PM</w:t>
                  </w:r>
                  <w:r>
                    <w:rPr>
                      <w:rFonts w:hint="eastAsia"/>
                      <w:vertAlign w:val="subscript"/>
                      <w:lang w:val="zh-CN"/>
                    </w:rPr>
                    <w:t>2.5</w:t>
                  </w:r>
                  <w:r>
                    <w:rPr>
                      <w:rFonts w:hint="eastAsia"/>
                      <w:lang w:val="zh-CN"/>
                    </w:rPr>
                    <w:t>年均浓度为43微克/立方米；全市水环境质量明显改善，重点河流水质优良（达到或优于Ⅲ类）比例达到80％以上，基本消除城市建成区劣五类水体及黑臭水体，县级及以上城市饮用水水源地水质达标率（去除地质因素超标外）全部达到100%；土壤环境质量总体保持稳定，受污染耕地和污染地块安全利用得到进一步巩固提升，全市受污染耕地安全利用率达到93%左右，重点建设用地安全利用得到有效保障，土壤环境风险得到有效管控。</w:t>
                  </w:r>
                </w:p>
              </w:tc>
              <w:tc>
                <w:tcPr>
                  <w:tcW w:w="1664" w:type="pct"/>
                  <w:vAlign w:val="center"/>
                </w:tcPr>
                <w:p>
                  <w:pPr>
                    <w:pStyle w:val="68"/>
                    <w:spacing w:before="24" w:after="24"/>
                    <w:jc w:val="left"/>
                    <w:rPr>
                      <w:lang w:val="zh-CN"/>
                    </w:rPr>
                  </w:pPr>
                  <w:r>
                    <w:rPr>
                      <w:rFonts w:hint="eastAsia"/>
                      <w:lang w:val="zh-CN"/>
                    </w:rPr>
                    <w:t>通过对该区域环境质量现状分析可知，项目所在区域地表水环境、声环境质量能够满足相应标准要求，环境空气中PM</w:t>
                  </w:r>
                  <w:r>
                    <w:rPr>
                      <w:rFonts w:hint="eastAsia"/>
                      <w:vertAlign w:val="subscript"/>
                      <w:lang w:val="zh-CN"/>
                    </w:rPr>
                    <w:t>2.5</w:t>
                  </w:r>
                  <w:r>
                    <w:rPr>
                      <w:rFonts w:hint="eastAsia"/>
                      <w:lang w:val="zh-CN"/>
                    </w:rPr>
                    <w:t>浓度值不能满足《环境空气质量标准》（GB3095-2012）及修改单二级标准，本项目所在区域环境质量现状不属于劣质化环境；本项目无废水外排，废气、噪声在采取相应治理措施后，能够做到污染物达标排放，固体废物得到妥善处置；根据大气污染防治行动相关规定，周边企业严加管理、重点加强环保责任制度，按照环保要求认真落实整改，确保各项污染物达标排放，项目所在区域大气环境质量已连续三年改善，因此项目建设符合环境质量底线规定要求。</w:t>
                  </w:r>
                </w:p>
              </w:tc>
              <w:tc>
                <w:tcPr>
                  <w:tcW w:w="415" w:type="pct"/>
                  <w:vAlign w:val="center"/>
                </w:tcPr>
                <w:p>
                  <w:pPr>
                    <w:pStyle w:val="68"/>
                    <w:spacing w:before="24" w:after="24"/>
                    <w:rPr>
                      <w:lang w:val="zh-CN"/>
                    </w:rPr>
                  </w:pPr>
                  <w:r>
                    <w:rPr>
                      <w:lang w:val="zh-CN"/>
                    </w:rPr>
                    <w:t>满足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lang w:val="zh-CN"/>
                    </w:rPr>
                  </w:pPr>
                  <w:r>
                    <w:rPr>
                      <w:rFonts w:hint="eastAsia"/>
                      <w:lang w:val="zh-CN"/>
                    </w:rPr>
                    <w:t>资源利用上线。强化节约集约利用，持续提升资源能源利用效率，水资源、土地资源、能源消耗等达到省下达的总量要求和强度控制目标。强化水资源刚性约束，建立最严格的水资源管理制度，严格实行用水总量、用水强度双控，全市用水总量控制在省下达的总量要求以下，优化配置水资源，有效促进水资源可持续利用；加强各领域节约用水，农田灌溉水有效利用系数逐年提高，万元GDP 用水量、万元工业增加值用水量等用水效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到2035 年，全市生态环境分区管控体系得到巩固完善，生态环境质量根本好转，生态系统健康和人体健康得到充分保障，环境经济实现良性循环，形成节约资源和保护环境的空间格局，广泛形成绿色生产生活方式，碳排放达峰后稳中有降。全市PM</w:t>
                  </w:r>
                  <w:r>
                    <w:rPr>
                      <w:rFonts w:hint="eastAsia"/>
                      <w:vertAlign w:val="subscript"/>
                      <w:lang w:val="zh-CN"/>
                    </w:rPr>
                    <w:t>2.5</w:t>
                  </w:r>
                  <w:r>
                    <w:rPr>
                      <w:rFonts w:hint="eastAsia"/>
                      <w:lang w:val="zh-CN"/>
                    </w:rPr>
                    <w:t xml:space="preserve"> 平均浓度为35 微克/立方米，水环境质量根本改善，水环境生态系统全面恢复，土壤环境质量稳中向好，农用地和建设用地土壤环境安全得到有效保障，土壤环境风险得到全面管控。</w:t>
                  </w:r>
                </w:p>
              </w:tc>
              <w:tc>
                <w:tcPr>
                  <w:tcW w:w="1664" w:type="pct"/>
                  <w:vAlign w:val="center"/>
                </w:tcPr>
                <w:p>
                  <w:pPr>
                    <w:pStyle w:val="68"/>
                    <w:spacing w:before="24" w:after="24"/>
                    <w:jc w:val="left"/>
                    <w:rPr>
                      <w:lang w:val="zh-CN"/>
                    </w:rPr>
                  </w:pPr>
                  <w:r>
                    <w:rPr>
                      <w:rFonts w:hint="eastAsia"/>
                      <w:lang w:val="zh-CN"/>
                    </w:rPr>
                    <w:t>本项目不属于“两高一资”项目，项目所在地不属于资源、能源紧缺区域，因此项目建设不会对国土资源和自然生态资源等造成影响，符合资源利用上线的相关要求。</w:t>
                  </w:r>
                </w:p>
              </w:tc>
              <w:tc>
                <w:tcPr>
                  <w:tcW w:w="415" w:type="pct"/>
                  <w:vAlign w:val="center"/>
                </w:tcPr>
                <w:p>
                  <w:pPr>
                    <w:pStyle w:val="68"/>
                    <w:spacing w:before="24" w:after="24"/>
                    <w:rPr>
                      <w:lang w:val="zh-CN"/>
                    </w:rPr>
                  </w:pPr>
                  <w:r>
                    <w:rPr>
                      <w:lang w:val="zh-CN"/>
                    </w:rPr>
                    <w:t>满足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000" w:type="pct"/>
                  <w:gridSpan w:val="3"/>
                  <w:vAlign w:val="center"/>
                </w:tcPr>
                <w:p>
                  <w:pPr>
                    <w:pStyle w:val="68"/>
                    <w:spacing w:before="24" w:after="24"/>
                    <w:rPr>
                      <w:lang w:val="zh-CN"/>
                    </w:rPr>
                  </w:pPr>
                  <w:r>
                    <w:rPr>
                      <w:rFonts w:hint="eastAsia"/>
                      <w:lang w:val="zh-CN"/>
                    </w:rPr>
                    <w:t>构建生态环境分区管控体系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（一）生态分区管控</w:t>
                  </w:r>
                </w:p>
                <w:p>
                  <w:pPr>
                    <w:pStyle w:val="68"/>
                    <w:spacing w:before="24" w:after="2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态保护红线原则上按禁止开发区域的要求进行管理，应符合《关于在国土空间规划中统筹划定落实三条控制线的指导意见》及国家、省有关要求。根据主导生态功能定位，实施差别化管理，生态保护红线要保证生态功能的系统性和完整性。生态保护红线内、自然保护地核心保护区原则上严格禁止开发性、生产性建设活动，在符合现行法律法规前提下，除国家重大战略项目外，仅允许对生态功能不造成破坏的有限人为活动。评估调整后的自然保护地应划入生态保护红线，自然保护地发生调整的，生态保护红线相应调整。</w:t>
                  </w:r>
                </w:p>
                <w:p>
                  <w:pPr>
                    <w:pStyle w:val="68"/>
                    <w:spacing w:before="24" w:after="24"/>
                    <w:jc w:val="left"/>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一般生态空间原则上按限制开发区域的要求进行管理，根据主导生态功能进行分类管控，以保护为主，严格限制区域开发强度。对生态空间依法实行区域准入和用途转用许可制度，严格控制各类开发利用活动对生态空间的占用和扰动，确保生态服务保障能力逐渐提高。加强对林地、河流、水库、湿地的保护，维护水土保持、水源涵养等功能，依法划定保护范围，严格控制新增建设用地占用一般生态空间。有序引导生态空间用途之间的相互转变，鼓励向有利于生态功能提升的方向转变，严格禁止不符合生态保护要求或有损生态功能的相互转换。</w:t>
                  </w:r>
                </w:p>
              </w:tc>
              <w:tc>
                <w:tcPr>
                  <w:tcW w:w="1664"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本项目不在生态红线范围内，项目严格落实各项污染防控措施。</w:t>
                  </w:r>
                </w:p>
              </w:tc>
              <w:tc>
                <w:tcPr>
                  <w:tcW w:w="415" w:type="pct"/>
                  <w:vAlign w:val="center"/>
                </w:tcPr>
                <w:p>
                  <w:pPr>
                    <w:pStyle w:val="68"/>
                    <w:spacing w:before="24" w:after="24"/>
                    <w:rPr>
                      <w:lang w:val="zh-CN"/>
                    </w:rPr>
                  </w:pPr>
                  <w:r>
                    <w:rPr>
                      <w:lang w:val="zh-CN"/>
                    </w:rPr>
                    <w:t>满足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（二）大气环境分区管控</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全市划分为大气环境优先保护区、重点管控区和一般管控区，实施分级分类管理。</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将市域范围内的法定保护区、风景名胜区、各级森林公园等环境空气质量功能区一类区识别为大气环境优先保护区，占全市国土面积的5.8%。大气环境优先保护区禁止新建排放大气污染物的工业项目，加强餐饮等服务业燃料烟气及油烟污染防治。</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将工业园区等大气污染物高排放区域，上风向、扩散通道、环流通道等影响空气质量的布局敏感区域，静风或风速较小的弱扩散区域，人群密集的受体敏感区域，识别为大气环境重点管控区，占全市国土面积的21.5%。大气环境受体敏感区严格限制新建、扩建排放大气污染物的工业项目，产生大气污染物的工业企业应持续开展节能减排。大气环境高排放区应根据工业园区（聚集区）主导产业性质和污染排放特征实施重点减排；新（改、扩）建工业项目，生产工艺和大气主要污染物排放要达到国内同行业先进水平；严格落实大气污染物达标排放、总量控制、排污许可等环保制度。大气环境布局敏感区及弱扩散区应避免大规模排放大气污染物的项目布局建设，优先实施清洁能源替代。</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将大气环境优先保护区、重点管控区之外的其他区域纳入大气环境一般管控区，占全市国土面积的72.7%。大气环境一般管控区应深化重点行业污染治理，鼓励新建企业入驻工业园区（聚集区），强力推进国家和省确定的各项产业结构调整措施。</w:t>
                  </w:r>
                </w:p>
              </w:tc>
              <w:tc>
                <w:tcPr>
                  <w:tcW w:w="1664"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本项目为新建项目，采用较先进生产工艺和设备，严格落实大气污染物达标排放、总量控制、排污许可等环保制度，废气达标排放，对周围大气环境影响较小。</w:t>
                  </w:r>
                </w:p>
              </w:tc>
              <w:tc>
                <w:tcPr>
                  <w:tcW w:w="415" w:type="pct"/>
                  <w:vAlign w:val="center"/>
                </w:tcPr>
                <w:p>
                  <w:pPr>
                    <w:pStyle w:val="68"/>
                    <w:spacing w:before="24" w:after="24"/>
                    <w:rPr>
                      <w:lang w:val="zh-CN"/>
                    </w:rPr>
                  </w:pPr>
                  <w:r>
                    <w:rPr>
                      <w:lang w:val="zh-CN"/>
                    </w:rPr>
                    <w:t>满足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（三）水环境分区管控</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全市水环境分为水环境优先保护区、重点管控区和一般管控区。</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将县级以上城镇集中式饮用水源地一二级保护区、省级以上湿地公园和重要湿地、省级以上自然保护区按自然边界划定为水环境优先保护区，占全市国土面积的4.35%。水环境优先保护区按照现行法律法规及管理规定执行，实施严格生态环境准入。</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2、水环境重点管控区面积1409.82 平方公里，占全市国土面积的30.89%，其中，水环境工业污染重点管控区面积531.48 平方公里，水环境城镇生</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活污染重点管控区面积546.29 平方公里，水环境农业污染重点管控区面积332.04 平方公里。水环境工业污染重点管控区应禁止新建不符合国家产业政策、严重污染水环境的生产项目。实施产能规模和污染物排放总量控制，对造纸、原料药制造、有机脱硫、煤化工等重点行业，实行新（改、扩）建项目主要污染物排放等量或减量置换。集聚区内工业废水须经预处理达到集中处理要求，方可进入污水集中处理设施。排污单位水污染物的排放管理严格按照《流域水污染物综合排放标准第1 部分：南四湖东平湖流域》执行。水环境城镇生活污染重点管控区应严格按照</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城镇规划进行建设，合理布局生产与生活空间，维护自然生态系统功能稳定。加快城镇污水处理设施建设，严控纳管废水达标，完善除磷脱氮工艺。水环境农业污染重点管控区应加快淘汰剧毒、高毒、高残留农药，鼓励使用高效、低毒、低残留农药。推进农药化肥减量，增加有机肥使</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用量。优化养殖业布局，鼓励转型升级，发展循环养殖。分类治理农村生活污水，加强农村生活污水处理设施运行维护管理。推广节约用水新技术，发展节水农业。</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3、其他区域为一般管控区，占全市国土面积的64.76%。水环境一般管控区落实普适性环境治理要求，加强污染预防，推进城市水循环体系建设，维护良好水环境质量。</w:t>
                  </w:r>
                </w:p>
              </w:tc>
              <w:tc>
                <w:tcPr>
                  <w:tcW w:w="1664"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项目无生产废水排放，生活污水经化粪池处理后委托环卫部门定期清运。</w:t>
                  </w:r>
                </w:p>
              </w:tc>
              <w:tc>
                <w:tcPr>
                  <w:tcW w:w="415" w:type="pct"/>
                  <w:vAlign w:val="center"/>
                </w:tcPr>
                <w:p>
                  <w:pPr>
                    <w:pStyle w:val="68"/>
                    <w:spacing w:before="24" w:after="24"/>
                    <w:rPr>
                      <w:lang w:val="zh-CN"/>
                    </w:rPr>
                  </w:pPr>
                  <w:r>
                    <w:rPr>
                      <w:lang w:val="zh-CN"/>
                    </w:rPr>
                    <w:t>满足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（四）土壤污染风险分区管控</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全市土壤环境分为农用地优先保护区、土壤环境重点管控区（包括农用地污染风险重点管控区、建设用地污染风险重点管控区）和土壤环境一般管控区。</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农用地优先保护区为优先保护类农用地集中区域。农用地优先保护区中应从严管控非农建设占用永久基本农田，坚决防止永久基本农田“非农化”。在永久基本农田集中区域，不得新建可能造成土壤污染的建设项目；已经建成的，应当限期关闭拆除。</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农用地污染风险重点管控区为严格管控类和安全利用类区域，建设用地污染风险重点管控区为省级及以上重金属污染防控重点区域、全市污染地块、疑似污染地块、土壤污染重点监管单位、高关注度地块等区域。农用地污染风险重点管控区中安全利用类耕地，应当优先采取农艺调控、替代种植、轮作、间作等措施，阻断或者减少污染物和其他有毒有害物质进入农作物可食部分，降低农产品超标风险；对严格管控类耕地，划定特定农产品禁止生产区域，制定种植结构调整或者按照国家计划经批准后进行退耕还林还草等风险管控措施。建设用地污染风险重点管控区中污染地块（含疑似污染地块）应严格污染地块开发利用和流转审批。土壤污染重点监管单位和高关注度地块新（改、扩）建项目用地应当符合国家、省有关建设用地土壤污染风险管控要求，新（改、扩）建涉重金属重点行业建设项目实施重金属排放量“等量置换”或“减量置换”。</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3、其余区域为土壤环境一般管控区。土壤环境一般管控区应完善环境保护基础设施建设，严格执行行业企业布局选址要求。</w:t>
                  </w:r>
                </w:p>
              </w:tc>
              <w:tc>
                <w:tcPr>
                  <w:tcW w:w="1664"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本项目位于</w:t>
                  </w:r>
                  <w:r>
                    <w:rPr>
                      <w:rFonts w:hint="eastAsia"/>
                      <w:color w:val="000000" w:themeColor="text1"/>
                      <w14:textFill>
                        <w14:solidFill>
                          <w14:schemeClr w14:val="tx1"/>
                        </w14:solidFill>
                      </w14:textFill>
                    </w:rPr>
                    <w:t>山亭区徐庄镇水城子村以北、S</w:t>
                  </w:r>
                  <w:r>
                    <w:rPr>
                      <w:color w:val="000000" w:themeColor="text1"/>
                      <w14:textFill>
                        <w14:solidFill>
                          <w14:schemeClr w14:val="tx1"/>
                        </w14:solidFill>
                      </w14:textFill>
                    </w:rPr>
                    <w:t>343</w:t>
                  </w:r>
                  <w:r>
                    <w:rPr>
                      <w:rFonts w:hint="eastAsia"/>
                      <w:color w:val="000000" w:themeColor="text1"/>
                      <w14:textFill>
                        <w14:solidFill>
                          <w14:schemeClr w14:val="tx1"/>
                        </w14:solidFill>
                      </w14:textFill>
                    </w:rPr>
                    <w:t>线以西</w:t>
                  </w:r>
                  <w:r>
                    <w:rPr>
                      <w:rFonts w:hint="eastAsia"/>
                      <w:color w:val="000000" w:themeColor="text1"/>
                      <w:lang w:val="zh-CN"/>
                      <w14:textFill>
                        <w14:solidFill>
                          <w14:schemeClr w14:val="tx1"/>
                        </w14:solidFill>
                      </w14:textFill>
                    </w:rPr>
                    <w:t>，用地性质属于建设用地，项目运行过程中污染物均不涉及重金属等有毒有害物质，对土壤环境影响较小。</w:t>
                  </w:r>
                </w:p>
              </w:tc>
              <w:tc>
                <w:tcPr>
                  <w:tcW w:w="415" w:type="pct"/>
                  <w:vAlign w:val="center"/>
                </w:tcPr>
                <w:p>
                  <w:pPr>
                    <w:pStyle w:val="68"/>
                    <w:spacing w:before="24" w:after="24"/>
                    <w:rPr>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921"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（五）环境管控单元划定</w:t>
                  </w:r>
                </w:p>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全市共划定149 个环境管控单元，分为优先保护单元、重点管控单元和一般管控单元。</w:t>
                  </w:r>
                </w:p>
              </w:tc>
              <w:tc>
                <w:tcPr>
                  <w:tcW w:w="1664" w:type="pct"/>
                  <w:vAlign w:val="center"/>
                </w:tcPr>
                <w:p>
                  <w:pPr>
                    <w:pStyle w:val="68"/>
                    <w:spacing w:before="24" w:after="24"/>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本项目位于</w:t>
                  </w:r>
                  <w:r>
                    <w:rPr>
                      <w:rFonts w:hint="eastAsia"/>
                      <w:color w:val="000000" w:themeColor="text1"/>
                      <w14:textFill>
                        <w14:solidFill>
                          <w14:schemeClr w14:val="tx1"/>
                        </w14:solidFill>
                      </w14:textFill>
                    </w:rPr>
                    <w:t>山亭区徐庄镇水城子村以北、S</w:t>
                  </w:r>
                  <w:r>
                    <w:rPr>
                      <w:color w:val="000000" w:themeColor="text1"/>
                      <w14:textFill>
                        <w14:solidFill>
                          <w14:schemeClr w14:val="tx1"/>
                        </w14:solidFill>
                      </w14:textFill>
                    </w:rPr>
                    <w:t>343</w:t>
                  </w:r>
                  <w:r>
                    <w:rPr>
                      <w:rFonts w:hint="eastAsia"/>
                      <w:color w:val="000000" w:themeColor="text1"/>
                      <w14:textFill>
                        <w14:solidFill>
                          <w14:schemeClr w14:val="tx1"/>
                        </w14:solidFill>
                      </w14:textFill>
                    </w:rPr>
                    <w:t>线以西</w:t>
                  </w:r>
                  <w:r>
                    <w:rPr>
                      <w:rFonts w:hint="eastAsia"/>
                      <w:color w:val="000000" w:themeColor="text1"/>
                      <w:lang w:val="zh-CN"/>
                      <w14:textFill>
                        <w14:solidFill>
                          <w14:schemeClr w14:val="tx1"/>
                        </w14:solidFill>
                      </w14:textFill>
                    </w:rPr>
                    <w:t>，属于一般管控单元。项目运行过程中污染物均不涉及重金属等有毒有害物质，项目污染物排放量较少且达标排放，对生态环境影响较小。</w:t>
                  </w:r>
                </w:p>
              </w:tc>
              <w:tc>
                <w:tcPr>
                  <w:tcW w:w="415" w:type="pct"/>
                  <w:vAlign w:val="center"/>
                </w:tcPr>
                <w:p>
                  <w:pPr>
                    <w:pStyle w:val="68"/>
                    <w:spacing w:before="24" w:after="24"/>
                    <w:rPr>
                      <w:lang w:val="zh-CN"/>
                    </w:rPr>
                  </w:pPr>
                </w:p>
              </w:tc>
            </w:tr>
          </w:tbl>
          <w:p>
            <w:pPr>
              <w:pStyle w:val="69"/>
              <w:numPr>
                <w:ilvl w:val="0"/>
                <w:numId w:val="4"/>
              </w:numPr>
              <w:spacing w:before="240"/>
              <w:ind w:left="48" w:right="48"/>
              <w:rPr>
                <w:b/>
                <w:lang w:eastAsia="zh-CN"/>
              </w:rPr>
            </w:pPr>
            <w:r>
              <w:rPr>
                <w:b/>
                <w:lang w:eastAsia="zh-CN"/>
              </w:rPr>
              <w:t>与其他相关环保政策符合性分析</w:t>
            </w:r>
          </w:p>
          <w:p>
            <w:pPr>
              <w:pStyle w:val="69"/>
              <w:ind w:left="48" w:right="48"/>
              <w:rPr>
                <w:lang w:eastAsia="zh-CN"/>
              </w:rPr>
            </w:pPr>
            <w:r>
              <w:rPr>
                <w:rFonts w:hint="eastAsia"/>
                <w:spacing w:val="6"/>
                <w:lang w:eastAsia="zh-CN" w:bidi="ar"/>
              </w:rPr>
              <w:t>（</w:t>
            </w:r>
            <w:r>
              <w:rPr>
                <w:spacing w:val="6"/>
                <w:lang w:eastAsia="zh-CN" w:bidi="ar"/>
              </w:rPr>
              <w:fldChar w:fldCharType="begin"/>
            </w:r>
            <w:r>
              <w:rPr>
                <w:spacing w:val="6"/>
                <w:lang w:eastAsia="zh-CN" w:bidi="ar"/>
              </w:rPr>
              <w:instrText xml:space="preserve"> SEQ N \* ARABIC </w:instrText>
            </w:r>
            <w:r>
              <w:rPr>
                <w:spacing w:val="6"/>
                <w:lang w:eastAsia="zh-CN" w:bidi="ar"/>
              </w:rPr>
              <w:fldChar w:fldCharType="separate"/>
            </w:r>
            <w:r>
              <w:rPr>
                <w:spacing w:val="6"/>
                <w:lang w:eastAsia="zh-CN" w:bidi="ar"/>
              </w:rPr>
              <w:t>1</w:t>
            </w:r>
            <w:r>
              <w:rPr>
                <w:spacing w:val="6"/>
                <w:lang w:eastAsia="zh-CN" w:bidi="ar"/>
              </w:rPr>
              <w:fldChar w:fldCharType="end"/>
            </w:r>
            <w:r>
              <w:rPr>
                <w:rFonts w:hint="eastAsia"/>
                <w:spacing w:val="6"/>
                <w:lang w:eastAsia="zh-CN" w:bidi="ar"/>
              </w:rPr>
              <w:t>）</w:t>
            </w:r>
            <w:r>
              <w:rPr>
                <w:lang w:eastAsia="zh-CN"/>
              </w:rPr>
              <w:t>与《关于严格项目审批工作坚决防止新上“散乱污”项目的通知》（鲁环字〔2021〕58号）符合性分析</w:t>
            </w:r>
          </w:p>
          <w:p>
            <w:pPr>
              <w:pStyle w:val="320"/>
            </w:pPr>
            <w:r>
              <w:t xml:space="preserve">表 </w:t>
            </w:r>
            <w:r>
              <w:fldChar w:fldCharType="begin"/>
            </w:r>
            <w:r>
              <w:instrText xml:space="preserve"> SEQ 表格 \* ARABIC </w:instrText>
            </w:r>
            <w:r>
              <w:fldChar w:fldCharType="separate"/>
            </w:r>
            <w:r>
              <w:t>3</w:t>
            </w:r>
            <w:r>
              <w:fldChar w:fldCharType="end"/>
            </w:r>
            <w:r>
              <w:t xml:space="preserve">  项目与鲁环字〔2021〕58号文符合性分析一览表</w:t>
            </w:r>
          </w:p>
          <w:tbl>
            <w:tblPr>
              <w:tblStyle w:val="66"/>
              <w:tblW w:w="5000" w:type="pct"/>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5382"/>
              <w:gridCol w:w="2975"/>
              <w:gridCol w:w="614"/>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6" w:hRule="atLeast"/>
              </w:trPr>
              <w:tc>
                <w:tcPr>
                  <w:tcW w:w="3000" w:type="pct"/>
                  <w:tcBorders>
                    <w:top w:val="single" w:color="auto" w:sz="2" w:space="0"/>
                    <w:left w:val="nil"/>
                    <w:bottom w:val="single" w:color="auto" w:sz="2" w:space="0"/>
                    <w:right w:val="single" w:color="auto" w:sz="2" w:space="0"/>
                    <w:insideH w:val="single" w:sz="2" w:space="0"/>
                    <w:insideV w:val="single" w:sz="2" w:space="0"/>
                    <w:tl2br w:val="nil"/>
                    <w:tr2bl w:val="nil"/>
                  </w:tcBorders>
                  <w:shd w:val="clear" w:color="auto" w:fill="auto"/>
                  <w:vAlign w:val="center"/>
                </w:tcPr>
                <w:p>
                  <w:pPr>
                    <w:widowControl/>
                    <w:wordWrap/>
                    <w:spacing w:line="288" w:lineRule="auto"/>
                    <w:rPr>
                      <w:sz w:val="21"/>
                      <w:szCs w:val="21"/>
                    </w:rPr>
                  </w:pPr>
                  <w:r>
                    <w:rPr>
                      <w:rFonts w:hint="eastAsia"/>
                      <w:sz w:val="21"/>
                      <w:szCs w:val="21"/>
                    </w:rPr>
                    <w:t>文件要求</w:t>
                  </w:r>
                </w:p>
              </w:tc>
              <w:tc>
                <w:tcPr>
                  <w:tcW w:w="1658" w:type="pct"/>
                  <w:tcBorders>
                    <w:top w:val="single" w:color="auto" w:sz="2" w:space="0"/>
                    <w:bottom w:val="single" w:color="auto" w:sz="2" w:space="0"/>
                    <w:right w:val="single" w:color="auto" w:sz="2" w:space="0"/>
                    <w:insideH w:val="single" w:sz="2" w:space="0"/>
                    <w:insideV w:val="single" w:sz="2" w:space="0"/>
                    <w:tl2br w:val="nil"/>
                    <w:tr2bl w:val="nil"/>
                  </w:tcBorders>
                  <w:shd w:val="clear" w:color="auto" w:fill="auto"/>
                  <w:vAlign w:val="center"/>
                </w:tcPr>
                <w:p>
                  <w:pPr>
                    <w:widowControl/>
                    <w:wordWrap/>
                    <w:spacing w:line="288" w:lineRule="auto"/>
                    <w:rPr>
                      <w:sz w:val="21"/>
                      <w:szCs w:val="21"/>
                    </w:rPr>
                  </w:pPr>
                  <w:r>
                    <w:rPr>
                      <w:sz w:val="21"/>
                      <w:szCs w:val="21"/>
                      <w:lang w:bidi="ar"/>
                    </w:rPr>
                    <w:t>本项目情况</w:t>
                  </w:r>
                </w:p>
              </w:tc>
              <w:tc>
                <w:tcPr>
                  <w:tcW w:w="343" w:type="pct"/>
                  <w:tcBorders>
                    <w:top w:val="single" w:color="auto" w:sz="2" w:space="0"/>
                    <w:bottom w:val="single" w:color="auto" w:sz="2" w:space="0"/>
                    <w:right w:val="nil"/>
                    <w:insideH w:val="single" w:sz="2" w:space="0"/>
                    <w:insideV w:val="single" w:sz="2" w:space="0"/>
                    <w:tl2br w:val="nil"/>
                    <w:tr2bl w:val="nil"/>
                  </w:tcBorders>
                  <w:shd w:val="clear" w:color="auto" w:fill="auto"/>
                  <w:vAlign w:val="center"/>
                </w:tcPr>
                <w:p>
                  <w:pPr>
                    <w:widowControl/>
                    <w:wordWrap/>
                    <w:spacing w:line="288" w:lineRule="auto"/>
                    <w:rPr>
                      <w:sz w:val="21"/>
                      <w:szCs w:val="21"/>
                    </w:rPr>
                  </w:pPr>
                  <w:r>
                    <w:rPr>
                      <w:sz w:val="21"/>
                      <w:szCs w:val="21"/>
                      <w:lang w:bidi="ar"/>
                    </w:rPr>
                    <w:t>是否符合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3000" w:type="pct"/>
                  <w:shd w:val="clear" w:color="auto" w:fill="auto"/>
                  <w:vAlign w:val="center"/>
                </w:tcPr>
                <w:p>
                  <w:pPr>
                    <w:widowControl/>
                    <w:spacing w:line="288" w:lineRule="auto"/>
                    <w:jc w:val="left"/>
                    <w:rPr>
                      <w:sz w:val="21"/>
                      <w:szCs w:val="21"/>
                    </w:rPr>
                  </w:pPr>
                  <w:r>
                    <w:rPr>
                      <w:sz w:val="21"/>
                      <w:szCs w:val="21"/>
                      <w:lang w:bidi="ar"/>
                    </w:rPr>
                    <w:t>1、</w:t>
                  </w:r>
                  <w:r>
                    <w:rPr>
                      <w:rFonts w:hint="eastAsia"/>
                      <w:sz w:val="21"/>
                      <w:szCs w:val="21"/>
                      <w:lang w:bidi="ar"/>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1658" w:type="pct"/>
                  <w:shd w:val="clear" w:color="auto" w:fill="auto"/>
                  <w:vAlign w:val="center"/>
                </w:tcPr>
                <w:p>
                  <w:pPr>
                    <w:spacing w:line="288" w:lineRule="auto"/>
                    <w:rPr>
                      <w:sz w:val="21"/>
                      <w:szCs w:val="21"/>
                    </w:rPr>
                  </w:pPr>
                  <w:r>
                    <w:rPr>
                      <w:rFonts w:hint="eastAsia"/>
                      <w:sz w:val="21"/>
                      <w:szCs w:val="21"/>
                      <w:lang w:bidi="ar"/>
                    </w:rPr>
                    <w:t>对照</w:t>
                  </w:r>
                  <w:r>
                    <w:rPr>
                      <w:sz w:val="21"/>
                      <w:szCs w:val="21"/>
                      <w:lang w:bidi="ar"/>
                    </w:rPr>
                    <w:t>《产业结构调整指导目录</w:t>
                  </w:r>
                  <w:r>
                    <w:rPr>
                      <w:rFonts w:hint="eastAsia"/>
                      <w:sz w:val="21"/>
                      <w:szCs w:val="21"/>
                      <w:lang w:bidi="ar"/>
                    </w:rPr>
                    <w:t>（2</w:t>
                  </w:r>
                  <w:r>
                    <w:rPr>
                      <w:sz w:val="21"/>
                      <w:szCs w:val="21"/>
                      <w:lang w:bidi="ar"/>
                    </w:rPr>
                    <w:t>024</w:t>
                  </w:r>
                  <w:r>
                    <w:rPr>
                      <w:rFonts w:hint="eastAsia"/>
                      <w:sz w:val="21"/>
                      <w:szCs w:val="21"/>
                      <w:lang w:bidi="ar"/>
                    </w:rPr>
                    <w:t>年本）</w:t>
                  </w:r>
                  <w:r>
                    <w:rPr>
                      <w:sz w:val="21"/>
                      <w:szCs w:val="21"/>
                      <w:lang w:bidi="ar"/>
                    </w:rPr>
                    <w:t>》</w:t>
                  </w:r>
                  <w:r>
                    <w:rPr>
                      <w:rFonts w:hint="eastAsia"/>
                      <w:sz w:val="21"/>
                      <w:szCs w:val="21"/>
                      <w:lang w:bidi="ar"/>
                    </w:rPr>
                    <w:t>，项目</w:t>
                  </w:r>
                  <w:r>
                    <w:rPr>
                      <w:sz w:val="21"/>
                      <w:szCs w:val="21"/>
                      <w:lang w:bidi="ar"/>
                    </w:rPr>
                    <w:t>符合国家产业政策。</w:t>
                  </w:r>
                  <w:r>
                    <w:rPr>
                      <w:rFonts w:hint="eastAsia"/>
                      <w:color w:val="000000" w:themeColor="text1"/>
                      <w:sz w:val="21"/>
                      <w:szCs w:val="21"/>
                      <w:lang w:bidi="ar"/>
                      <w14:textFill>
                        <w14:solidFill>
                          <w14:schemeClr w14:val="tx1"/>
                        </w14:solidFill>
                      </w14:textFill>
                    </w:rPr>
                    <w:t>项目所用工艺及设备不属于国家公布的淘汰工艺和落后设备。</w:t>
                  </w:r>
                </w:p>
              </w:tc>
              <w:tc>
                <w:tcPr>
                  <w:tcW w:w="343" w:type="pct"/>
                  <w:shd w:val="clear" w:color="auto" w:fill="auto"/>
                  <w:vAlign w:val="center"/>
                </w:tcPr>
                <w:p>
                  <w:pPr>
                    <w:widowControl/>
                    <w:spacing w:line="288" w:lineRule="auto"/>
                    <w:rPr>
                      <w:sz w:val="21"/>
                      <w:szCs w:val="21"/>
                    </w:rPr>
                  </w:pPr>
                  <w:r>
                    <w:rPr>
                      <w:sz w:val="21"/>
                      <w:szCs w:val="21"/>
                      <w:lang w:bidi="ar"/>
                    </w:rPr>
                    <w:t>符合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2" w:hRule="atLeast"/>
              </w:trPr>
              <w:tc>
                <w:tcPr>
                  <w:tcW w:w="3000" w:type="pct"/>
                  <w:shd w:val="clear" w:color="auto" w:fill="auto"/>
                  <w:vAlign w:val="center"/>
                </w:tcPr>
                <w:p>
                  <w:pPr>
                    <w:widowControl/>
                    <w:spacing w:line="288" w:lineRule="auto"/>
                    <w:jc w:val="left"/>
                    <w:rPr>
                      <w:sz w:val="21"/>
                      <w:szCs w:val="21"/>
                    </w:rPr>
                  </w:pPr>
                  <w:r>
                    <w:rPr>
                      <w:sz w:val="21"/>
                      <w:szCs w:val="21"/>
                    </w:rPr>
                    <w:t>2</w:t>
                  </w:r>
                  <w:r>
                    <w:rPr>
                      <w:rFonts w:hint="eastAsia"/>
                      <w:sz w:val="21"/>
                      <w:szCs w:val="21"/>
                    </w:rPr>
                    <w:t>、强化规划刚性约束。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1658" w:type="pct"/>
                  <w:shd w:val="clear" w:color="auto" w:fill="auto"/>
                  <w:vAlign w:val="center"/>
                </w:tcPr>
                <w:p>
                  <w:pPr>
                    <w:widowControl/>
                    <w:spacing w:line="288" w:lineRule="auto"/>
                    <w:jc w:val="left"/>
                    <w:rPr>
                      <w:sz w:val="21"/>
                      <w:szCs w:val="21"/>
                    </w:rPr>
                  </w:pPr>
                  <w:r>
                    <w:rPr>
                      <w:rFonts w:hint="eastAsia"/>
                      <w:sz w:val="21"/>
                      <w:szCs w:val="21"/>
                      <w:lang w:bidi="ar"/>
                    </w:rPr>
                    <w:t>项目位于山亭区徐庄镇水城子村以北、S343线以西现有厂区内，为建设用地，符合国土空间规划、产业发展规划等要求。</w:t>
                  </w:r>
                </w:p>
              </w:tc>
              <w:tc>
                <w:tcPr>
                  <w:tcW w:w="343" w:type="pct"/>
                  <w:shd w:val="clear" w:color="auto" w:fill="auto"/>
                  <w:vAlign w:val="center"/>
                </w:tcPr>
                <w:p>
                  <w:pPr>
                    <w:widowControl/>
                    <w:spacing w:line="288" w:lineRule="auto"/>
                    <w:rPr>
                      <w:sz w:val="21"/>
                      <w:szCs w:val="21"/>
                    </w:rPr>
                  </w:pPr>
                  <w:r>
                    <w:rPr>
                      <w:sz w:val="21"/>
                      <w:szCs w:val="21"/>
                      <w:lang w:bidi="ar"/>
                    </w:rPr>
                    <w:t>符合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 w:hRule="atLeast"/>
              </w:trPr>
              <w:tc>
                <w:tcPr>
                  <w:tcW w:w="3000" w:type="pct"/>
                  <w:shd w:val="clear" w:color="auto" w:fill="auto"/>
                  <w:vAlign w:val="center"/>
                </w:tcPr>
                <w:p>
                  <w:pPr>
                    <w:widowControl/>
                    <w:spacing w:line="288" w:lineRule="auto"/>
                    <w:jc w:val="left"/>
                    <w:rPr>
                      <w:sz w:val="21"/>
                      <w:szCs w:val="21"/>
                    </w:rPr>
                  </w:pPr>
                  <w:r>
                    <w:rPr>
                      <w:sz w:val="21"/>
                      <w:szCs w:val="21"/>
                    </w:rPr>
                    <w:t>3</w:t>
                  </w:r>
                  <w:r>
                    <w:rPr>
                      <w:rFonts w:hint="eastAsia"/>
                      <w:sz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658" w:type="pct"/>
                  <w:shd w:val="clear" w:color="auto" w:fill="auto"/>
                  <w:vAlign w:val="center"/>
                </w:tcPr>
                <w:p>
                  <w:pPr>
                    <w:widowControl/>
                    <w:spacing w:line="288" w:lineRule="auto"/>
                    <w:jc w:val="left"/>
                    <w:rPr>
                      <w:sz w:val="21"/>
                      <w:szCs w:val="21"/>
                    </w:rPr>
                  </w:pPr>
                  <w:r>
                    <w:rPr>
                      <w:rFonts w:hint="eastAsia"/>
                      <w:sz w:val="21"/>
                      <w:szCs w:val="21"/>
                      <w:lang w:bidi="ar"/>
                    </w:rPr>
                    <w:t>项目位于山亭区徐庄镇水城子村以北、S343线以西现有厂区内，不新增用地，符合要求。</w:t>
                  </w:r>
                </w:p>
              </w:tc>
              <w:tc>
                <w:tcPr>
                  <w:tcW w:w="343" w:type="pct"/>
                  <w:shd w:val="clear" w:color="auto" w:fill="auto"/>
                  <w:vAlign w:val="center"/>
                </w:tcPr>
                <w:p>
                  <w:pPr>
                    <w:widowControl/>
                    <w:spacing w:line="288" w:lineRule="auto"/>
                    <w:rPr>
                      <w:sz w:val="21"/>
                      <w:szCs w:val="21"/>
                    </w:rPr>
                  </w:pPr>
                  <w:r>
                    <w:rPr>
                      <w:sz w:val="21"/>
                      <w:szCs w:val="21"/>
                      <w:lang w:bidi="ar"/>
                    </w:rPr>
                    <w:t>符合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 w:hRule="atLeast"/>
              </w:trPr>
              <w:tc>
                <w:tcPr>
                  <w:tcW w:w="3000" w:type="pct"/>
                  <w:shd w:val="clear" w:color="auto" w:fill="auto"/>
                  <w:vAlign w:val="center"/>
                </w:tcPr>
                <w:p>
                  <w:pPr>
                    <w:widowControl/>
                    <w:spacing w:line="288" w:lineRule="auto"/>
                    <w:jc w:val="left"/>
                    <w:rPr>
                      <w:sz w:val="21"/>
                      <w:szCs w:val="21"/>
                    </w:rPr>
                  </w:pPr>
                  <w:r>
                    <w:rPr>
                      <w:sz w:val="21"/>
                      <w:szCs w:val="21"/>
                    </w:rPr>
                    <w:t>4</w:t>
                  </w:r>
                  <w:r>
                    <w:rPr>
                      <w:rFonts w:hint="eastAsia"/>
                      <w:sz w:val="21"/>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658" w:type="pct"/>
                  <w:shd w:val="clear" w:color="auto" w:fill="auto"/>
                  <w:vAlign w:val="center"/>
                </w:tcPr>
                <w:p>
                  <w:pPr>
                    <w:widowControl/>
                    <w:spacing w:line="288" w:lineRule="auto"/>
                    <w:jc w:val="left"/>
                    <w:rPr>
                      <w:sz w:val="21"/>
                      <w:szCs w:val="21"/>
                      <w:lang w:bidi="ar"/>
                    </w:rPr>
                  </w:pPr>
                  <w:r>
                    <w:rPr>
                      <w:rFonts w:hint="eastAsia"/>
                      <w:sz w:val="21"/>
                      <w:szCs w:val="21"/>
                      <w:lang w:bidi="ar"/>
                    </w:rPr>
                    <w:t>本项目符合“三线一单”生态环境分区管控要求。</w:t>
                  </w:r>
                </w:p>
              </w:tc>
              <w:tc>
                <w:tcPr>
                  <w:tcW w:w="343" w:type="pct"/>
                  <w:shd w:val="clear" w:color="auto" w:fill="auto"/>
                  <w:vAlign w:val="center"/>
                </w:tcPr>
                <w:p>
                  <w:pPr>
                    <w:widowControl/>
                    <w:spacing w:line="288" w:lineRule="auto"/>
                    <w:rPr>
                      <w:sz w:val="21"/>
                      <w:szCs w:val="21"/>
                      <w:lang w:bidi="ar"/>
                    </w:rPr>
                  </w:pPr>
                  <w:r>
                    <w:rPr>
                      <w:sz w:val="21"/>
                      <w:szCs w:val="21"/>
                      <w:lang w:bidi="ar"/>
                    </w:rPr>
                    <w:t>符合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 w:hRule="atLeast"/>
              </w:trPr>
              <w:tc>
                <w:tcPr>
                  <w:tcW w:w="3000" w:type="pct"/>
                  <w:shd w:val="clear" w:color="auto" w:fill="auto"/>
                  <w:vAlign w:val="center"/>
                </w:tcPr>
                <w:p>
                  <w:pPr>
                    <w:widowControl/>
                    <w:spacing w:line="288" w:lineRule="auto"/>
                    <w:jc w:val="left"/>
                    <w:rPr>
                      <w:sz w:val="21"/>
                      <w:szCs w:val="21"/>
                    </w:rPr>
                  </w:pPr>
                  <w:r>
                    <w:rPr>
                      <w:sz w:val="21"/>
                      <w:szCs w:val="21"/>
                    </w:rPr>
                    <w:t>5</w:t>
                  </w:r>
                  <w:r>
                    <w:rPr>
                      <w:rFonts w:hint="eastAsia"/>
                      <w:sz w:val="21"/>
                      <w:szCs w:val="21"/>
                    </w:rPr>
                    <w:t>、建立部门联动协调机制。各级发展改革、工业和信息化、自然资源、生态环境等部门要按照职责分工，建立长效工作机制，密切配合，强化对项目产业政策、固定资产投资、能耗、用地标准、环境等的论证，对不符合要求的，一律不得办理立项、规划、土地、环评等手续。</w:t>
                  </w:r>
                </w:p>
              </w:tc>
              <w:tc>
                <w:tcPr>
                  <w:tcW w:w="1658" w:type="pct"/>
                  <w:shd w:val="clear" w:color="auto" w:fill="auto"/>
                  <w:vAlign w:val="center"/>
                </w:tcPr>
                <w:p>
                  <w:pPr>
                    <w:widowControl/>
                    <w:spacing w:line="288" w:lineRule="auto"/>
                    <w:jc w:val="left"/>
                    <w:rPr>
                      <w:sz w:val="21"/>
                      <w:szCs w:val="21"/>
                      <w:lang w:bidi="ar"/>
                    </w:rPr>
                  </w:pPr>
                  <w:r>
                    <w:rPr>
                      <w:sz w:val="21"/>
                      <w:szCs w:val="21"/>
                      <w:lang w:bidi="ar"/>
                    </w:rPr>
                    <w:t>项目</w:t>
                  </w:r>
                  <w:r>
                    <w:rPr>
                      <w:rFonts w:hint="eastAsia"/>
                      <w:sz w:val="21"/>
                      <w:szCs w:val="21"/>
                      <w:lang w:bidi="ar"/>
                    </w:rPr>
                    <w:t>建设前对产业政策、固定资产投资、能耗、用地标准、环境等进行严格的论证。</w:t>
                  </w:r>
                </w:p>
              </w:tc>
              <w:tc>
                <w:tcPr>
                  <w:tcW w:w="343" w:type="pct"/>
                  <w:shd w:val="clear" w:color="auto" w:fill="auto"/>
                  <w:vAlign w:val="center"/>
                </w:tcPr>
                <w:p>
                  <w:pPr>
                    <w:widowControl/>
                    <w:spacing w:line="288" w:lineRule="auto"/>
                    <w:rPr>
                      <w:sz w:val="21"/>
                      <w:szCs w:val="21"/>
                      <w:lang w:bidi="ar"/>
                    </w:rPr>
                  </w:pPr>
                  <w:r>
                    <w:rPr>
                      <w:sz w:val="21"/>
                      <w:szCs w:val="21"/>
                      <w:lang w:bidi="ar"/>
                    </w:rPr>
                    <w:t>符合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3000" w:type="pct"/>
                  <w:shd w:val="clear" w:color="auto" w:fill="auto"/>
                  <w:vAlign w:val="center"/>
                </w:tcPr>
                <w:p>
                  <w:pPr>
                    <w:widowControl/>
                    <w:spacing w:line="288" w:lineRule="auto"/>
                    <w:jc w:val="left"/>
                    <w:rPr>
                      <w:sz w:val="21"/>
                      <w:szCs w:val="21"/>
                    </w:rPr>
                  </w:pPr>
                  <w:r>
                    <w:rPr>
                      <w:rFonts w:hint="eastAsia"/>
                      <w:bCs/>
                      <w:sz w:val="21"/>
                      <w:szCs w:val="21"/>
                    </w:rPr>
                    <w:t>6、强化日常监管执法。持续加大对违反产业政策、规划、准入规定等违法违规建设行为的查处力度，坚决遏制“未批先建”等违法行为。畅通群众举报投诉渠道，对“散乱污”项目做到早发现、早应对、早处置，严防死灰复燃。</w:t>
                  </w:r>
                </w:p>
              </w:tc>
              <w:tc>
                <w:tcPr>
                  <w:tcW w:w="1658" w:type="pct"/>
                  <w:shd w:val="clear" w:color="auto" w:fill="auto"/>
                  <w:vAlign w:val="center"/>
                </w:tcPr>
                <w:p>
                  <w:pPr>
                    <w:widowControl/>
                    <w:spacing w:line="288" w:lineRule="auto"/>
                    <w:jc w:val="left"/>
                    <w:rPr>
                      <w:sz w:val="21"/>
                      <w:szCs w:val="21"/>
                    </w:rPr>
                  </w:pPr>
                  <w:r>
                    <w:rPr>
                      <w:sz w:val="21"/>
                      <w:szCs w:val="21"/>
                      <w:lang w:bidi="ar"/>
                    </w:rPr>
                    <w:t>项目</w:t>
                  </w:r>
                  <w:r>
                    <w:rPr>
                      <w:rFonts w:hint="eastAsia"/>
                      <w:sz w:val="21"/>
                      <w:szCs w:val="21"/>
                      <w:lang w:bidi="ar"/>
                    </w:rPr>
                    <w:t>在未通过审批前不进行建设。</w:t>
                  </w:r>
                </w:p>
              </w:tc>
              <w:tc>
                <w:tcPr>
                  <w:tcW w:w="343" w:type="pct"/>
                  <w:shd w:val="clear" w:color="auto" w:fill="auto"/>
                  <w:vAlign w:val="center"/>
                </w:tcPr>
                <w:p>
                  <w:pPr>
                    <w:widowControl/>
                    <w:spacing w:line="288" w:lineRule="auto"/>
                    <w:rPr>
                      <w:sz w:val="21"/>
                      <w:szCs w:val="21"/>
                    </w:rPr>
                  </w:pPr>
                  <w:r>
                    <w:rPr>
                      <w:sz w:val="21"/>
                      <w:szCs w:val="21"/>
                      <w:lang w:bidi="ar"/>
                    </w:rPr>
                    <w:t>符合</w:t>
                  </w:r>
                </w:p>
              </w:tc>
            </w:tr>
          </w:tbl>
          <w:p>
            <w:pPr>
              <w:pStyle w:val="69"/>
              <w:ind w:left="48" w:right="48"/>
              <w:rPr>
                <w:lang w:eastAsia="zh-CN"/>
              </w:rPr>
            </w:pPr>
            <w:r>
              <w:rPr>
                <w:rFonts w:hint="eastAsia"/>
                <w:spacing w:val="6"/>
                <w:lang w:eastAsia="zh-CN" w:bidi="ar"/>
              </w:rPr>
              <w:t>（</w:t>
            </w:r>
            <w:r>
              <w:rPr>
                <w:spacing w:val="6"/>
                <w:lang w:eastAsia="zh-CN" w:bidi="ar"/>
              </w:rPr>
              <w:fldChar w:fldCharType="begin"/>
            </w:r>
            <w:r>
              <w:rPr>
                <w:spacing w:val="6"/>
                <w:lang w:eastAsia="zh-CN" w:bidi="ar"/>
              </w:rPr>
              <w:instrText xml:space="preserve"> SEQ N \* ARABIC </w:instrText>
            </w:r>
            <w:r>
              <w:rPr>
                <w:spacing w:val="6"/>
                <w:lang w:eastAsia="zh-CN" w:bidi="ar"/>
              </w:rPr>
              <w:fldChar w:fldCharType="separate"/>
            </w:r>
            <w:r>
              <w:rPr>
                <w:spacing w:val="6"/>
                <w:lang w:eastAsia="zh-CN" w:bidi="ar"/>
              </w:rPr>
              <w:t>2</w:t>
            </w:r>
            <w:r>
              <w:rPr>
                <w:spacing w:val="6"/>
                <w:lang w:eastAsia="zh-CN" w:bidi="ar"/>
              </w:rPr>
              <w:fldChar w:fldCharType="end"/>
            </w:r>
            <w:r>
              <w:rPr>
                <w:rFonts w:hint="eastAsia"/>
                <w:spacing w:val="6"/>
                <w:lang w:eastAsia="zh-CN" w:bidi="ar"/>
              </w:rPr>
              <w:t>）</w:t>
            </w:r>
            <w:r>
              <w:rPr>
                <w:rFonts w:hint="eastAsia"/>
                <w:lang w:eastAsia="zh-CN"/>
              </w:rPr>
              <w:t>与《山东省工业企业无组织排放分行业管控指导意见》鲁环发【2020】30号符合性分析</w:t>
            </w:r>
          </w:p>
          <w:p>
            <w:pPr>
              <w:pStyle w:val="62"/>
            </w:pPr>
            <w:r>
              <w:rPr>
                <w:rFonts w:hint="eastAsia"/>
              </w:rPr>
              <w:t xml:space="preserve">表 </w:t>
            </w:r>
            <w:r>
              <w:fldChar w:fldCharType="begin"/>
            </w:r>
            <w:r>
              <w:instrText xml:space="preserve"> </w:instrText>
            </w:r>
            <w:r>
              <w:rPr>
                <w:rFonts w:hint="eastAsia"/>
              </w:rPr>
              <w:instrText xml:space="preserve">SEQ 表格 \* ARABIC</w:instrText>
            </w:r>
            <w:r>
              <w:instrText xml:space="preserve"> </w:instrText>
            </w:r>
            <w:r>
              <w:fldChar w:fldCharType="separate"/>
            </w:r>
            <w:r>
              <w:t>4</w:t>
            </w:r>
            <w:r>
              <w:fldChar w:fldCharType="end"/>
            </w:r>
            <w:r>
              <w:t xml:space="preserve"> </w:t>
            </w:r>
            <w:r>
              <w:rPr>
                <w:rFonts w:hint="eastAsia"/>
              </w:rPr>
              <w:t>与《山东省工业企业无组织排放分行业管控指导意见》符合性分析</w:t>
            </w:r>
          </w:p>
          <w:tbl>
            <w:tblPr>
              <w:tblStyle w:val="5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11"/>
              <w:gridCol w:w="956"/>
              <w:gridCol w:w="4703"/>
              <w:gridCol w:w="1627"/>
              <w:gridCol w:w="9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96" w:type="pct"/>
                  <w:vAlign w:val="center"/>
                </w:tcPr>
                <w:p>
                  <w:pPr>
                    <w:pStyle w:val="60"/>
                    <w:spacing w:line="240" w:lineRule="auto"/>
                    <w:rPr>
                      <w:sz w:val="21"/>
                      <w:szCs w:val="21"/>
                    </w:rPr>
                  </w:pPr>
                  <w:r>
                    <w:rPr>
                      <w:sz w:val="21"/>
                      <w:szCs w:val="21"/>
                    </w:rPr>
                    <w:t>序号</w:t>
                  </w:r>
                </w:p>
              </w:tc>
              <w:tc>
                <w:tcPr>
                  <w:tcW w:w="3154" w:type="pct"/>
                  <w:gridSpan w:val="2"/>
                  <w:vAlign w:val="center"/>
                </w:tcPr>
                <w:p>
                  <w:pPr>
                    <w:pStyle w:val="60"/>
                    <w:spacing w:line="240" w:lineRule="auto"/>
                    <w:rPr>
                      <w:sz w:val="21"/>
                      <w:szCs w:val="21"/>
                    </w:rPr>
                  </w:pPr>
                  <w:r>
                    <w:rPr>
                      <w:rFonts w:hint="eastAsia"/>
                      <w:sz w:val="21"/>
                      <w:szCs w:val="21"/>
                    </w:rPr>
                    <w:t>管控要求</w:t>
                  </w:r>
                </w:p>
              </w:tc>
              <w:tc>
                <w:tcPr>
                  <w:tcW w:w="907" w:type="pct"/>
                  <w:vAlign w:val="center"/>
                </w:tcPr>
                <w:p>
                  <w:pPr>
                    <w:pStyle w:val="60"/>
                    <w:spacing w:line="240" w:lineRule="auto"/>
                    <w:rPr>
                      <w:sz w:val="21"/>
                      <w:szCs w:val="21"/>
                    </w:rPr>
                  </w:pPr>
                  <w:r>
                    <w:rPr>
                      <w:sz w:val="21"/>
                      <w:szCs w:val="21"/>
                    </w:rPr>
                    <w:t>项目符合情况</w:t>
                  </w:r>
                </w:p>
              </w:tc>
              <w:tc>
                <w:tcPr>
                  <w:tcW w:w="543" w:type="pct"/>
                  <w:vAlign w:val="center"/>
                </w:tcPr>
                <w:p>
                  <w:pPr>
                    <w:pStyle w:val="60"/>
                    <w:spacing w:line="240" w:lineRule="auto"/>
                    <w:rPr>
                      <w:sz w:val="21"/>
                      <w:szCs w:val="21"/>
                    </w:rPr>
                  </w:pPr>
                  <w:r>
                    <w:rPr>
                      <w:sz w:val="21"/>
                      <w:szCs w:val="21"/>
                    </w:rPr>
                    <w:t>符合情况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4" w:hRule="atLeast"/>
                <w:jc w:val="center"/>
              </w:trPr>
              <w:tc>
                <w:tcPr>
                  <w:tcW w:w="396" w:type="pct"/>
                  <w:vAlign w:val="center"/>
                </w:tcPr>
                <w:p>
                  <w:pPr>
                    <w:pStyle w:val="60"/>
                    <w:spacing w:line="240" w:lineRule="auto"/>
                    <w:rPr>
                      <w:sz w:val="21"/>
                      <w:szCs w:val="21"/>
                    </w:rPr>
                  </w:pPr>
                  <w:r>
                    <w:rPr>
                      <w:sz w:val="21"/>
                      <w:szCs w:val="21"/>
                    </w:rPr>
                    <w:t>一</w:t>
                  </w:r>
                </w:p>
              </w:tc>
              <w:tc>
                <w:tcPr>
                  <w:tcW w:w="533" w:type="pct"/>
                  <w:vAlign w:val="center"/>
                </w:tcPr>
                <w:p>
                  <w:pPr>
                    <w:pStyle w:val="60"/>
                    <w:spacing w:line="240" w:lineRule="auto"/>
                    <w:rPr>
                      <w:sz w:val="21"/>
                      <w:szCs w:val="21"/>
                    </w:rPr>
                  </w:pPr>
                  <w:r>
                    <w:rPr>
                      <w:rFonts w:hint="eastAsia"/>
                      <w:sz w:val="21"/>
                      <w:szCs w:val="21"/>
                    </w:rPr>
                    <w:t>加强物料运输、装卸环节管控</w:t>
                  </w:r>
                </w:p>
              </w:tc>
              <w:tc>
                <w:tcPr>
                  <w:tcW w:w="2621" w:type="pct"/>
                  <w:vAlign w:val="center"/>
                </w:tcPr>
                <w:p>
                  <w:pPr>
                    <w:pStyle w:val="60"/>
                    <w:spacing w:line="240" w:lineRule="auto"/>
                    <w:jc w:val="left"/>
                    <w:rPr>
                      <w:sz w:val="21"/>
                      <w:szCs w:val="21"/>
                    </w:rPr>
                  </w:pPr>
                  <w:r>
                    <w:rPr>
                      <w:sz w:val="21"/>
                      <w:szCs w:val="21"/>
                    </w:rPr>
                    <w:t>煤粉、粉煤灰、石灰、除尘灰、脱硫灰、原料药等粉状物料采用管状带式输送机、气力输送、真空罐车、密闭车厢等密闭方式运输；砂石、矿石、煤、铁精矿、脱硫石膏等块状、粒状或粘湿物料采用皮带通廊、封闭车厢等封闭方式运输或苫盖严密，防止沿途抛洒和飞扬。料场或厂区出入口配备车辆清洗装置或采取其他控制措施，确保出场车辆清洁、运输不起尘。厂区道路硬化，平整无破损、无积尘，厂区无裸露空地，闲置裸露空地及时绿化或硬化，厂区道路定期洒水清扫。块状、粒状或粘湿物料直接卸落至储存料场，装卸过程配备有效抑尘、集尘除尘设施，粉状物料装卸口配备密封防尘装置且不得直接卸落到地面。挥发性有机液体装车采用顶部浸没式或底部装载，严禁喷溅，运输相关产品的车辆具备油气回收接口。</w:t>
                  </w:r>
                </w:p>
              </w:tc>
              <w:tc>
                <w:tcPr>
                  <w:tcW w:w="907" w:type="pct"/>
                  <w:vAlign w:val="center"/>
                </w:tcPr>
                <w:p>
                  <w:pPr>
                    <w:pStyle w:val="60"/>
                    <w:spacing w:line="240" w:lineRule="auto"/>
                    <w:rPr>
                      <w:sz w:val="21"/>
                      <w:szCs w:val="21"/>
                    </w:rPr>
                  </w:pPr>
                  <w:r>
                    <w:rPr>
                      <w:rFonts w:hint="eastAsia"/>
                      <w:sz w:val="21"/>
                      <w:szCs w:val="21"/>
                    </w:rPr>
                    <w:t>本项目原料、产品以密闭罐车运输为主，厂区内均为硬化路面，不定时洒水降尘</w:t>
                  </w:r>
                </w:p>
              </w:tc>
              <w:tc>
                <w:tcPr>
                  <w:tcW w:w="543" w:type="pct"/>
                  <w:vAlign w:val="center"/>
                </w:tcPr>
                <w:p>
                  <w:pPr>
                    <w:pStyle w:val="60"/>
                    <w:spacing w:line="240" w:lineRule="auto"/>
                    <w:rPr>
                      <w:sz w:val="21"/>
                      <w:szCs w:val="21"/>
                    </w:rPr>
                  </w:pPr>
                  <w:r>
                    <w:rPr>
                      <w:rFonts w:hint="eastAsia"/>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396" w:type="pct"/>
                  <w:vAlign w:val="center"/>
                </w:tcPr>
                <w:p>
                  <w:pPr>
                    <w:pStyle w:val="60"/>
                    <w:spacing w:line="240" w:lineRule="auto"/>
                    <w:rPr>
                      <w:sz w:val="21"/>
                      <w:szCs w:val="21"/>
                    </w:rPr>
                  </w:pPr>
                  <w:r>
                    <w:rPr>
                      <w:sz w:val="21"/>
                      <w:szCs w:val="21"/>
                    </w:rPr>
                    <w:t>二</w:t>
                  </w:r>
                </w:p>
              </w:tc>
              <w:tc>
                <w:tcPr>
                  <w:tcW w:w="533" w:type="pct"/>
                  <w:vAlign w:val="center"/>
                </w:tcPr>
                <w:p>
                  <w:pPr>
                    <w:pStyle w:val="60"/>
                    <w:spacing w:line="240" w:lineRule="auto"/>
                    <w:rPr>
                      <w:sz w:val="21"/>
                      <w:szCs w:val="21"/>
                    </w:rPr>
                  </w:pPr>
                  <w:r>
                    <w:rPr>
                      <w:rFonts w:hint="eastAsia"/>
                      <w:sz w:val="21"/>
                      <w:szCs w:val="21"/>
                    </w:rPr>
                    <w:t>加强物料储存、输送环节管控</w:t>
                  </w:r>
                </w:p>
              </w:tc>
              <w:tc>
                <w:tcPr>
                  <w:tcW w:w="2621" w:type="pct"/>
                  <w:vAlign w:val="center"/>
                </w:tcPr>
                <w:p>
                  <w:pPr>
                    <w:pStyle w:val="60"/>
                    <w:spacing w:line="240" w:lineRule="auto"/>
                    <w:jc w:val="left"/>
                    <w:rPr>
                      <w:sz w:val="21"/>
                      <w:szCs w:val="21"/>
                    </w:rPr>
                  </w:pPr>
                  <w:r>
                    <w:rPr>
                      <w:sz w:val="21"/>
                      <w:szCs w:val="21"/>
                    </w:rPr>
                    <w:t>煤粉、粉煤灰、石灰、除尘灰、脱硫灰、原料药等粉状物料采用料仓、储罐、容器、包装袋等方式密闭储存，料仓、储罐配置高效除尘设施；采用管状带式输送机、气力输送、真空罐车、密闭车辆等方式输送。砂石、矿石、煤、铁精矿、脱硫石膏等块状、粒状或粘湿物料采用密闭料仓、封闭料棚或建设防风抑尘网等方式进行规范储存，封闭料棚和露天料场内设有喷淋装置，喷淋范围覆盖整个料堆。所储存物料对含水率有严格要求或遇水发生变化的，在料场内安装有效集尘除尘设施。封闭料棚进出口安装封闭性良好且便于开关的卷帘门、推拉门或自动感应门等，无车辆通过时将门关闭。防风抑尘网高度高于料场堆存高度，并对堆存物料进行严密苫盖。块状、粒状或粘湿物料上料口设置在封闭料棚内，采用管状带式输送机、皮带通廊、封闭车辆等方式输送。物料上料、输送、转接、出料和扒渣等过程中的产尘点采取有效抑尘、集尘除尘措施。含挥发性有机物（VOCs）物料储存于密闭容器、包装袋，高效密封储罐，封闭式储库、料仓等；封闭式储库、料仓设置VOCs有效收集治理设施。含VOCs物料输送，采用密闭管道或密闭容器、罐车等。</w:t>
                  </w:r>
                </w:p>
              </w:tc>
              <w:tc>
                <w:tcPr>
                  <w:tcW w:w="907" w:type="pct"/>
                  <w:vAlign w:val="center"/>
                </w:tcPr>
                <w:p>
                  <w:pPr>
                    <w:pStyle w:val="60"/>
                    <w:spacing w:line="240" w:lineRule="auto"/>
                    <w:rPr>
                      <w:sz w:val="21"/>
                      <w:szCs w:val="21"/>
                    </w:rPr>
                  </w:pPr>
                  <w:r>
                    <w:rPr>
                      <w:rFonts w:hint="eastAsia"/>
                      <w:sz w:val="21"/>
                      <w:szCs w:val="21"/>
                    </w:rPr>
                    <w:t>本项目原料、产品采密闭料仓储存，并安装除尘器收集粉尘。项目不涉及挥发性有机物。</w:t>
                  </w:r>
                </w:p>
              </w:tc>
              <w:tc>
                <w:tcPr>
                  <w:tcW w:w="543" w:type="pct"/>
                  <w:vAlign w:val="center"/>
                </w:tcPr>
                <w:p>
                  <w:pPr>
                    <w:pStyle w:val="60"/>
                    <w:spacing w:line="240" w:lineRule="auto"/>
                    <w:rPr>
                      <w:sz w:val="21"/>
                      <w:szCs w:val="21"/>
                      <w:highlight w:val="yellow"/>
                    </w:rPr>
                  </w:pPr>
                  <w:r>
                    <w:rPr>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12" w:hRule="atLeast"/>
                <w:jc w:val="center"/>
              </w:trPr>
              <w:tc>
                <w:tcPr>
                  <w:tcW w:w="396" w:type="pct"/>
                  <w:vAlign w:val="center"/>
                </w:tcPr>
                <w:p>
                  <w:pPr>
                    <w:pStyle w:val="60"/>
                    <w:spacing w:line="240" w:lineRule="auto"/>
                    <w:rPr>
                      <w:sz w:val="21"/>
                      <w:szCs w:val="21"/>
                    </w:rPr>
                  </w:pPr>
                  <w:r>
                    <w:rPr>
                      <w:sz w:val="21"/>
                      <w:szCs w:val="21"/>
                    </w:rPr>
                    <w:t>三</w:t>
                  </w:r>
                </w:p>
              </w:tc>
              <w:tc>
                <w:tcPr>
                  <w:tcW w:w="533" w:type="pct"/>
                  <w:vAlign w:val="center"/>
                </w:tcPr>
                <w:p>
                  <w:pPr>
                    <w:pStyle w:val="60"/>
                    <w:spacing w:line="240" w:lineRule="auto"/>
                    <w:rPr>
                      <w:sz w:val="21"/>
                      <w:szCs w:val="21"/>
                    </w:rPr>
                  </w:pPr>
                  <w:r>
                    <w:rPr>
                      <w:rFonts w:hint="eastAsia"/>
                      <w:sz w:val="21"/>
                      <w:szCs w:val="21"/>
                    </w:rPr>
                    <w:t>加强生产环节管控</w:t>
                  </w:r>
                </w:p>
              </w:tc>
              <w:tc>
                <w:tcPr>
                  <w:tcW w:w="2621" w:type="pct"/>
                  <w:vAlign w:val="center"/>
                </w:tcPr>
                <w:p>
                  <w:pPr>
                    <w:pStyle w:val="60"/>
                    <w:spacing w:line="240" w:lineRule="auto"/>
                    <w:jc w:val="left"/>
                    <w:rPr>
                      <w:sz w:val="21"/>
                      <w:szCs w:val="21"/>
                    </w:rPr>
                  </w:pPr>
                  <w:r>
                    <w:rPr>
                      <w:sz w:val="21"/>
                      <w:szCs w:val="21"/>
                    </w:rPr>
                    <w:t>通过提高工艺自动化和设备密闭化水平，减少生产过程中的无组织排放。生产过程中的产尘点和VOCs产生点密闭、封闭或采取有效收集处理措施</w:t>
                  </w:r>
                  <w:r>
                    <w:rPr>
                      <w:rFonts w:hint="eastAsia"/>
                      <w:sz w:val="21"/>
                      <w:szCs w:val="21"/>
                    </w:rPr>
                    <w:t>。生产设备和废气收集处理设施同步运行，废气收集处理设施发生故障或检修时，停止运行对应的生产设备，待检修完毕后投入使用。生产设备不能停止或不能及时停止运行的，设置废气应急处理设施或采取其他替代措施。生产车间地面及生产设备表面保持清洁，除电子、电气原件外，不得采用压缩空气吹扫等易产生扬尘的清理措施。厂内污水收集、输送、处理，污泥产生、暂存、处置，危险废物暂存等产生VOCs或恶臭气体的区域加罩或加盖封闭并进行收集处理。涉VOCs化（试）验室实验平台设置负压集气系统，对化（试）验室中产生的废气进行集中收集治理。</w:t>
                  </w:r>
                </w:p>
              </w:tc>
              <w:tc>
                <w:tcPr>
                  <w:tcW w:w="907" w:type="pct"/>
                  <w:vAlign w:val="center"/>
                </w:tcPr>
                <w:p>
                  <w:pPr>
                    <w:pStyle w:val="60"/>
                    <w:spacing w:line="240" w:lineRule="auto"/>
                    <w:rPr>
                      <w:sz w:val="21"/>
                      <w:szCs w:val="21"/>
                    </w:rPr>
                  </w:pPr>
                  <w:r>
                    <w:rPr>
                      <w:rFonts w:hint="eastAsia"/>
                      <w:sz w:val="21"/>
                      <w:szCs w:val="21"/>
                    </w:rPr>
                    <w:t>项目在废气产生环节设置收集处理设施。项目不涉及挥发性有机物。</w:t>
                  </w:r>
                </w:p>
              </w:tc>
              <w:tc>
                <w:tcPr>
                  <w:tcW w:w="543" w:type="pct"/>
                  <w:vAlign w:val="center"/>
                </w:tcPr>
                <w:p>
                  <w:pPr>
                    <w:pStyle w:val="60"/>
                    <w:spacing w:line="240" w:lineRule="auto"/>
                    <w:rPr>
                      <w:sz w:val="21"/>
                      <w:szCs w:val="21"/>
                    </w:rPr>
                  </w:pPr>
                  <w:r>
                    <w:rPr>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098" w:hRule="atLeast"/>
                <w:jc w:val="center"/>
              </w:trPr>
              <w:tc>
                <w:tcPr>
                  <w:tcW w:w="396" w:type="pct"/>
                  <w:vAlign w:val="center"/>
                </w:tcPr>
                <w:p>
                  <w:pPr>
                    <w:pStyle w:val="60"/>
                    <w:spacing w:line="240" w:lineRule="auto"/>
                    <w:rPr>
                      <w:sz w:val="21"/>
                      <w:szCs w:val="21"/>
                    </w:rPr>
                  </w:pPr>
                  <w:r>
                    <w:rPr>
                      <w:rFonts w:hint="eastAsia"/>
                      <w:sz w:val="21"/>
                      <w:szCs w:val="21"/>
                    </w:rPr>
                    <w:t>四</w:t>
                  </w:r>
                </w:p>
              </w:tc>
              <w:tc>
                <w:tcPr>
                  <w:tcW w:w="533" w:type="pct"/>
                  <w:vAlign w:val="center"/>
                </w:tcPr>
                <w:p>
                  <w:pPr>
                    <w:pStyle w:val="60"/>
                    <w:spacing w:line="240" w:lineRule="auto"/>
                    <w:rPr>
                      <w:sz w:val="21"/>
                      <w:szCs w:val="21"/>
                    </w:rPr>
                  </w:pPr>
                  <w:r>
                    <w:rPr>
                      <w:rFonts w:hint="eastAsia"/>
                      <w:sz w:val="21"/>
                      <w:szCs w:val="21"/>
                    </w:rPr>
                    <w:t>加强精细化管控</w:t>
                  </w:r>
                </w:p>
              </w:tc>
              <w:tc>
                <w:tcPr>
                  <w:tcW w:w="2621" w:type="pct"/>
                  <w:vAlign w:val="center"/>
                </w:tcPr>
                <w:p>
                  <w:pPr>
                    <w:pStyle w:val="60"/>
                    <w:spacing w:line="240" w:lineRule="auto"/>
                    <w:jc w:val="left"/>
                    <w:rPr>
                      <w:sz w:val="21"/>
                      <w:szCs w:val="21"/>
                    </w:rPr>
                  </w:pPr>
                  <w:r>
                    <w:rPr>
                      <w:sz w:val="21"/>
                      <w:szCs w:val="21"/>
                    </w:rPr>
                    <w:t>针对各无组织排放环节，制定“一厂一策”深度治理方案。制定无组织排放治理设施操作规程，并建立管理台账，记录操作人员操作内容、运行、维护、检修和含VOCs物料使用回收等情况，记录保存期限不得少于三年。鼓励安装视频、空气微站等监控设施和综合监控信息平台，用于企业日常自我监督，逐步实现无组织排放向精细化和可量化管理方式转变。</w:t>
                  </w:r>
                </w:p>
              </w:tc>
              <w:tc>
                <w:tcPr>
                  <w:tcW w:w="907" w:type="pct"/>
                  <w:vAlign w:val="center"/>
                </w:tcPr>
                <w:p>
                  <w:pPr>
                    <w:pStyle w:val="60"/>
                    <w:spacing w:line="240" w:lineRule="auto"/>
                    <w:rPr>
                      <w:sz w:val="21"/>
                      <w:szCs w:val="21"/>
                    </w:rPr>
                  </w:pPr>
                  <w:r>
                    <w:rPr>
                      <w:rFonts w:hint="eastAsia"/>
                      <w:sz w:val="21"/>
                      <w:szCs w:val="21"/>
                    </w:rPr>
                    <w:t>项目运营过程中加强日常管理，</w:t>
                  </w:r>
                  <w:r>
                    <w:rPr>
                      <w:sz w:val="21"/>
                      <w:szCs w:val="21"/>
                    </w:rPr>
                    <w:t>制定无组织排放治理设施操作规程，并建立管理台账</w:t>
                  </w:r>
                  <w:r>
                    <w:rPr>
                      <w:rFonts w:hint="eastAsia"/>
                      <w:sz w:val="21"/>
                      <w:szCs w:val="21"/>
                    </w:rPr>
                    <w:t>。台帐保存期限至少三年以上。项目不涉及挥发性有机物。</w:t>
                  </w:r>
                </w:p>
              </w:tc>
              <w:tc>
                <w:tcPr>
                  <w:tcW w:w="543" w:type="pct"/>
                  <w:vAlign w:val="center"/>
                </w:tcPr>
                <w:p>
                  <w:pPr>
                    <w:pStyle w:val="60"/>
                    <w:spacing w:line="240" w:lineRule="auto"/>
                    <w:rPr>
                      <w:sz w:val="21"/>
                      <w:szCs w:val="21"/>
                    </w:rPr>
                  </w:pPr>
                  <w:r>
                    <w:rPr>
                      <w:rFonts w:hint="eastAsia"/>
                      <w:sz w:val="21"/>
                      <w:szCs w:val="21"/>
                    </w:rPr>
                    <w:t>符合</w:t>
                  </w:r>
                </w:p>
              </w:tc>
            </w:tr>
          </w:tbl>
          <w:p>
            <w:pPr>
              <w:pStyle w:val="69"/>
              <w:spacing w:before="240"/>
              <w:ind w:left="48" w:right="48"/>
              <w:rPr>
                <w:lang w:eastAsia="zh-CN"/>
              </w:rPr>
            </w:pPr>
            <w:r>
              <w:rPr>
                <w:rFonts w:hint="eastAsia"/>
                <w:spacing w:val="6"/>
                <w:lang w:eastAsia="zh-CN" w:bidi="ar"/>
              </w:rPr>
              <w:t>（</w:t>
            </w:r>
            <w:r>
              <w:rPr>
                <w:spacing w:val="6"/>
                <w:lang w:eastAsia="zh-CN" w:bidi="ar"/>
              </w:rPr>
              <w:fldChar w:fldCharType="begin"/>
            </w:r>
            <w:r>
              <w:rPr>
                <w:spacing w:val="6"/>
                <w:lang w:eastAsia="zh-CN" w:bidi="ar"/>
              </w:rPr>
              <w:instrText xml:space="preserve"> SEQ N \* ARABIC </w:instrText>
            </w:r>
            <w:r>
              <w:rPr>
                <w:spacing w:val="6"/>
                <w:lang w:eastAsia="zh-CN" w:bidi="ar"/>
              </w:rPr>
              <w:fldChar w:fldCharType="separate"/>
            </w:r>
            <w:r>
              <w:rPr>
                <w:spacing w:val="6"/>
                <w:lang w:eastAsia="zh-CN" w:bidi="ar"/>
              </w:rPr>
              <w:t>3</w:t>
            </w:r>
            <w:r>
              <w:rPr>
                <w:spacing w:val="6"/>
                <w:lang w:eastAsia="zh-CN" w:bidi="ar"/>
              </w:rPr>
              <w:fldChar w:fldCharType="end"/>
            </w:r>
            <w:r>
              <w:rPr>
                <w:rFonts w:hint="eastAsia"/>
                <w:spacing w:val="6"/>
                <w:lang w:eastAsia="zh-CN" w:bidi="ar"/>
              </w:rPr>
              <w:t>）</w:t>
            </w:r>
            <w:r>
              <w:rPr>
                <w:rFonts w:hint="eastAsia"/>
                <w:lang w:eastAsia="zh-CN"/>
              </w:rPr>
              <w:t>与《山东省环境保护条例》（</w:t>
            </w:r>
            <w:r>
              <w:rPr>
                <w:lang w:eastAsia="zh-CN"/>
              </w:rPr>
              <w:t>2018.11.30</w:t>
            </w:r>
            <w:r>
              <w:rPr>
                <w:rFonts w:hint="eastAsia"/>
                <w:lang w:eastAsia="zh-CN"/>
              </w:rPr>
              <w:t>修订）的符合性分析</w:t>
            </w:r>
          </w:p>
          <w:p>
            <w:pPr>
              <w:pStyle w:val="62"/>
            </w:pPr>
            <w:r>
              <w:rPr>
                <w:rFonts w:hint="eastAsia"/>
              </w:rPr>
              <w:t xml:space="preserve">表 </w:t>
            </w:r>
            <w:r>
              <w:fldChar w:fldCharType="begin"/>
            </w:r>
            <w:r>
              <w:instrText xml:space="preserve"> </w:instrText>
            </w:r>
            <w:r>
              <w:rPr>
                <w:rFonts w:hint="eastAsia"/>
              </w:rPr>
              <w:instrText xml:space="preserve">SEQ 表格 \* ARABIC</w:instrText>
            </w:r>
            <w:r>
              <w:instrText xml:space="preserve"> </w:instrText>
            </w:r>
            <w:r>
              <w:fldChar w:fldCharType="separate"/>
            </w:r>
            <w:r>
              <w:t>4</w:t>
            </w:r>
            <w:r>
              <w:fldChar w:fldCharType="end"/>
            </w:r>
            <w:r>
              <w:rPr>
                <w:rFonts w:hint="eastAsia"/>
              </w:rPr>
              <w:t>与《山东省环境保护条例》符合性分析</w:t>
            </w:r>
            <w:r>
              <w:t>一览表</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67"/>
              <w:gridCol w:w="6375"/>
              <w:gridCol w:w="20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16" w:type="pct"/>
                  <w:vAlign w:val="center"/>
                </w:tcPr>
                <w:p>
                  <w:pPr>
                    <w:pStyle w:val="60"/>
                    <w:rPr>
                      <w:sz w:val="21"/>
                      <w:szCs w:val="21"/>
                    </w:rPr>
                  </w:pPr>
                  <w:r>
                    <w:rPr>
                      <w:rFonts w:hint="eastAsia"/>
                      <w:sz w:val="21"/>
                      <w:szCs w:val="21"/>
                    </w:rPr>
                    <w:t>分类</w:t>
                  </w:r>
                </w:p>
              </w:tc>
              <w:tc>
                <w:tcPr>
                  <w:tcW w:w="3553" w:type="pct"/>
                  <w:vAlign w:val="center"/>
                </w:tcPr>
                <w:p>
                  <w:pPr>
                    <w:pStyle w:val="60"/>
                    <w:rPr>
                      <w:sz w:val="21"/>
                      <w:szCs w:val="21"/>
                    </w:rPr>
                  </w:pPr>
                  <w:r>
                    <w:rPr>
                      <w:rFonts w:hint="eastAsia"/>
                      <w:sz w:val="21"/>
                      <w:szCs w:val="21"/>
                    </w:rPr>
                    <w:t>文件要求</w:t>
                  </w:r>
                </w:p>
              </w:tc>
              <w:tc>
                <w:tcPr>
                  <w:tcW w:w="1131" w:type="pct"/>
                  <w:vAlign w:val="center"/>
                </w:tcPr>
                <w:p>
                  <w:pPr>
                    <w:pStyle w:val="60"/>
                    <w:rPr>
                      <w:sz w:val="21"/>
                      <w:szCs w:val="21"/>
                    </w:rPr>
                  </w:pPr>
                  <w:r>
                    <w:rPr>
                      <w:rFonts w:hint="eastAsia"/>
                      <w:sz w:val="21"/>
                      <w:szCs w:val="21"/>
                    </w:rPr>
                    <w:t>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16" w:type="pct"/>
                  <w:vMerge w:val="restart"/>
                  <w:vAlign w:val="center"/>
                </w:tcPr>
                <w:p>
                  <w:pPr>
                    <w:pStyle w:val="60"/>
                    <w:rPr>
                      <w:sz w:val="21"/>
                      <w:szCs w:val="21"/>
                    </w:rPr>
                  </w:pPr>
                  <w:r>
                    <w:rPr>
                      <w:rFonts w:hint="eastAsia"/>
                      <w:sz w:val="21"/>
                      <w:szCs w:val="21"/>
                    </w:rPr>
                    <w:t>防治污染和其他公害</w:t>
                  </w:r>
                </w:p>
              </w:tc>
              <w:tc>
                <w:tcPr>
                  <w:tcW w:w="3553" w:type="pct"/>
                  <w:vAlign w:val="center"/>
                </w:tcPr>
                <w:p>
                  <w:pPr>
                    <w:widowControl/>
                    <w:spacing w:line="288" w:lineRule="auto"/>
                    <w:jc w:val="left"/>
                    <w:rPr>
                      <w:sz w:val="21"/>
                      <w:szCs w:val="21"/>
                      <w:lang w:bidi="ar"/>
                    </w:rPr>
                  </w:pPr>
                  <w:r>
                    <w:rPr>
                      <w:rFonts w:hint="eastAsia"/>
                      <w:sz w:val="21"/>
                      <w:szCs w:val="21"/>
                      <w:lang w:bidi="ar"/>
                    </w:rPr>
                    <w:t>县级以上人民政府应当根据产业结构调整和产业布局优化的要求，引导工业企业入驻工业园区；新建有污染物排放的工业项目，除在安全生等方面有特殊要求的以外，应当进入工业园区者工业集聚区。</w:t>
                  </w:r>
                </w:p>
              </w:tc>
              <w:tc>
                <w:tcPr>
                  <w:tcW w:w="1131" w:type="pct"/>
                  <w:vAlign w:val="center"/>
                </w:tcPr>
                <w:p>
                  <w:pPr>
                    <w:pStyle w:val="60"/>
                    <w:rPr>
                      <w:sz w:val="21"/>
                      <w:szCs w:val="21"/>
                    </w:rPr>
                  </w:pPr>
                  <w:r>
                    <w:rPr>
                      <w:rFonts w:hint="eastAsia"/>
                      <w:sz w:val="21"/>
                      <w:szCs w:val="21"/>
                      <w:lang w:bidi="ar"/>
                    </w:rPr>
                    <w:t>本项目位于山亭区徐庄镇水城子村以北、S343线以西现有厂区内，位于规划建材工业集聚区内，为建设用地</w:t>
                  </w:r>
                  <w:r>
                    <w:rPr>
                      <w:rFonts w:hint="eastAsia"/>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16" w:type="pct"/>
                  <w:vMerge w:val="continue"/>
                </w:tcPr>
                <w:p>
                  <w:pPr>
                    <w:pStyle w:val="60"/>
                    <w:rPr>
                      <w:sz w:val="21"/>
                      <w:szCs w:val="21"/>
                    </w:rPr>
                  </w:pPr>
                </w:p>
              </w:tc>
              <w:tc>
                <w:tcPr>
                  <w:tcW w:w="3553" w:type="pct"/>
                  <w:vAlign w:val="center"/>
                </w:tcPr>
                <w:p>
                  <w:pPr>
                    <w:widowControl/>
                    <w:spacing w:line="288" w:lineRule="auto"/>
                    <w:jc w:val="left"/>
                    <w:rPr>
                      <w:sz w:val="21"/>
                      <w:szCs w:val="21"/>
                      <w:lang w:bidi="ar"/>
                    </w:rPr>
                  </w:pPr>
                  <w:r>
                    <w:rPr>
                      <w:rFonts w:hint="eastAsia"/>
                      <w:sz w:val="21"/>
                      <w:szCs w:val="21"/>
                      <w:lang w:bidi="ar"/>
                    </w:rPr>
                    <w:t>排污单位应当采取措施，防止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131" w:type="pct"/>
                  <w:vAlign w:val="center"/>
                </w:tcPr>
                <w:p>
                  <w:pPr>
                    <w:pStyle w:val="60"/>
                    <w:rPr>
                      <w:sz w:val="21"/>
                      <w:szCs w:val="21"/>
                    </w:rPr>
                  </w:pPr>
                  <w:r>
                    <w:rPr>
                      <w:rFonts w:hint="eastAsia"/>
                      <w:sz w:val="21"/>
                      <w:szCs w:val="21"/>
                    </w:rPr>
                    <w:t>拟建项目污染物排放均能满足要求。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16" w:type="pct"/>
                  <w:vMerge w:val="continue"/>
                </w:tcPr>
                <w:p>
                  <w:pPr>
                    <w:pStyle w:val="60"/>
                    <w:rPr>
                      <w:sz w:val="21"/>
                      <w:szCs w:val="21"/>
                    </w:rPr>
                  </w:pPr>
                </w:p>
              </w:tc>
              <w:tc>
                <w:tcPr>
                  <w:tcW w:w="3553" w:type="pct"/>
                  <w:vAlign w:val="center"/>
                </w:tcPr>
                <w:p>
                  <w:pPr>
                    <w:widowControl/>
                    <w:spacing w:line="288" w:lineRule="auto"/>
                    <w:jc w:val="left"/>
                    <w:rPr>
                      <w:sz w:val="21"/>
                      <w:szCs w:val="21"/>
                      <w:lang w:bidi="ar"/>
                    </w:rPr>
                  </w:pPr>
                  <w:r>
                    <w:rPr>
                      <w:rFonts w:hint="eastAsia"/>
                      <w:sz w:val="21"/>
                      <w:szCs w:val="21"/>
                      <w:lang w:bidi="ar"/>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w:t>
                  </w:r>
                  <w:r>
                    <w:rPr>
                      <w:sz w:val="21"/>
                      <w:szCs w:val="21"/>
                      <w:lang w:bidi="ar"/>
                    </w:rPr>
                    <w:t xml:space="preserve"> </w:t>
                  </w:r>
                  <w:r>
                    <w:rPr>
                      <w:rFonts w:hint="eastAsia"/>
                      <w:sz w:val="21"/>
                      <w:szCs w:val="21"/>
                      <w:lang w:bidi="ar"/>
                    </w:rPr>
                    <w:t>并向社会公布。</w:t>
                  </w:r>
                </w:p>
              </w:tc>
              <w:tc>
                <w:tcPr>
                  <w:tcW w:w="1131" w:type="pct"/>
                  <w:vAlign w:val="center"/>
                </w:tcPr>
                <w:p>
                  <w:pPr>
                    <w:pStyle w:val="60"/>
                    <w:rPr>
                      <w:sz w:val="21"/>
                      <w:szCs w:val="21"/>
                    </w:rPr>
                  </w:pPr>
                  <w:r>
                    <w:rPr>
                      <w:rFonts w:hint="eastAsia"/>
                      <w:sz w:val="21"/>
                      <w:szCs w:val="21"/>
                    </w:rPr>
                    <w:t>拟建项目企业不属于重点排污单位。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16" w:type="pct"/>
                  <w:vMerge w:val="continue"/>
                </w:tcPr>
                <w:p>
                  <w:pPr>
                    <w:pStyle w:val="60"/>
                    <w:rPr>
                      <w:sz w:val="21"/>
                      <w:szCs w:val="21"/>
                    </w:rPr>
                  </w:pPr>
                </w:p>
              </w:tc>
              <w:tc>
                <w:tcPr>
                  <w:tcW w:w="3553" w:type="pct"/>
                  <w:vAlign w:val="center"/>
                </w:tcPr>
                <w:p>
                  <w:pPr>
                    <w:widowControl/>
                    <w:spacing w:line="288" w:lineRule="auto"/>
                    <w:jc w:val="left"/>
                    <w:rPr>
                      <w:sz w:val="21"/>
                      <w:szCs w:val="21"/>
                      <w:lang w:bidi="ar"/>
                    </w:rPr>
                  </w:pPr>
                  <w:r>
                    <w:rPr>
                      <w:rFonts w:hint="eastAsia"/>
                      <w:sz w:val="21"/>
                      <w:szCs w:val="21"/>
                      <w:lang w:bidi="ar"/>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禁止在重点防控区域内新建、改建、搬迁增加重金属污染物排放总量的建设项目。</w:t>
                  </w:r>
                </w:p>
              </w:tc>
              <w:tc>
                <w:tcPr>
                  <w:tcW w:w="1131" w:type="pct"/>
                  <w:vAlign w:val="center"/>
                </w:tcPr>
                <w:p>
                  <w:pPr>
                    <w:pStyle w:val="60"/>
                    <w:rPr>
                      <w:sz w:val="21"/>
                      <w:szCs w:val="21"/>
                    </w:rPr>
                  </w:pPr>
                  <w:r>
                    <w:rPr>
                      <w:rFonts w:hint="eastAsia"/>
                      <w:sz w:val="21"/>
                      <w:szCs w:val="21"/>
                    </w:rPr>
                    <w:t>拟建项目不涉及重金属产生及排放。</w:t>
                  </w:r>
                </w:p>
              </w:tc>
            </w:tr>
          </w:tbl>
          <w:p>
            <w:pPr>
              <w:pStyle w:val="69"/>
              <w:ind w:left="48" w:right="48"/>
              <w:rPr>
                <w:lang w:eastAsia="zh-CN"/>
              </w:rPr>
            </w:pPr>
            <w:r>
              <w:rPr>
                <w:rFonts w:hint="eastAsia"/>
                <w:lang w:eastAsia="zh-CN" w:bidi="ar"/>
              </w:rPr>
              <w:t>（</w:t>
            </w:r>
            <w:r>
              <w:rPr>
                <w:lang w:bidi="ar"/>
              </w:rPr>
              <w:fldChar w:fldCharType="begin"/>
            </w:r>
            <w:r>
              <w:rPr>
                <w:lang w:eastAsia="zh-CN" w:bidi="ar"/>
              </w:rPr>
              <w:instrText xml:space="preserve"> SEQ N \* ARABIC </w:instrText>
            </w:r>
            <w:r>
              <w:rPr>
                <w:lang w:bidi="ar"/>
              </w:rPr>
              <w:fldChar w:fldCharType="separate"/>
            </w:r>
            <w:r>
              <w:rPr>
                <w:lang w:eastAsia="zh-CN" w:bidi="ar"/>
              </w:rPr>
              <w:t>4</w:t>
            </w:r>
            <w:r>
              <w:rPr>
                <w:lang w:bidi="ar"/>
              </w:rPr>
              <w:fldChar w:fldCharType="end"/>
            </w:r>
            <w:r>
              <w:rPr>
                <w:rFonts w:hint="eastAsia"/>
                <w:lang w:eastAsia="zh-CN" w:bidi="ar"/>
              </w:rPr>
              <w:t>）</w:t>
            </w:r>
            <w:r>
              <w:rPr>
                <w:lang w:eastAsia="zh-CN"/>
              </w:rPr>
              <w:t>与山东省深入打好蓝天保卫战行动计划（2021-2025年）符合性分析</w:t>
            </w:r>
          </w:p>
          <w:p>
            <w:pPr>
              <w:pStyle w:val="320"/>
            </w:pPr>
            <w:r>
              <w:rPr>
                <w:rFonts w:hint="eastAsia"/>
              </w:rPr>
              <w:t xml:space="preserve">表 </w:t>
            </w:r>
            <w:r>
              <w:fldChar w:fldCharType="begin"/>
            </w:r>
            <w:r>
              <w:instrText xml:space="preserve"> </w:instrText>
            </w:r>
            <w:r>
              <w:rPr>
                <w:rFonts w:hint="eastAsia"/>
              </w:rPr>
              <w:instrText xml:space="preserve">SEQ 表格 \* ARABIC</w:instrText>
            </w:r>
            <w:r>
              <w:instrText xml:space="preserve"> </w:instrText>
            </w:r>
            <w:r>
              <w:fldChar w:fldCharType="separate"/>
            </w:r>
            <w:r>
              <w:t>7</w:t>
            </w:r>
            <w:r>
              <w:fldChar w:fldCharType="end"/>
            </w:r>
            <w:r>
              <w:t>与山东省深入打好蓝天保卫战行动计划符合性分析</w:t>
            </w:r>
            <w:r>
              <w:rPr>
                <w:rFonts w:hint="eastAsia"/>
              </w:rPr>
              <w:t>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75"/>
              <w:gridCol w:w="1559"/>
              <w:gridCol w:w="10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3" w:type="pct"/>
                  <w:vAlign w:val="center"/>
                </w:tcPr>
                <w:p>
                  <w:pPr>
                    <w:jc w:val="center"/>
                    <w:rPr>
                      <w:sz w:val="21"/>
                      <w:szCs w:val="21"/>
                    </w:rPr>
                  </w:pPr>
                  <w:r>
                    <w:rPr>
                      <w:rFonts w:hint="eastAsia"/>
                      <w:sz w:val="21"/>
                      <w:szCs w:val="21"/>
                    </w:rPr>
                    <w:t>通知内容</w:t>
                  </w:r>
                </w:p>
              </w:tc>
              <w:tc>
                <w:tcPr>
                  <w:tcW w:w="869" w:type="pct"/>
                  <w:vAlign w:val="center"/>
                </w:tcPr>
                <w:p>
                  <w:pPr>
                    <w:jc w:val="center"/>
                    <w:rPr>
                      <w:sz w:val="21"/>
                      <w:szCs w:val="21"/>
                    </w:rPr>
                  </w:pPr>
                  <w:r>
                    <w:rPr>
                      <w:rFonts w:hint="eastAsia"/>
                      <w:sz w:val="21"/>
                      <w:szCs w:val="21"/>
                    </w:rPr>
                    <w:t>项目情况</w:t>
                  </w:r>
                </w:p>
              </w:tc>
              <w:tc>
                <w:tcPr>
                  <w:tcW w:w="578" w:type="pct"/>
                  <w:vAlign w:val="center"/>
                </w:tcPr>
                <w:p>
                  <w:pPr>
                    <w:jc w:val="center"/>
                    <w:rPr>
                      <w:sz w:val="21"/>
                      <w:szCs w:val="21"/>
                    </w:rPr>
                  </w:pPr>
                  <w:r>
                    <w:rPr>
                      <w:rFonts w:hint="eastAsia"/>
                      <w:sz w:val="21"/>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3" w:type="pct"/>
                  <w:vAlign w:val="center"/>
                </w:tcPr>
                <w:p>
                  <w:pPr>
                    <w:widowControl/>
                    <w:spacing w:line="288" w:lineRule="auto"/>
                    <w:jc w:val="left"/>
                    <w:rPr>
                      <w:sz w:val="21"/>
                      <w:szCs w:val="21"/>
                      <w:lang w:bidi="ar"/>
                    </w:rPr>
                  </w:pPr>
                  <w:r>
                    <w:rPr>
                      <w:sz w:val="21"/>
                      <w:szCs w:val="21"/>
                      <w:lang w:bidi="ar"/>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w:t>
                  </w:r>
                </w:p>
              </w:tc>
              <w:tc>
                <w:tcPr>
                  <w:tcW w:w="869" w:type="pct"/>
                  <w:vMerge w:val="restart"/>
                  <w:vAlign w:val="center"/>
                </w:tcPr>
                <w:p>
                  <w:pPr>
                    <w:widowControl/>
                    <w:spacing w:line="288" w:lineRule="auto"/>
                    <w:jc w:val="center"/>
                    <w:rPr>
                      <w:sz w:val="21"/>
                      <w:szCs w:val="21"/>
                      <w:lang w:bidi="ar"/>
                    </w:rPr>
                  </w:pPr>
                  <w:r>
                    <w:rPr>
                      <w:rFonts w:hint="eastAsia"/>
                      <w:sz w:val="21"/>
                      <w:szCs w:val="21"/>
                      <w:lang w:bidi="ar"/>
                    </w:rPr>
                    <w:t>项目主不使用煤炭等燃料，污染物达标排放。</w:t>
                  </w:r>
                </w:p>
              </w:tc>
              <w:tc>
                <w:tcPr>
                  <w:tcW w:w="578" w:type="pct"/>
                  <w:vAlign w:val="center"/>
                </w:tcPr>
                <w:p>
                  <w:pPr>
                    <w:pStyle w:val="60"/>
                    <w:rPr>
                      <w:sz w:val="21"/>
                      <w:szCs w:val="21"/>
                    </w:rPr>
                  </w:pPr>
                  <w:r>
                    <w:rPr>
                      <w:rFonts w:hint="eastAsia"/>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3" w:type="pct"/>
                  <w:vAlign w:val="center"/>
                </w:tcPr>
                <w:p>
                  <w:pPr>
                    <w:widowControl/>
                    <w:spacing w:line="288" w:lineRule="auto"/>
                    <w:jc w:val="left"/>
                    <w:rPr>
                      <w:sz w:val="21"/>
                      <w:szCs w:val="21"/>
                      <w:lang w:bidi="ar"/>
                    </w:rPr>
                  </w:pPr>
                  <w:r>
                    <w:rPr>
                      <w:sz w:val="21"/>
                      <w:szCs w:val="21"/>
                      <w:lang w:bidi="ar"/>
                    </w:rPr>
                    <w:t>持续压减煤炭消费总量，“十四五”期间，全省煤炭消费总量下降10%，控制在3.5亿吨左右。对以煤、石油焦、渣油、重油等为燃料的工业炉窑，加快使用工厂余热、电厂热力、清洁能源等进行替代。新、改、扩建熔化炉、加热炉、热处理炉、干燥炉原则上使用清洁低碳能源，不得使用煤炭、重油。</w:t>
                  </w:r>
                </w:p>
              </w:tc>
              <w:tc>
                <w:tcPr>
                  <w:tcW w:w="869" w:type="pct"/>
                  <w:vMerge w:val="continue"/>
                  <w:vAlign w:val="center"/>
                </w:tcPr>
                <w:p>
                  <w:pPr>
                    <w:widowControl/>
                    <w:spacing w:line="288" w:lineRule="auto"/>
                    <w:jc w:val="center"/>
                    <w:rPr>
                      <w:sz w:val="21"/>
                      <w:szCs w:val="21"/>
                      <w:lang w:bidi="ar"/>
                    </w:rPr>
                  </w:pPr>
                </w:p>
              </w:tc>
              <w:tc>
                <w:tcPr>
                  <w:tcW w:w="578" w:type="pct"/>
                  <w:vAlign w:val="center"/>
                </w:tcPr>
                <w:p>
                  <w:pPr>
                    <w:pStyle w:val="60"/>
                    <w:rPr>
                      <w:sz w:val="21"/>
                      <w:szCs w:val="21"/>
                    </w:rPr>
                  </w:pPr>
                  <w:r>
                    <w:rPr>
                      <w:rFonts w:hint="eastAsia"/>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3" w:type="pct"/>
                  <w:vAlign w:val="center"/>
                </w:tcPr>
                <w:p>
                  <w:pPr>
                    <w:widowControl/>
                    <w:spacing w:line="288" w:lineRule="auto"/>
                    <w:jc w:val="left"/>
                    <w:rPr>
                      <w:sz w:val="21"/>
                      <w:szCs w:val="21"/>
                      <w:lang w:bidi="ar"/>
                    </w:rPr>
                  </w:pPr>
                  <w:r>
                    <w:rPr>
                      <w:sz w:val="21"/>
                      <w:szCs w:val="21"/>
                      <w:lang w:bidi="ar"/>
                    </w:rPr>
                    <w:t>实施低VOCs含量工业涂料、油墨、胶粘剂、清洗剂等原辅料使用替代。新、改、扩建工业涂装、包装印刷等含VOCs原辅材料使用的项目，原则上使用低（无）VOCs含量产品</w:t>
                  </w:r>
                  <w:r>
                    <w:rPr>
                      <w:rFonts w:hint="eastAsia"/>
                      <w:sz w:val="21"/>
                      <w:szCs w:val="21"/>
                      <w:lang w:bidi="ar"/>
                    </w:rPr>
                    <w:t>。</w:t>
                  </w:r>
                </w:p>
              </w:tc>
              <w:tc>
                <w:tcPr>
                  <w:tcW w:w="869" w:type="pct"/>
                  <w:vAlign w:val="center"/>
                </w:tcPr>
                <w:p>
                  <w:pPr>
                    <w:widowControl/>
                    <w:spacing w:line="288" w:lineRule="auto"/>
                    <w:jc w:val="center"/>
                    <w:rPr>
                      <w:sz w:val="21"/>
                      <w:szCs w:val="21"/>
                      <w:lang w:bidi="ar"/>
                    </w:rPr>
                  </w:pPr>
                  <w:r>
                    <w:rPr>
                      <w:rFonts w:hint="eastAsia"/>
                      <w:sz w:val="21"/>
                      <w:szCs w:val="21"/>
                      <w:lang w:bidi="ar"/>
                    </w:rPr>
                    <w:t>项目不涉及</w:t>
                  </w:r>
                  <w:r>
                    <w:rPr>
                      <w:sz w:val="21"/>
                      <w:szCs w:val="21"/>
                      <w:lang w:bidi="ar"/>
                    </w:rPr>
                    <w:t>VOCs</w:t>
                  </w:r>
                  <w:r>
                    <w:rPr>
                      <w:rFonts w:hint="eastAsia"/>
                      <w:sz w:val="21"/>
                      <w:szCs w:val="21"/>
                      <w:lang w:bidi="ar"/>
                    </w:rPr>
                    <w:t>原料使用。</w:t>
                  </w:r>
                </w:p>
              </w:tc>
              <w:tc>
                <w:tcPr>
                  <w:tcW w:w="578" w:type="pct"/>
                  <w:vAlign w:val="center"/>
                </w:tcPr>
                <w:p>
                  <w:pPr>
                    <w:pStyle w:val="60"/>
                    <w:rPr>
                      <w:sz w:val="21"/>
                      <w:szCs w:val="21"/>
                    </w:rPr>
                  </w:pPr>
                  <w:r>
                    <w:rPr>
                      <w:rFonts w:hint="eastAsia"/>
                      <w:sz w:val="21"/>
                      <w:szCs w:val="21"/>
                    </w:rPr>
                    <w:t>符合</w:t>
                  </w:r>
                </w:p>
              </w:tc>
            </w:tr>
          </w:tbl>
          <w:p>
            <w:pPr>
              <w:pStyle w:val="69"/>
              <w:ind w:left="48" w:right="48"/>
              <w:rPr>
                <w:lang w:eastAsia="zh-CN"/>
              </w:rPr>
            </w:pPr>
            <w:r>
              <w:rPr>
                <w:rFonts w:hint="eastAsia"/>
                <w:lang w:eastAsia="zh-CN"/>
              </w:rPr>
              <w:t>（</w:t>
            </w:r>
            <w:r>
              <w:fldChar w:fldCharType="begin"/>
            </w:r>
            <w:r>
              <w:rPr>
                <w:lang w:eastAsia="zh-CN"/>
              </w:rPr>
              <w:instrText xml:space="preserve"> SEQ N \* ARABIC </w:instrText>
            </w:r>
            <w:r>
              <w:fldChar w:fldCharType="separate"/>
            </w:r>
            <w:r>
              <w:rPr>
                <w:lang w:eastAsia="zh-CN"/>
              </w:rPr>
              <w:t>5</w:t>
            </w:r>
            <w:r>
              <w:fldChar w:fldCharType="end"/>
            </w:r>
            <w:r>
              <w:rPr>
                <w:rFonts w:hint="eastAsia"/>
                <w:lang w:eastAsia="zh-CN"/>
              </w:rPr>
              <w:t>）与《</w:t>
            </w:r>
            <w:r>
              <w:rPr>
                <w:lang w:eastAsia="zh-CN"/>
              </w:rPr>
              <w:t>预拌混凝土绿色生产及管理技术规程</w:t>
            </w:r>
            <w:r>
              <w:rPr>
                <w:rFonts w:hint="eastAsia"/>
                <w:lang w:eastAsia="zh-CN"/>
              </w:rPr>
              <w:t>》（</w:t>
            </w:r>
            <w:r>
              <w:rPr>
                <w:lang w:eastAsia="zh-CN"/>
              </w:rPr>
              <w:t>JGJ/T 328-2014</w:t>
            </w:r>
            <w:r>
              <w:rPr>
                <w:rFonts w:hint="eastAsia"/>
                <w:lang w:eastAsia="zh-CN"/>
              </w:rPr>
              <w:t>）符合性分析</w:t>
            </w:r>
          </w:p>
          <w:p>
            <w:pPr>
              <w:pStyle w:val="320"/>
            </w:pPr>
            <w:r>
              <w:rPr>
                <w:rFonts w:eastAsia="新宋体"/>
              </w:rPr>
              <w:t xml:space="preserve">表 </w:t>
            </w:r>
            <w:r>
              <w:rPr>
                <w:rFonts w:eastAsia="新宋体"/>
                <w:lang w:eastAsia="en-US"/>
              </w:rPr>
              <w:fldChar w:fldCharType="begin"/>
            </w:r>
            <w:r>
              <w:rPr>
                <w:rFonts w:eastAsia="新宋体"/>
              </w:rPr>
              <w:instrText xml:space="preserve"> SEQ 表格 \* ARABIC </w:instrText>
            </w:r>
            <w:r>
              <w:rPr>
                <w:rFonts w:eastAsia="新宋体"/>
                <w:lang w:eastAsia="en-US"/>
              </w:rPr>
              <w:fldChar w:fldCharType="separate"/>
            </w:r>
            <w:r>
              <w:rPr>
                <w:rFonts w:eastAsia="新宋体"/>
              </w:rPr>
              <w:t>7</w:t>
            </w:r>
            <w:r>
              <w:rPr>
                <w:rFonts w:eastAsia="新宋体"/>
                <w:lang w:eastAsia="en-US"/>
              </w:rPr>
              <w:fldChar w:fldCharType="end"/>
            </w:r>
            <w:r>
              <w:t xml:space="preserve"> </w:t>
            </w:r>
            <w:r>
              <w:rPr>
                <w:rFonts w:hint="eastAsia"/>
              </w:rPr>
              <w:t>与《</w:t>
            </w:r>
            <w:bookmarkStart w:id="4" w:name="_Hlk157029555"/>
            <w:r>
              <w:rPr>
                <w:rFonts w:hint="eastAsia"/>
              </w:rPr>
              <w:t>预拌混凝土绿色生产及技术管理规程</w:t>
            </w:r>
            <w:bookmarkEnd w:id="4"/>
            <w:r>
              <w:rPr>
                <w:rFonts w:hint="eastAsia"/>
              </w:rPr>
              <w:t>》符合性分析一览表</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6" w:type="dxa"/>
                <w:bottom w:w="0" w:type="dxa"/>
                <w:right w:w="6" w:type="dxa"/>
              </w:tblCellMar>
            </w:tblPr>
            <w:tblGrid>
              <w:gridCol w:w="578"/>
              <w:gridCol w:w="4950"/>
              <w:gridCol w:w="2673"/>
              <w:gridCol w:w="7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510" w:hRule="atLeast"/>
              </w:trPr>
              <w:tc>
                <w:tcPr>
                  <w:tcW w:w="322" w:type="pct"/>
                  <w:vAlign w:val="center"/>
                </w:tcPr>
                <w:p>
                  <w:pPr>
                    <w:pStyle w:val="68"/>
                    <w:spacing w:before="24" w:after="24"/>
                    <w:ind w:left="24" w:right="24"/>
                  </w:pPr>
                  <w:r>
                    <w:rPr>
                      <w:rFonts w:hint="eastAsia"/>
                    </w:rPr>
                    <w:t>条款</w:t>
                  </w:r>
                </w:p>
              </w:tc>
              <w:tc>
                <w:tcPr>
                  <w:tcW w:w="2759" w:type="pct"/>
                  <w:vAlign w:val="center"/>
                </w:tcPr>
                <w:p>
                  <w:pPr>
                    <w:pStyle w:val="68"/>
                    <w:spacing w:before="24" w:after="24"/>
                    <w:ind w:left="24" w:right="24"/>
                  </w:pPr>
                  <w:r>
                    <w:rPr>
                      <w:rFonts w:hint="eastAsia"/>
                    </w:rPr>
                    <w:t>规范要求</w:t>
                  </w:r>
                </w:p>
              </w:tc>
              <w:tc>
                <w:tcPr>
                  <w:tcW w:w="1490" w:type="pct"/>
                  <w:vAlign w:val="center"/>
                </w:tcPr>
                <w:p>
                  <w:pPr>
                    <w:pStyle w:val="68"/>
                    <w:spacing w:before="24" w:after="24"/>
                    <w:ind w:left="24" w:right="24"/>
                  </w:pPr>
                  <w:r>
                    <w:rPr>
                      <w:rFonts w:hint="eastAsia"/>
                    </w:rPr>
                    <w:t>本项目建设情况</w:t>
                  </w:r>
                </w:p>
              </w:tc>
              <w:tc>
                <w:tcPr>
                  <w:tcW w:w="429" w:type="pct"/>
                  <w:vAlign w:val="center"/>
                </w:tcPr>
                <w:p>
                  <w:pPr>
                    <w:pStyle w:val="68"/>
                    <w:spacing w:before="24" w:after="24"/>
                    <w:ind w:left="24" w:right="24"/>
                  </w:pPr>
                  <w:r>
                    <w:rPr>
                      <w:rFonts w:hint="eastAsia"/>
                    </w:rPr>
                    <w:t>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1401" w:hRule="atLeast"/>
              </w:trPr>
              <w:tc>
                <w:tcPr>
                  <w:tcW w:w="322" w:type="pct"/>
                  <w:vAlign w:val="center"/>
                </w:tcPr>
                <w:p>
                  <w:pPr>
                    <w:pStyle w:val="68"/>
                    <w:spacing w:before="24" w:after="24"/>
                    <w:ind w:left="24" w:right="24"/>
                  </w:pPr>
                  <w:r>
                    <w:t>3.2.1</w:t>
                  </w:r>
                </w:p>
              </w:tc>
              <w:tc>
                <w:tcPr>
                  <w:tcW w:w="2759" w:type="pct"/>
                  <w:vAlign w:val="center"/>
                </w:tcPr>
                <w:p>
                  <w:pPr>
                    <w:pStyle w:val="68"/>
                    <w:spacing w:before="24" w:after="24"/>
                    <w:ind w:left="24" w:right="24"/>
                    <w:jc w:val="left"/>
                  </w:pPr>
                  <w:r>
                    <w:rPr>
                      <w:rFonts w:hint="eastAsia"/>
                    </w:rPr>
                    <w:t>厂区内的生产区、办公区和生活区宜分区布置，可采取下列隔离措施降低生产区对生活区和办公区的环境影响：</w:t>
                  </w:r>
                  <w:r>
                    <w:t>1</w:t>
                  </w:r>
                  <w:r>
                    <w:rPr>
                      <w:rFonts w:hint="eastAsia"/>
                    </w:rPr>
                    <w:t>、可设置围墙和声屏障，或种植乔木和灌木来减弱或组织粉尘和噪声传播；</w:t>
                  </w:r>
                  <w:r>
                    <w:t>2</w:t>
                  </w:r>
                  <w:r>
                    <w:rPr>
                      <w:rFonts w:hint="eastAsia"/>
                    </w:rPr>
                    <w:t>、可设置绿化带来规范引导人员和车辆流动。</w:t>
                  </w:r>
                </w:p>
              </w:tc>
              <w:tc>
                <w:tcPr>
                  <w:tcW w:w="1490" w:type="pct"/>
                  <w:vAlign w:val="center"/>
                </w:tcPr>
                <w:p>
                  <w:pPr>
                    <w:pStyle w:val="68"/>
                    <w:spacing w:before="24" w:after="24"/>
                    <w:ind w:left="24" w:right="24"/>
                    <w:jc w:val="left"/>
                  </w:pPr>
                  <w:r>
                    <w:rPr>
                      <w:rFonts w:hint="eastAsia"/>
                    </w:rPr>
                    <w:t>本项目生产区与办公生活区完全分开，搅拌楼全密闭。</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510" w:hRule="atLeast"/>
              </w:trPr>
              <w:tc>
                <w:tcPr>
                  <w:tcW w:w="322" w:type="pct"/>
                  <w:vAlign w:val="center"/>
                </w:tcPr>
                <w:p>
                  <w:pPr>
                    <w:pStyle w:val="68"/>
                    <w:spacing w:before="24" w:after="24"/>
                    <w:ind w:left="24" w:right="24"/>
                  </w:pPr>
                  <w:r>
                    <w:t>3.2.2</w:t>
                  </w:r>
                </w:p>
              </w:tc>
              <w:tc>
                <w:tcPr>
                  <w:tcW w:w="2759" w:type="pct"/>
                  <w:vAlign w:val="center"/>
                </w:tcPr>
                <w:p>
                  <w:pPr>
                    <w:pStyle w:val="68"/>
                    <w:spacing w:before="24" w:after="24"/>
                    <w:ind w:left="24" w:right="24"/>
                    <w:jc w:val="left"/>
                  </w:pPr>
                  <w:r>
                    <w:rPr>
                      <w:rFonts w:hint="eastAsia"/>
                    </w:rPr>
                    <w:t>厂区内道路应硬化，功能满足生产和运输要求</w:t>
                  </w:r>
                </w:p>
              </w:tc>
              <w:tc>
                <w:tcPr>
                  <w:tcW w:w="1490" w:type="pct"/>
                  <w:vAlign w:val="center"/>
                </w:tcPr>
                <w:p>
                  <w:pPr>
                    <w:pStyle w:val="68"/>
                    <w:spacing w:before="24" w:after="24"/>
                    <w:ind w:left="24" w:right="24"/>
                    <w:jc w:val="left"/>
                  </w:pPr>
                  <w:r>
                    <w:rPr>
                      <w:rFonts w:hint="eastAsia"/>
                    </w:rPr>
                    <w:t>厂区道路采用水泥硬化。</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512" w:hRule="atLeast"/>
              </w:trPr>
              <w:tc>
                <w:tcPr>
                  <w:tcW w:w="322" w:type="pct"/>
                  <w:tcBorders>
                    <w:bottom w:val="nil"/>
                  </w:tcBorders>
                  <w:vAlign w:val="center"/>
                </w:tcPr>
                <w:p>
                  <w:pPr>
                    <w:pStyle w:val="68"/>
                    <w:spacing w:before="24" w:after="24"/>
                    <w:ind w:left="24" w:right="24"/>
                  </w:pPr>
                  <w:r>
                    <w:t>3.2.3</w:t>
                  </w:r>
                </w:p>
              </w:tc>
              <w:tc>
                <w:tcPr>
                  <w:tcW w:w="2759" w:type="pct"/>
                  <w:tcBorders>
                    <w:bottom w:val="nil"/>
                  </w:tcBorders>
                  <w:vAlign w:val="center"/>
                </w:tcPr>
                <w:p>
                  <w:pPr>
                    <w:pStyle w:val="68"/>
                    <w:spacing w:before="24" w:after="24"/>
                    <w:ind w:left="24" w:right="24"/>
                    <w:jc w:val="left"/>
                  </w:pPr>
                  <w:r>
                    <w:rPr>
                      <w:rFonts w:hint="eastAsia"/>
                    </w:rPr>
                    <w:t>厂区内未硬化的空地应进行绿化或采取其他防止扬尘措施，且应保持卫生清洁</w:t>
                  </w:r>
                </w:p>
              </w:tc>
              <w:tc>
                <w:tcPr>
                  <w:tcW w:w="1490" w:type="pct"/>
                  <w:vAlign w:val="center"/>
                </w:tcPr>
                <w:p>
                  <w:pPr>
                    <w:pStyle w:val="68"/>
                    <w:spacing w:before="24" w:after="24"/>
                    <w:ind w:left="24" w:right="24"/>
                    <w:jc w:val="left"/>
                  </w:pPr>
                  <w:r>
                    <w:rPr>
                      <w:rFonts w:hint="eastAsia"/>
                    </w:rPr>
                    <w:t>本项目未硬化的裸土空地进行绿化；厂区内设置洒水车对厂区进行洒水降尘。</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510" w:hRule="atLeast"/>
              </w:trPr>
              <w:tc>
                <w:tcPr>
                  <w:tcW w:w="322" w:type="pct"/>
                  <w:vAlign w:val="center"/>
                </w:tcPr>
                <w:p>
                  <w:pPr>
                    <w:pStyle w:val="68"/>
                    <w:spacing w:before="24" w:after="24"/>
                    <w:ind w:left="24" w:right="24"/>
                  </w:pPr>
                  <w:r>
                    <w:t>3.2.4</w:t>
                  </w:r>
                </w:p>
              </w:tc>
              <w:tc>
                <w:tcPr>
                  <w:tcW w:w="2759" w:type="pct"/>
                  <w:vAlign w:val="center"/>
                </w:tcPr>
                <w:p>
                  <w:pPr>
                    <w:pStyle w:val="68"/>
                    <w:spacing w:before="24" w:after="24"/>
                    <w:ind w:left="24" w:right="24"/>
                    <w:jc w:val="left"/>
                  </w:pPr>
                  <w:r>
                    <w:rPr>
                      <w:rFonts w:hint="eastAsia"/>
                    </w:rPr>
                    <w:t>生产区应设置生产废弃物存放处。生产类废弃物应分类存放，集中处理</w:t>
                  </w:r>
                </w:p>
              </w:tc>
              <w:tc>
                <w:tcPr>
                  <w:tcW w:w="1490" w:type="pct"/>
                  <w:vAlign w:val="center"/>
                </w:tcPr>
                <w:p>
                  <w:pPr>
                    <w:pStyle w:val="68"/>
                    <w:spacing w:before="24" w:after="24"/>
                    <w:ind w:left="24" w:right="24"/>
                    <w:jc w:val="left"/>
                  </w:pPr>
                  <w:r>
                    <w:rPr>
                      <w:rFonts w:hint="eastAsia"/>
                    </w:rPr>
                    <w:t>生产区内设置有废弃物存放处。</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1167" w:hRule="atLeast"/>
              </w:trPr>
              <w:tc>
                <w:tcPr>
                  <w:tcW w:w="322" w:type="pct"/>
                  <w:vAlign w:val="center"/>
                </w:tcPr>
                <w:p>
                  <w:pPr>
                    <w:pStyle w:val="68"/>
                    <w:spacing w:before="24" w:after="24"/>
                    <w:ind w:left="24" w:right="24"/>
                  </w:pPr>
                  <w:r>
                    <w:t>3.2.5</w:t>
                  </w:r>
                </w:p>
              </w:tc>
              <w:tc>
                <w:tcPr>
                  <w:tcW w:w="2759" w:type="pct"/>
                  <w:vAlign w:val="center"/>
                </w:tcPr>
                <w:p>
                  <w:pPr>
                    <w:pStyle w:val="68"/>
                    <w:spacing w:before="24" w:after="24"/>
                    <w:ind w:left="24" w:right="24"/>
                    <w:jc w:val="left"/>
                  </w:pPr>
                  <w:r>
                    <w:rPr>
                      <w:rFonts w:hint="eastAsia"/>
                    </w:rPr>
                    <w:t>厂区内配备生产废水处置系统。宜建立雨水收集系统并有效利用。</w:t>
                  </w:r>
                </w:p>
              </w:tc>
              <w:tc>
                <w:tcPr>
                  <w:tcW w:w="1490" w:type="pct"/>
                  <w:vAlign w:val="center"/>
                </w:tcPr>
                <w:p>
                  <w:pPr>
                    <w:pStyle w:val="68"/>
                    <w:spacing w:before="24" w:after="24"/>
                    <w:ind w:left="24" w:right="24"/>
                    <w:jc w:val="left"/>
                  </w:pPr>
                  <w:r>
                    <w:rPr>
                      <w:rFonts w:hint="eastAsia"/>
                    </w:rPr>
                    <w:t>厂区生产废水经砂石分离及沉淀处理后循环使用。厂区建立雨水收集、利用系统。</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510" w:hRule="atLeast"/>
              </w:trPr>
              <w:tc>
                <w:tcPr>
                  <w:tcW w:w="322" w:type="pct"/>
                  <w:vAlign w:val="center"/>
                </w:tcPr>
                <w:p>
                  <w:pPr>
                    <w:pStyle w:val="68"/>
                    <w:spacing w:before="24" w:after="24"/>
                    <w:ind w:left="24" w:right="24"/>
                  </w:pPr>
                  <w:r>
                    <w:t>3.2.6</w:t>
                  </w:r>
                </w:p>
              </w:tc>
              <w:tc>
                <w:tcPr>
                  <w:tcW w:w="2759" w:type="pct"/>
                  <w:vAlign w:val="center"/>
                </w:tcPr>
                <w:p>
                  <w:pPr>
                    <w:pStyle w:val="68"/>
                    <w:spacing w:before="24" w:after="24"/>
                    <w:ind w:left="24" w:right="24"/>
                    <w:jc w:val="left"/>
                  </w:pPr>
                  <w:r>
                    <w:rPr>
                      <w:rFonts w:hint="eastAsia"/>
                    </w:rPr>
                    <w:t>厂区门前道路和环境应符合环境卫生、绿化和社会秩序要求。</w:t>
                  </w:r>
                </w:p>
              </w:tc>
              <w:tc>
                <w:tcPr>
                  <w:tcW w:w="1490" w:type="pct"/>
                  <w:vAlign w:val="center"/>
                </w:tcPr>
                <w:p>
                  <w:pPr>
                    <w:pStyle w:val="68"/>
                    <w:spacing w:before="24" w:after="24"/>
                    <w:ind w:left="24" w:right="24"/>
                    <w:jc w:val="left"/>
                  </w:pPr>
                  <w:r>
                    <w:rPr>
                      <w:rFonts w:hint="eastAsia"/>
                    </w:rPr>
                    <w:t>厂区内设有停车位，运输车辆不在场外道路停放。</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510" w:hRule="atLeast"/>
              </w:trPr>
              <w:tc>
                <w:tcPr>
                  <w:tcW w:w="322" w:type="pct"/>
                  <w:vAlign w:val="center"/>
                </w:tcPr>
                <w:p>
                  <w:pPr>
                    <w:pStyle w:val="68"/>
                    <w:spacing w:before="24" w:after="24"/>
                    <w:ind w:left="24" w:right="24"/>
                  </w:pPr>
                  <w:r>
                    <w:t>4.0.2</w:t>
                  </w:r>
                </w:p>
              </w:tc>
              <w:tc>
                <w:tcPr>
                  <w:tcW w:w="2759" w:type="pct"/>
                  <w:vAlign w:val="center"/>
                </w:tcPr>
                <w:p>
                  <w:pPr>
                    <w:pStyle w:val="68"/>
                    <w:spacing w:before="24" w:after="24"/>
                    <w:ind w:left="24" w:right="24"/>
                    <w:jc w:val="left"/>
                  </w:pPr>
                  <w:r>
                    <w:rPr>
                      <w:rFonts w:hint="eastAsia"/>
                    </w:rPr>
                    <w:t>搅拌站（楼）宜采用整体封闭方式。</w:t>
                  </w:r>
                </w:p>
              </w:tc>
              <w:tc>
                <w:tcPr>
                  <w:tcW w:w="1490" w:type="pct"/>
                  <w:vAlign w:val="center"/>
                </w:tcPr>
                <w:p>
                  <w:pPr>
                    <w:pStyle w:val="68"/>
                    <w:spacing w:before="24" w:after="24"/>
                    <w:ind w:left="24" w:right="24"/>
                    <w:jc w:val="left"/>
                  </w:pPr>
                  <w:r>
                    <w:rPr>
                      <w:rFonts w:hint="eastAsia"/>
                    </w:rPr>
                    <w:t>搅拌楼密闭。</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510" w:hRule="atLeast"/>
              </w:trPr>
              <w:tc>
                <w:tcPr>
                  <w:tcW w:w="322" w:type="pct"/>
                  <w:vAlign w:val="center"/>
                </w:tcPr>
                <w:p>
                  <w:pPr>
                    <w:pStyle w:val="68"/>
                    <w:spacing w:before="24" w:after="24"/>
                    <w:ind w:left="24" w:right="24"/>
                  </w:pPr>
                  <w:r>
                    <w:t>4.0.3</w:t>
                  </w:r>
                </w:p>
              </w:tc>
              <w:tc>
                <w:tcPr>
                  <w:tcW w:w="2759" w:type="pct"/>
                  <w:vAlign w:val="center"/>
                </w:tcPr>
                <w:p>
                  <w:pPr>
                    <w:pStyle w:val="68"/>
                    <w:spacing w:before="24" w:after="24"/>
                    <w:ind w:left="24" w:right="24"/>
                    <w:jc w:val="left"/>
                  </w:pPr>
                  <w:r>
                    <w:rPr>
                      <w:rFonts w:hint="eastAsia"/>
                    </w:rPr>
                    <w:t>搅拌站（楼）应安装除尘设施，并应保持正常使用。</w:t>
                  </w:r>
                </w:p>
              </w:tc>
              <w:tc>
                <w:tcPr>
                  <w:tcW w:w="1490" w:type="pct"/>
                  <w:vAlign w:val="center"/>
                </w:tcPr>
                <w:p>
                  <w:pPr>
                    <w:pStyle w:val="68"/>
                    <w:spacing w:before="24" w:after="24"/>
                    <w:ind w:left="24" w:right="24"/>
                    <w:jc w:val="left"/>
                  </w:pPr>
                  <w:r>
                    <w:rPr>
                      <w:rFonts w:hint="eastAsia"/>
                    </w:rPr>
                    <w:t>搅拌楼安装布袋除尘器。</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1167" w:hRule="atLeast"/>
              </w:trPr>
              <w:tc>
                <w:tcPr>
                  <w:tcW w:w="322" w:type="pct"/>
                  <w:vAlign w:val="center"/>
                </w:tcPr>
                <w:p>
                  <w:pPr>
                    <w:pStyle w:val="68"/>
                    <w:spacing w:before="24" w:after="24"/>
                    <w:ind w:left="24" w:right="24"/>
                  </w:pPr>
                  <w:r>
                    <w:t>4.0.4</w:t>
                  </w:r>
                </w:p>
              </w:tc>
              <w:tc>
                <w:tcPr>
                  <w:tcW w:w="2759" w:type="pct"/>
                  <w:vAlign w:val="center"/>
                </w:tcPr>
                <w:p>
                  <w:pPr>
                    <w:pStyle w:val="68"/>
                    <w:spacing w:before="24" w:after="24"/>
                    <w:ind w:left="24" w:right="24"/>
                    <w:jc w:val="left"/>
                  </w:pPr>
                  <w:r>
                    <w:rPr>
                      <w:rFonts w:hint="eastAsia"/>
                    </w:rPr>
                    <w:t>搅拌站（楼）的搅拌层和称量层宜设置水冲洗装置、冲洗产生的废水宜专用管道进入生产废水处置系统。</w:t>
                  </w:r>
                </w:p>
              </w:tc>
              <w:tc>
                <w:tcPr>
                  <w:tcW w:w="1490" w:type="pct"/>
                  <w:vAlign w:val="center"/>
                </w:tcPr>
                <w:p>
                  <w:pPr>
                    <w:pStyle w:val="68"/>
                    <w:spacing w:before="24" w:after="24"/>
                    <w:ind w:left="24" w:right="24"/>
                    <w:jc w:val="left"/>
                  </w:pPr>
                  <w:r>
                    <w:rPr>
                      <w:rFonts w:hint="eastAsia"/>
                    </w:rPr>
                    <w:t>设置水冲洗装置，冲洗产生的废水经砂石分离及沉淀处理后循环使用。</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933" w:hRule="atLeast"/>
              </w:trPr>
              <w:tc>
                <w:tcPr>
                  <w:tcW w:w="322" w:type="pct"/>
                  <w:vAlign w:val="center"/>
                </w:tcPr>
                <w:p>
                  <w:pPr>
                    <w:pStyle w:val="68"/>
                    <w:spacing w:before="24" w:after="24"/>
                    <w:ind w:left="24" w:right="24"/>
                  </w:pPr>
                  <w:r>
                    <w:t>4.0.5</w:t>
                  </w:r>
                </w:p>
              </w:tc>
              <w:tc>
                <w:tcPr>
                  <w:tcW w:w="2759" w:type="pct"/>
                  <w:vAlign w:val="center"/>
                </w:tcPr>
                <w:p>
                  <w:pPr>
                    <w:pStyle w:val="68"/>
                    <w:spacing w:before="24" w:after="24"/>
                    <w:ind w:left="24" w:right="24"/>
                    <w:jc w:val="left"/>
                  </w:pPr>
                  <w:r>
                    <w:rPr>
                      <w:rFonts w:hint="eastAsia"/>
                    </w:rPr>
                    <w:t>搅拌主机卸料口应设置防喷溅设施。装料区域的地面和墙壁应保持清洁卫生。</w:t>
                  </w:r>
                </w:p>
              </w:tc>
              <w:tc>
                <w:tcPr>
                  <w:tcW w:w="1490" w:type="pct"/>
                  <w:vAlign w:val="center"/>
                </w:tcPr>
                <w:p>
                  <w:pPr>
                    <w:pStyle w:val="68"/>
                    <w:spacing w:before="24" w:after="24"/>
                    <w:ind w:left="24" w:right="24"/>
                    <w:jc w:val="left"/>
                  </w:pPr>
                  <w:r>
                    <w:rPr>
                      <w:rFonts w:hint="eastAsia"/>
                    </w:rPr>
                    <w:t>搅拌主机卸料口配备防喷溅设施，搅拌机配套设置布袋除尘器收集粉尘，地面设置专门人员清扫。</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700" w:hRule="atLeast"/>
              </w:trPr>
              <w:tc>
                <w:tcPr>
                  <w:tcW w:w="322" w:type="pct"/>
                  <w:vAlign w:val="center"/>
                </w:tcPr>
                <w:p>
                  <w:pPr>
                    <w:pStyle w:val="68"/>
                    <w:spacing w:before="24" w:after="24"/>
                    <w:ind w:left="24" w:right="24"/>
                  </w:pPr>
                  <w:r>
                    <w:t>4.0.6</w:t>
                  </w:r>
                </w:p>
              </w:tc>
              <w:tc>
                <w:tcPr>
                  <w:tcW w:w="2759" w:type="pct"/>
                  <w:vAlign w:val="center"/>
                </w:tcPr>
                <w:p>
                  <w:pPr>
                    <w:pStyle w:val="68"/>
                    <w:spacing w:before="24" w:after="24"/>
                    <w:ind w:left="24" w:right="24"/>
                    <w:jc w:val="left"/>
                  </w:pPr>
                  <w:r>
                    <w:rPr>
                      <w:rFonts w:hint="eastAsia"/>
                    </w:rPr>
                    <w:t>粉料仓应标识清晰并配备料位控制系统，料位控制系统应定期检查维护。</w:t>
                  </w:r>
                </w:p>
              </w:tc>
              <w:tc>
                <w:tcPr>
                  <w:tcW w:w="1490" w:type="pct"/>
                  <w:vAlign w:val="center"/>
                </w:tcPr>
                <w:p>
                  <w:pPr>
                    <w:pStyle w:val="68"/>
                    <w:spacing w:before="24" w:after="24"/>
                    <w:ind w:left="24" w:right="24"/>
                    <w:jc w:val="left"/>
                  </w:pPr>
                  <w:r>
                    <w:rPr>
                      <w:rFonts w:hint="eastAsia"/>
                    </w:rPr>
                    <w:t>粉料罐仓桶标识清晰并配备料位控制系统，料位控制系统定期检查维护。</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933" w:hRule="atLeast"/>
              </w:trPr>
              <w:tc>
                <w:tcPr>
                  <w:tcW w:w="322" w:type="pct"/>
                  <w:vAlign w:val="center"/>
                </w:tcPr>
                <w:p>
                  <w:pPr>
                    <w:pStyle w:val="68"/>
                    <w:spacing w:before="24" w:after="24"/>
                    <w:ind w:left="24" w:right="24"/>
                  </w:pPr>
                  <w:r>
                    <w:t>4.0.7</w:t>
                  </w:r>
                </w:p>
              </w:tc>
              <w:tc>
                <w:tcPr>
                  <w:tcW w:w="2759" w:type="pct"/>
                  <w:vAlign w:val="center"/>
                </w:tcPr>
                <w:p>
                  <w:pPr>
                    <w:pStyle w:val="68"/>
                    <w:spacing w:before="24" w:after="24"/>
                    <w:ind w:left="24" w:right="24"/>
                    <w:jc w:val="left"/>
                  </w:pPr>
                  <w:r>
                    <w:rPr>
                      <w:rFonts w:hint="eastAsia"/>
                    </w:rPr>
                    <w:t>骨料堆场应符合下列规定：地面硬化并确保排水畅通；粗、细骨料应分隔堆放；</w:t>
                  </w:r>
                  <w:r>
                    <w:t xml:space="preserve"> </w:t>
                  </w:r>
                  <w:r>
                    <w:rPr>
                      <w:rFonts w:hint="eastAsia"/>
                    </w:rPr>
                    <w:t>骨料堆场宜建成封闭式堆场，宜安装喷淋抑尘装置。</w:t>
                  </w:r>
                </w:p>
              </w:tc>
              <w:tc>
                <w:tcPr>
                  <w:tcW w:w="1490" w:type="pct"/>
                  <w:vAlign w:val="center"/>
                </w:tcPr>
                <w:p>
                  <w:pPr>
                    <w:pStyle w:val="68"/>
                    <w:spacing w:before="24" w:after="24"/>
                    <w:ind w:left="24" w:right="24"/>
                    <w:jc w:val="left"/>
                  </w:pPr>
                  <w:r>
                    <w:rPr>
                      <w:rFonts w:hint="eastAsia"/>
                    </w:rPr>
                    <w:t>地面水泥硬化并确保排水通畅；粗、细骨料分隔堆放；堆场三面围挡加盖顶棚，安装喷淋抑尘装置。</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701" w:hRule="atLeast"/>
              </w:trPr>
              <w:tc>
                <w:tcPr>
                  <w:tcW w:w="322" w:type="pct"/>
                  <w:vAlign w:val="center"/>
                </w:tcPr>
                <w:p>
                  <w:pPr>
                    <w:pStyle w:val="68"/>
                    <w:spacing w:before="24" w:after="24"/>
                    <w:ind w:left="24" w:right="24"/>
                  </w:pPr>
                  <w:r>
                    <w:t>4.0.8</w:t>
                  </w:r>
                </w:p>
              </w:tc>
              <w:tc>
                <w:tcPr>
                  <w:tcW w:w="2759" w:type="pct"/>
                  <w:vAlign w:val="center"/>
                </w:tcPr>
                <w:p>
                  <w:pPr>
                    <w:pStyle w:val="68"/>
                    <w:spacing w:before="24" w:after="24"/>
                    <w:ind w:left="24" w:right="24"/>
                    <w:jc w:val="left"/>
                  </w:pPr>
                  <w:r>
                    <w:rPr>
                      <w:rFonts w:hint="eastAsia"/>
                    </w:rPr>
                    <w:t>配料地仓宜与骨料仓一起封闭，配料用皮带输送带宜侧面封闭且上部加盖。</w:t>
                  </w:r>
                </w:p>
              </w:tc>
              <w:tc>
                <w:tcPr>
                  <w:tcW w:w="1490" w:type="pct"/>
                  <w:vAlign w:val="center"/>
                </w:tcPr>
                <w:p>
                  <w:pPr>
                    <w:pStyle w:val="68"/>
                    <w:spacing w:before="24" w:after="24"/>
                    <w:ind w:left="24" w:right="24"/>
                    <w:jc w:val="left"/>
                  </w:pPr>
                  <w:r>
                    <w:rPr>
                      <w:rFonts w:hint="eastAsia"/>
                    </w:rPr>
                    <w:t>配料用皮带输送机、螺旋输送机，输送带密闭，输送机上料口设置喷淋系统。</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933" w:hRule="atLeast"/>
              </w:trPr>
              <w:tc>
                <w:tcPr>
                  <w:tcW w:w="322" w:type="pct"/>
                  <w:vAlign w:val="center"/>
                </w:tcPr>
                <w:p>
                  <w:pPr>
                    <w:pStyle w:val="68"/>
                    <w:spacing w:before="24" w:after="24"/>
                    <w:ind w:left="24" w:right="24"/>
                  </w:pPr>
                  <w:r>
                    <w:t>4.0.9</w:t>
                  </w:r>
                </w:p>
              </w:tc>
              <w:tc>
                <w:tcPr>
                  <w:tcW w:w="2759" w:type="pct"/>
                  <w:vAlign w:val="center"/>
                </w:tcPr>
                <w:p>
                  <w:pPr>
                    <w:pStyle w:val="68"/>
                    <w:spacing w:before="24" w:after="24"/>
                    <w:ind w:left="24" w:right="24"/>
                    <w:jc w:val="left"/>
                  </w:pPr>
                  <w:r>
                    <w:rPr>
                      <w:rFonts w:hint="eastAsia"/>
                    </w:rPr>
                    <w:t>废弃搅拌混凝土处置过程中产生的废水和废浆应通过专用管道进入生产废水和废浆处置系统。</w:t>
                  </w:r>
                </w:p>
              </w:tc>
              <w:tc>
                <w:tcPr>
                  <w:tcW w:w="1490" w:type="pct"/>
                  <w:vAlign w:val="center"/>
                </w:tcPr>
                <w:p>
                  <w:pPr>
                    <w:pStyle w:val="68"/>
                    <w:spacing w:before="24" w:after="24"/>
                    <w:ind w:left="24" w:right="24"/>
                    <w:jc w:val="left"/>
                  </w:pPr>
                  <w:r>
                    <w:rPr>
                      <w:rFonts w:hint="eastAsia"/>
                    </w:rPr>
                    <w:t>废弃搅拌混凝土处理过程中产生的废水经砂石分离及沉淀处理后循环使用，不外排。</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933" w:hRule="atLeast"/>
              </w:trPr>
              <w:tc>
                <w:tcPr>
                  <w:tcW w:w="322" w:type="pct"/>
                  <w:vAlign w:val="center"/>
                </w:tcPr>
                <w:p>
                  <w:pPr>
                    <w:pStyle w:val="68"/>
                    <w:spacing w:before="24" w:after="24"/>
                    <w:ind w:left="24" w:right="24"/>
                  </w:pPr>
                  <w:r>
                    <w:t>4.0.11</w:t>
                  </w:r>
                </w:p>
              </w:tc>
              <w:tc>
                <w:tcPr>
                  <w:tcW w:w="2759" w:type="pct"/>
                  <w:vAlign w:val="center"/>
                </w:tcPr>
                <w:p>
                  <w:pPr>
                    <w:pStyle w:val="68"/>
                    <w:spacing w:before="24" w:after="24"/>
                    <w:ind w:left="24" w:right="24"/>
                    <w:jc w:val="left"/>
                  </w:pPr>
                  <w:r>
                    <w:rPr>
                      <w:rFonts w:hint="eastAsia"/>
                    </w:rPr>
                    <w:t>预拌混凝土绿色生产应配备运输车清洗装置，冲洗产生的废水应通过专用管道进入生产废水处置系统。</w:t>
                  </w:r>
                </w:p>
              </w:tc>
              <w:tc>
                <w:tcPr>
                  <w:tcW w:w="1490" w:type="pct"/>
                  <w:vAlign w:val="center"/>
                </w:tcPr>
                <w:p>
                  <w:pPr>
                    <w:pStyle w:val="68"/>
                    <w:spacing w:before="24" w:after="24"/>
                    <w:ind w:left="24" w:right="24"/>
                    <w:jc w:val="left"/>
                  </w:pPr>
                  <w:r>
                    <w:rPr>
                      <w:rFonts w:hint="eastAsia"/>
                    </w:rPr>
                    <w:t>配备运输车清洗装置，冲洗产生的废水经砂石分离及沉淀处理后循环使用，不外排。</w:t>
                  </w:r>
                </w:p>
              </w:tc>
              <w:tc>
                <w:tcPr>
                  <w:tcW w:w="429" w:type="pct"/>
                  <w:vAlign w:val="center"/>
                </w:tcPr>
                <w:p>
                  <w:pPr>
                    <w:pStyle w:val="68"/>
                    <w:spacing w:before="24" w:after="24"/>
                    <w:ind w:left="24" w:right="24"/>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1634" w:hRule="atLeast"/>
              </w:trPr>
              <w:tc>
                <w:tcPr>
                  <w:tcW w:w="322" w:type="pct"/>
                  <w:vAlign w:val="center"/>
                </w:tcPr>
                <w:p>
                  <w:pPr>
                    <w:pStyle w:val="68"/>
                    <w:spacing w:before="24" w:after="24"/>
                    <w:ind w:left="24" w:right="24"/>
                  </w:pPr>
                  <w:r>
                    <w:t>5.2.1</w:t>
                  </w:r>
                </w:p>
              </w:tc>
              <w:tc>
                <w:tcPr>
                  <w:tcW w:w="2759" w:type="pct"/>
                  <w:vAlign w:val="center"/>
                </w:tcPr>
                <w:p>
                  <w:pPr>
                    <w:pStyle w:val="68"/>
                    <w:spacing w:before="24" w:after="24"/>
                    <w:ind w:left="24" w:right="24"/>
                    <w:jc w:val="left"/>
                  </w:pPr>
                  <w:r>
                    <w:rPr>
                      <w:rFonts w:hint="eastAsia"/>
                    </w:rPr>
                    <w:t>预拌混凝土绿色生产应配备完善的生产废水处置系统，可包括排水沟系统、多级沉淀池系统和管道系统。排水沟系统应覆盖连通搅拌站（楼）装车层、骨料堆场、砂石分离机和车辆清洗场等区域，</w:t>
                  </w:r>
                  <w:r>
                    <w:t xml:space="preserve"> </w:t>
                  </w:r>
                  <w:r>
                    <w:rPr>
                      <w:rFonts w:hint="eastAsia"/>
                    </w:rPr>
                    <w:t>并与多级沉淀池连接；管道系统可连接多级沉淀池和搅拌主机。</w:t>
                  </w:r>
                </w:p>
              </w:tc>
              <w:tc>
                <w:tcPr>
                  <w:tcW w:w="1490" w:type="pct"/>
                  <w:vAlign w:val="center"/>
                </w:tcPr>
                <w:p>
                  <w:pPr>
                    <w:pStyle w:val="68"/>
                    <w:spacing w:before="24" w:after="24"/>
                    <w:ind w:left="24" w:right="24"/>
                    <w:jc w:val="left"/>
                  </w:pPr>
                  <w:r>
                    <w:rPr>
                      <w:rFonts w:hint="eastAsia"/>
                    </w:rPr>
                    <w:t>修建有排水沟系统、沉淀池等。</w:t>
                  </w:r>
                </w:p>
              </w:tc>
              <w:tc>
                <w:tcPr>
                  <w:tcW w:w="429" w:type="pct"/>
                  <w:vAlign w:val="center"/>
                </w:tcPr>
                <w:p>
                  <w:pPr>
                    <w:pStyle w:val="68"/>
                    <w:spacing w:before="24" w:after="24"/>
                    <w:ind w:left="24" w:right="24"/>
                  </w:pPr>
                  <w:r>
                    <w:rPr>
                      <w:rFonts w:hint="eastAsia"/>
                    </w:rPr>
                    <w:t>符合</w:t>
                  </w:r>
                </w:p>
              </w:tc>
            </w:tr>
          </w:tbl>
          <w:p>
            <w:pPr>
              <w:pStyle w:val="63"/>
              <w:spacing w:before="240"/>
              <w:ind w:firstLine="480"/>
              <w:rPr>
                <w:b/>
              </w:rPr>
            </w:pPr>
            <w:r>
              <w:rPr>
                <w:rFonts w:hint="eastAsia"/>
              </w:rPr>
              <w:t>综上所述，本项目符合国家及省、市等地方环保要求。</w:t>
            </w:r>
          </w:p>
        </w:tc>
      </w:tr>
    </w:tbl>
    <w:p>
      <w:pPr>
        <w:pStyle w:val="69"/>
        <w:ind w:left="48" w:right="48"/>
        <w:rPr>
          <w:lang w:eastAsia="zh-CN"/>
        </w:rPr>
      </w:pPr>
      <w:bookmarkStart w:id="5" w:name="_Hlk73933557"/>
    </w:p>
    <w:p>
      <w:pPr>
        <w:keepNext/>
        <w:jc w:val="left"/>
        <w:outlineLvl w:val="0"/>
        <w:rPr>
          <w:rFonts w:eastAsia="黑体"/>
          <w:sz w:val="28"/>
          <w:szCs w:val="28"/>
        </w:rPr>
      </w:pPr>
      <w:r>
        <w:rPr>
          <w:rFonts w:hint="eastAsia" w:eastAsia="黑体"/>
          <w:sz w:val="28"/>
          <w:szCs w:val="28"/>
        </w:rPr>
        <w:t>二、建设项目工程分析</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2"/>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4" w:type="pct"/>
            <w:vAlign w:val="center"/>
          </w:tcPr>
          <w:p>
            <w:pPr>
              <w:pStyle w:val="68"/>
              <w:spacing w:before="24" w:after="24"/>
              <w:rPr>
                <w:color w:val="000000" w:themeColor="text1"/>
                <w:spacing w:val="20"/>
                <w:sz w:val="24"/>
                <w:szCs w:val="24"/>
                <w14:textFill>
                  <w14:solidFill>
                    <w14:schemeClr w14:val="tx1"/>
                  </w14:solidFill>
                </w14:textFill>
              </w:rPr>
            </w:pPr>
            <w:bookmarkStart w:id="6" w:name="_Hlk129868809"/>
            <w:bookmarkStart w:id="7" w:name="_Hlk97969038"/>
            <w:r>
              <w:rPr>
                <w:rFonts w:hint="eastAsia"/>
                <w:color w:val="000000" w:themeColor="text1"/>
                <w:spacing w:val="20"/>
                <w:sz w:val="24"/>
                <w:szCs w:val="24"/>
                <w14:textFill>
                  <w14:solidFill>
                    <w14:schemeClr w14:val="tx1"/>
                  </w14:solidFill>
                </w14:textFill>
              </w:rPr>
              <w:t>建设内容</w:t>
            </w:r>
          </w:p>
        </w:tc>
        <w:tc>
          <w:tcPr>
            <w:tcW w:w="4776" w:type="pct"/>
          </w:tcPr>
          <w:p>
            <w:pPr>
              <w:pStyle w:val="69"/>
              <w:ind w:left="48" w:right="48"/>
              <w:rPr>
                <w:b/>
                <w:bCs/>
                <w:lang w:eastAsia="zh-CN"/>
              </w:rPr>
            </w:pPr>
            <w:bookmarkStart w:id="8" w:name="_Hlk60489921"/>
            <w:r>
              <w:rPr>
                <w:b/>
                <w:bCs/>
              </w:rPr>
              <w:fldChar w:fldCharType="begin"/>
            </w:r>
            <w:r>
              <w:rPr>
                <w:b/>
                <w:bCs/>
                <w:lang w:eastAsia="zh-CN"/>
              </w:rPr>
              <w:instrText xml:space="preserve"> </w:instrText>
            </w:r>
            <w:r>
              <w:rPr>
                <w:rFonts w:hint="eastAsia"/>
                <w:b/>
                <w:bCs/>
                <w:lang w:eastAsia="zh-CN"/>
              </w:rPr>
              <w:instrText xml:space="preserve">SEQ 建设内容编号 \* ARABIC</w:instrText>
            </w:r>
            <w:r>
              <w:rPr>
                <w:b/>
                <w:bCs/>
                <w:lang w:eastAsia="zh-CN"/>
              </w:rPr>
              <w:instrText xml:space="preserve"> </w:instrText>
            </w:r>
            <w:r>
              <w:rPr>
                <w:b/>
                <w:bCs/>
              </w:rPr>
              <w:fldChar w:fldCharType="separate"/>
            </w:r>
            <w:r>
              <w:rPr>
                <w:b/>
                <w:bCs/>
                <w:lang w:eastAsia="zh-CN"/>
              </w:rPr>
              <w:t>1</w:t>
            </w:r>
            <w:r>
              <w:rPr>
                <w:b/>
                <w:bCs/>
              </w:rPr>
              <w:fldChar w:fldCharType="end"/>
            </w:r>
            <w:r>
              <w:rPr>
                <w:rFonts w:hint="eastAsia"/>
                <w:b/>
                <w:bCs/>
                <w:lang w:eastAsia="zh-CN"/>
              </w:rPr>
              <w:t>、项目由来及基本情况</w:t>
            </w:r>
          </w:p>
          <w:bookmarkEnd w:id="8"/>
          <w:p>
            <w:pPr>
              <w:pStyle w:val="69"/>
              <w:ind w:left="48" w:right="48"/>
              <w:rPr>
                <w:lang w:eastAsia="zh-CN"/>
              </w:rPr>
            </w:pPr>
            <w:bookmarkStart w:id="9" w:name="_Hlk116405982"/>
            <w:r>
              <w:rPr>
                <w:rFonts w:hint="eastAsia"/>
                <w:lang w:eastAsia="zh-CN"/>
              </w:rPr>
              <w:t>山东秀美汇鑫建材有限公司成立于2019年4月，注册资本为30000万元人民币，统一社会信用代码为91370406MA3PLPF46X。企业经营范围包含：水泥制品制造；水泥制品销售；隔热和隔音材料制造；砼结构构件制造等。</w:t>
            </w:r>
          </w:p>
          <w:p>
            <w:pPr>
              <w:pStyle w:val="69"/>
              <w:ind w:left="48" w:right="48"/>
              <w:rPr>
                <w:lang w:eastAsia="zh-CN"/>
              </w:rPr>
            </w:pPr>
            <w:r>
              <w:rPr>
                <w:rFonts w:hint="eastAsia"/>
                <w:lang w:eastAsia="zh-CN"/>
              </w:rPr>
              <w:t>为满足山亭区徐庄镇及周边区域混凝土市场需求，企业拟于山亭区徐庄镇水城子村以北、S343线以西现有厂区内建设年产</w:t>
            </w:r>
            <w:r>
              <w:rPr>
                <w:rFonts w:hint="eastAsia"/>
                <w:bCs/>
                <w:lang w:eastAsia="zh-CN"/>
              </w:rPr>
              <w:t>30万立方商品混凝土搅拌站</w:t>
            </w:r>
            <w:r>
              <w:rPr>
                <w:rFonts w:hint="eastAsia"/>
                <w:lang w:eastAsia="zh-CN"/>
              </w:rPr>
              <w:t>项目。</w:t>
            </w:r>
          </w:p>
          <w:bookmarkEnd w:id="9"/>
          <w:p>
            <w:pPr>
              <w:pStyle w:val="69"/>
              <w:ind w:left="48" w:right="48"/>
              <w:rPr>
                <w:lang w:eastAsia="zh-CN"/>
              </w:rPr>
            </w:pPr>
            <w:r>
              <w:rPr>
                <w:rFonts w:hint="eastAsia"/>
                <w:lang w:eastAsia="zh-CN"/>
              </w:rPr>
              <w:t>根据项目建设内容，经查询《建设项目环境影响评价分类管理名录（2021年版）》，项目类别为“</w:t>
            </w:r>
            <w:r>
              <w:rPr>
                <w:rFonts w:hint="eastAsia"/>
                <w:color w:val="000000" w:themeColor="text1"/>
                <w:lang w:eastAsia="zh-CN"/>
                <w14:textFill>
                  <w14:solidFill>
                    <w14:schemeClr w14:val="tx1"/>
                  </w14:solidFill>
                </w14:textFill>
              </w:rPr>
              <w:t>二十七、非金属矿物制品业，55石膏、水泥制品及类似制品制造302，商品混凝土；砼结构构件制造；水泥制品制造</w:t>
            </w:r>
            <w:r>
              <w:rPr>
                <w:rFonts w:hint="eastAsia"/>
                <w:lang w:eastAsia="zh-CN"/>
              </w:rPr>
              <w:t>”，应编制环境影响报告表。</w:t>
            </w:r>
          </w:p>
          <w:p>
            <w:pPr>
              <w:pStyle w:val="69"/>
              <w:ind w:left="48" w:right="48"/>
              <w:rPr>
                <w:lang w:eastAsia="zh-CN"/>
              </w:rPr>
            </w:pPr>
            <w:r>
              <w:rPr>
                <w:rFonts w:hint="eastAsia"/>
                <w:lang w:eastAsia="zh-CN"/>
              </w:rPr>
              <w:t>项目为未批先建项目，枣庄市生态环境局山亭分局于2024年1月23日出具了责令改正违法行为决定书，限期3个月内完善环保审批手续；2024年2月27日出具了行政处罚告知书；企业于2024年3月20日上交罚款，上交罚款后限期企业完善环保审批手续。</w:t>
            </w:r>
          </w:p>
          <w:p>
            <w:pPr>
              <w:pStyle w:val="69"/>
              <w:spacing w:before="120" w:beforeLines="50"/>
              <w:ind w:left="48" w:right="48"/>
              <w:rPr>
                <w:b/>
                <w:bCs/>
                <w:lang w:eastAsia="zh-CN"/>
              </w:rPr>
            </w:pPr>
            <w:r>
              <w:rPr>
                <w:b/>
                <w:bCs/>
                <w:lang w:eastAsia="zh-CN"/>
              </w:rPr>
              <w:fldChar w:fldCharType="begin"/>
            </w:r>
            <w:r>
              <w:rPr>
                <w:b/>
                <w:bCs/>
                <w:lang w:eastAsia="zh-CN"/>
              </w:rPr>
              <w:instrText xml:space="preserve"> </w:instrText>
            </w:r>
            <w:r>
              <w:rPr>
                <w:rFonts w:hint="eastAsia"/>
                <w:b/>
                <w:bCs/>
                <w:lang w:eastAsia="zh-CN"/>
              </w:rPr>
              <w:instrText xml:space="preserve">SEQ 建设内容编号 \* ARABIC</w:instrText>
            </w:r>
            <w:r>
              <w:rPr>
                <w:b/>
                <w:bCs/>
                <w:lang w:eastAsia="zh-CN"/>
              </w:rPr>
              <w:instrText xml:space="preserve"> </w:instrText>
            </w:r>
            <w:r>
              <w:rPr>
                <w:b/>
                <w:bCs/>
                <w:lang w:eastAsia="zh-CN"/>
              </w:rPr>
              <w:fldChar w:fldCharType="separate"/>
            </w:r>
            <w:r>
              <w:rPr>
                <w:b/>
                <w:bCs/>
                <w:lang w:eastAsia="zh-CN"/>
              </w:rPr>
              <w:t>2</w:t>
            </w:r>
            <w:r>
              <w:rPr>
                <w:b/>
                <w:bCs/>
                <w:lang w:eastAsia="zh-CN"/>
              </w:rPr>
              <w:fldChar w:fldCharType="end"/>
            </w:r>
            <w:r>
              <w:rPr>
                <w:rFonts w:hint="eastAsia"/>
                <w:b/>
                <w:bCs/>
                <w:lang w:eastAsia="zh-CN"/>
              </w:rPr>
              <w:t>、项目主要建设内容及项目组成</w:t>
            </w:r>
          </w:p>
          <w:p>
            <w:pPr>
              <w:pStyle w:val="69"/>
              <w:ind w:left="48" w:right="48"/>
              <w:rPr>
                <w:lang w:eastAsia="zh-CN"/>
              </w:rPr>
            </w:pPr>
            <w:r>
              <w:rPr>
                <w:rFonts w:hint="eastAsia"/>
                <w:lang w:eastAsia="zh-CN"/>
              </w:rPr>
              <w:t>项目总投资3</w:t>
            </w:r>
            <w:r>
              <w:rPr>
                <w:lang w:eastAsia="zh-CN"/>
              </w:rPr>
              <w:t>00</w:t>
            </w:r>
            <w:r>
              <w:rPr>
                <w:rFonts w:hint="eastAsia"/>
                <w:lang w:eastAsia="zh-CN"/>
              </w:rPr>
              <w:t>万元，环保投资3</w:t>
            </w:r>
            <w:r>
              <w:rPr>
                <w:lang w:eastAsia="zh-CN"/>
              </w:rPr>
              <w:t>0</w:t>
            </w:r>
            <w:r>
              <w:rPr>
                <w:rFonts w:hint="eastAsia"/>
                <w:lang w:eastAsia="zh-CN"/>
              </w:rPr>
              <w:t>万元</w:t>
            </w:r>
            <w:bookmarkStart w:id="10" w:name="_Hlk121902204"/>
            <w:r>
              <w:rPr>
                <w:rFonts w:hint="eastAsia"/>
                <w:lang w:eastAsia="zh-CN"/>
              </w:rPr>
              <w:t>，占地1</w:t>
            </w:r>
            <w:r>
              <w:rPr>
                <w:lang w:eastAsia="zh-CN"/>
              </w:rPr>
              <w:t>5333</w:t>
            </w:r>
            <w:r>
              <w:rPr>
                <w:rFonts w:hint="eastAsia"/>
                <w:lang w:eastAsia="zh-CN"/>
              </w:rPr>
              <w:t>平方米（2</w:t>
            </w:r>
            <w:r>
              <w:rPr>
                <w:lang w:eastAsia="zh-CN"/>
              </w:rPr>
              <w:t>3</w:t>
            </w:r>
            <w:r>
              <w:rPr>
                <w:rFonts w:hint="eastAsia"/>
                <w:lang w:eastAsia="zh-CN"/>
              </w:rPr>
              <w:t>亩）。项目在山亭区徐庄镇水城子村以北，S</w:t>
            </w:r>
            <w:r>
              <w:rPr>
                <w:lang w:eastAsia="zh-CN"/>
              </w:rPr>
              <w:t>343</w:t>
            </w:r>
            <w:r>
              <w:rPr>
                <w:rFonts w:hint="eastAsia"/>
                <w:lang w:eastAsia="zh-CN"/>
              </w:rPr>
              <w:t>线以西现有厂区内建设，不新征土地。购进安装 先进混凝土搅拌站、铲车、洗车平台等设备及环保设施建设商品混凝土生产线，主要原料为水泥、石子、沙子等，主要生产工艺为原料贮存输送、搅拌混合、产品运输等。项目建成后年产商品混凝土3</w:t>
            </w:r>
            <w:r>
              <w:rPr>
                <w:lang w:eastAsia="zh-CN"/>
              </w:rPr>
              <w:t>0</w:t>
            </w:r>
            <w:r>
              <w:rPr>
                <w:rFonts w:hint="eastAsia"/>
                <w:lang w:eastAsia="zh-CN"/>
              </w:rPr>
              <w:t>万立方米</w:t>
            </w:r>
            <w:r>
              <w:rPr>
                <w:rFonts w:hint="eastAsia"/>
                <w:bCs/>
                <w:lang w:eastAsia="zh-CN"/>
              </w:rPr>
              <w:t>。</w:t>
            </w:r>
          </w:p>
          <w:bookmarkEnd w:id="10"/>
          <w:p>
            <w:pPr>
              <w:pStyle w:val="69"/>
              <w:ind w:left="48" w:right="48"/>
              <w:rPr>
                <w:lang w:eastAsia="zh-CN"/>
              </w:rPr>
            </w:pPr>
            <w:r>
              <w:rPr>
                <w:rFonts w:hint="eastAsia"/>
                <w:lang w:eastAsia="zh-CN"/>
              </w:rPr>
              <w:t>项目组成情况见</w:t>
            </w:r>
            <w:r>
              <w:fldChar w:fldCharType="begin"/>
            </w:r>
            <w:r>
              <w:rPr>
                <w:lang w:eastAsia="zh-CN"/>
              </w:rPr>
              <w:instrText xml:space="preserve"> </w:instrText>
            </w:r>
            <w:r>
              <w:rPr>
                <w:rFonts w:hint="eastAsia"/>
                <w:lang w:eastAsia="zh-CN"/>
              </w:rPr>
              <w:instrText xml:space="preserve">REF _Ref97976419 \h</w:instrText>
            </w:r>
            <w:r>
              <w:rPr>
                <w:lang w:eastAsia="zh-CN"/>
              </w:rPr>
              <w:instrText xml:space="preserve">  \* MERGEFORMAT </w:instrText>
            </w:r>
            <w:r>
              <w:fldChar w:fldCharType="separate"/>
            </w:r>
            <w:r>
              <w:rPr>
                <w:rFonts w:hint="eastAsia"/>
                <w:lang w:eastAsia="zh-CN"/>
              </w:rPr>
              <w:t xml:space="preserve">表 </w:t>
            </w:r>
            <w:r>
              <w:rPr>
                <w:lang w:eastAsia="zh-CN"/>
              </w:rPr>
              <w:t>9</w:t>
            </w:r>
            <w:r>
              <w:fldChar w:fldCharType="end"/>
            </w:r>
            <w:r>
              <w:rPr>
                <w:rFonts w:hint="eastAsia"/>
                <w:lang w:eastAsia="zh-CN"/>
              </w:rPr>
              <w:t>。</w:t>
            </w:r>
          </w:p>
          <w:p>
            <w:pPr>
              <w:pStyle w:val="320"/>
              <w:rPr>
                <w:lang w:bidi="zh-CN"/>
              </w:rPr>
            </w:pPr>
            <w:bookmarkStart w:id="11" w:name="_Ref97976419"/>
            <w:r>
              <w:rPr>
                <w:rFonts w:hint="eastAsia"/>
                <w:lang w:bidi="zh-CN"/>
              </w:rPr>
              <w:t xml:space="preserve">表 </w:t>
            </w:r>
            <w:r>
              <w:rPr>
                <w:lang w:bidi="zh-CN"/>
              </w:rPr>
              <w:fldChar w:fldCharType="begin"/>
            </w:r>
            <w:r>
              <w:rPr>
                <w:lang w:bidi="zh-CN"/>
              </w:rPr>
              <w:instrText xml:space="preserve"> </w:instrText>
            </w:r>
            <w:r>
              <w:rPr>
                <w:rFonts w:hint="eastAsia"/>
                <w:lang w:bidi="zh-CN"/>
              </w:rPr>
              <w:instrText xml:space="preserve">SEQ 表格 \* ARABIC</w:instrText>
            </w:r>
            <w:r>
              <w:rPr>
                <w:lang w:bidi="zh-CN"/>
              </w:rPr>
              <w:instrText xml:space="preserve"> </w:instrText>
            </w:r>
            <w:r>
              <w:rPr>
                <w:lang w:bidi="zh-CN"/>
              </w:rPr>
              <w:fldChar w:fldCharType="separate"/>
            </w:r>
            <w:r>
              <w:rPr>
                <w:lang w:bidi="zh-CN"/>
              </w:rPr>
              <w:t>9</w:t>
            </w:r>
            <w:r>
              <w:rPr>
                <w:lang w:bidi="zh-CN"/>
              </w:rPr>
              <w:fldChar w:fldCharType="end"/>
            </w:r>
            <w:bookmarkEnd w:id="11"/>
            <w:r>
              <w:rPr>
                <w:lang w:bidi="zh-CN"/>
              </w:rPr>
              <w:t xml:space="preserve"> </w:t>
            </w:r>
            <w:r>
              <w:rPr>
                <w:rFonts w:hint="eastAsia"/>
                <w:lang w:bidi="zh-CN"/>
              </w:rPr>
              <w:t>项目工程组成一览表</w:t>
            </w:r>
          </w:p>
          <w:tbl>
            <w:tblPr>
              <w:tblStyle w:val="5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278"/>
              <w:gridCol w:w="1426"/>
              <w:gridCol w:w="1404"/>
              <w:gridCol w:w="3846"/>
              <w:gridCol w:w="10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shd w:val="clear" w:color="auto" w:fill="auto"/>
                  <w:vAlign w:val="center"/>
                </w:tcPr>
                <w:p>
                  <w:pPr>
                    <w:pStyle w:val="68"/>
                    <w:spacing w:before="24" w:after="24" w:line="245" w:lineRule="auto"/>
                    <w:ind w:left="24" w:right="24"/>
                  </w:pPr>
                  <w:r>
                    <w:rPr>
                      <w:rFonts w:hint="eastAsia"/>
                    </w:rPr>
                    <w:t>工程类别</w:t>
                  </w:r>
                </w:p>
              </w:tc>
              <w:tc>
                <w:tcPr>
                  <w:tcW w:w="793" w:type="pct"/>
                  <w:tcBorders>
                    <w:right w:val="single" w:color="auto" w:sz="4" w:space="0"/>
                  </w:tcBorders>
                  <w:shd w:val="clear" w:color="auto" w:fill="auto"/>
                  <w:vAlign w:val="center"/>
                </w:tcPr>
                <w:p>
                  <w:pPr>
                    <w:pStyle w:val="68"/>
                    <w:spacing w:before="24" w:after="24" w:line="245" w:lineRule="auto"/>
                    <w:ind w:left="24" w:right="24"/>
                  </w:pPr>
                  <w:r>
                    <w:t>项目名称</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pPr>
                  <w:r>
                    <w:rPr>
                      <w:rFonts w:hint="eastAsia"/>
                    </w:rPr>
                    <w:t>主要工程内容</w:t>
                  </w:r>
                </w:p>
              </w:tc>
              <w:tc>
                <w:tcPr>
                  <w:tcW w:w="576" w:type="pct"/>
                  <w:tcBorders>
                    <w:left w:val="single" w:color="auto" w:sz="4" w:space="0"/>
                  </w:tcBorders>
                  <w:shd w:val="clear" w:color="auto" w:fill="auto"/>
                  <w:vAlign w:val="center"/>
                </w:tcPr>
                <w:p>
                  <w:pPr>
                    <w:pStyle w:val="68"/>
                    <w:spacing w:before="24" w:after="24" w:line="245" w:lineRule="auto"/>
                    <w:ind w:left="24" w:right="24"/>
                  </w:pPr>
                  <w:r>
                    <w:rPr>
                      <w:rFonts w:hint="eastAsia"/>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shd w:val="clear" w:color="auto" w:fill="auto"/>
                  <w:vAlign w:val="center"/>
                </w:tcPr>
                <w:p>
                  <w:pPr>
                    <w:pStyle w:val="68"/>
                    <w:spacing w:before="24" w:after="24" w:line="245" w:lineRule="auto"/>
                    <w:ind w:left="24" w:right="24"/>
                  </w:pPr>
                  <w:r>
                    <w:t>主体工程</w:t>
                  </w:r>
                </w:p>
              </w:tc>
              <w:tc>
                <w:tcPr>
                  <w:tcW w:w="793" w:type="pct"/>
                  <w:tcBorders>
                    <w:right w:val="single" w:color="auto" w:sz="4" w:space="0"/>
                  </w:tcBorders>
                  <w:shd w:val="clear" w:color="auto" w:fill="auto"/>
                  <w:vAlign w:val="center"/>
                </w:tcPr>
                <w:p>
                  <w:pPr>
                    <w:pStyle w:val="68"/>
                    <w:spacing w:before="24" w:after="24" w:line="245" w:lineRule="auto"/>
                    <w:ind w:left="24" w:right="24"/>
                    <w:rPr>
                      <w:color w:val="000000" w:themeColor="text1"/>
                      <w14:textFill>
                        <w14:solidFill>
                          <w14:schemeClr w14:val="tx1"/>
                        </w14:solidFill>
                      </w14:textFill>
                    </w:rPr>
                  </w:pPr>
                  <w:r>
                    <w:rPr>
                      <w:rFonts w:hint="eastAsia"/>
                      <w:color w:val="000000" w:themeColor="text1"/>
                      <w14:textFill>
                        <w14:solidFill>
                          <w14:schemeClr w14:val="tx1"/>
                        </w14:solidFill>
                      </w14:textFill>
                    </w:rPr>
                    <w:t>封闭式搅拌楼</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rPr>
                      <w:color w:val="000000" w:themeColor="text1"/>
                      <w:vertAlign w:val="subscript"/>
                      <w14:textFill>
                        <w14:solidFill>
                          <w14:schemeClr w14:val="tx1"/>
                        </w14:solidFill>
                      </w14:textFill>
                    </w:rPr>
                  </w:pPr>
                  <w:r>
                    <w:rPr>
                      <w:color w:val="000000" w:themeColor="text1"/>
                      <w14:textFill>
                        <w14:solidFill>
                          <w14:schemeClr w14:val="tx1"/>
                        </w14:solidFill>
                      </w14:textFill>
                    </w:rPr>
                    <w:t>3F</w:t>
                  </w:r>
                  <w:r>
                    <w:rPr>
                      <w:rFonts w:hint="eastAsia"/>
                      <w:color w:val="000000" w:themeColor="text1"/>
                      <w14:textFill>
                        <w14:solidFill>
                          <w14:schemeClr w14:val="tx1"/>
                        </w14:solidFill>
                      </w14:textFill>
                    </w:rPr>
                    <w:t>，2座，钢结构，占地1</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，安装2套</w:t>
                  </w:r>
                  <w:r>
                    <w:rPr>
                      <w:color w:val="000000" w:themeColor="text1"/>
                      <w14:textFill>
                        <w14:solidFill>
                          <w14:schemeClr w14:val="tx1"/>
                        </w14:solidFill>
                      </w14:textFill>
                    </w:rPr>
                    <w:t>HZS180</w:t>
                  </w:r>
                  <w:r>
                    <w:rPr>
                      <w:rFonts w:hint="eastAsia"/>
                      <w:color w:val="000000" w:themeColor="text1"/>
                      <w14:textFill>
                        <w14:solidFill>
                          <w14:schemeClr w14:val="tx1"/>
                        </w14:solidFill>
                      </w14:textFill>
                    </w:rPr>
                    <w:t>混凝土搅拌主机。</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restart"/>
                  <w:shd w:val="clear" w:color="auto" w:fill="auto"/>
                  <w:vAlign w:val="center"/>
                </w:tcPr>
                <w:p>
                  <w:pPr>
                    <w:pStyle w:val="68"/>
                    <w:spacing w:before="24" w:after="24" w:line="245" w:lineRule="auto"/>
                    <w:ind w:left="24" w:right="24"/>
                  </w:pPr>
                  <w:r>
                    <w:rPr>
                      <w:rFonts w:hint="eastAsia"/>
                    </w:rPr>
                    <w:t>储运工程</w:t>
                  </w:r>
                </w:p>
              </w:tc>
              <w:tc>
                <w:tcPr>
                  <w:tcW w:w="793" w:type="pct"/>
                  <w:tcBorders>
                    <w:right w:val="single" w:color="auto" w:sz="4" w:space="0"/>
                  </w:tcBorders>
                  <w:shd w:val="clear" w:color="auto" w:fill="auto"/>
                  <w:vAlign w:val="center"/>
                </w:tcPr>
                <w:p>
                  <w:pPr>
                    <w:pStyle w:val="68"/>
                    <w:spacing w:before="24" w:after="24" w:line="245" w:lineRule="auto"/>
                    <w:ind w:left="24" w:right="24"/>
                    <w:rPr>
                      <w:color w:val="000000" w:themeColor="text1"/>
                      <w14:textFill>
                        <w14:solidFill>
                          <w14:schemeClr w14:val="tx1"/>
                        </w14:solidFill>
                      </w14:textFill>
                    </w:rPr>
                  </w:pPr>
                  <w:r>
                    <w:rPr>
                      <w:rFonts w:hint="eastAsia"/>
                      <w:color w:val="000000" w:themeColor="text1"/>
                      <w14:textFill>
                        <w14:solidFill>
                          <w14:schemeClr w14:val="tx1"/>
                        </w14:solidFill>
                      </w14:textFill>
                    </w:rPr>
                    <w:t>封闭式原料库（砂石料仓）</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rPr>
                      <w:color w:val="000000" w:themeColor="text1"/>
                      <w14:textFill>
                        <w14:solidFill>
                          <w14:schemeClr w14:val="tx1"/>
                        </w14:solidFill>
                      </w14:textFill>
                    </w:rPr>
                  </w:pPr>
                  <w:r>
                    <w:rPr>
                      <w:color w:val="000000" w:themeColor="text1"/>
                      <w14:textFill>
                        <w14:solidFill>
                          <w14:schemeClr w14:val="tx1"/>
                        </w14:solidFill>
                      </w14:textFill>
                    </w:rPr>
                    <w:t>1F</w:t>
                  </w:r>
                  <w:r>
                    <w:rPr>
                      <w:rFonts w:hint="eastAsia"/>
                      <w:color w:val="000000" w:themeColor="text1"/>
                      <w14:textFill>
                        <w14:solidFill>
                          <w14:schemeClr w14:val="tx1"/>
                        </w14:solidFill>
                      </w14:textFill>
                    </w:rPr>
                    <w:t>，高8</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m，砖混及钢结构，占地1</w:t>
                  </w:r>
                  <w:r>
                    <w:rPr>
                      <w:color w:val="000000" w:themeColor="text1"/>
                      <w14:textFill>
                        <w14:solidFill>
                          <w14:schemeClr w14:val="tx1"/>
                        </w14:solidFill>
                      </w14:textFill>
                    </w:rPr>
                    <w:t>2000</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continue"/>
                  <w:shd w:val="clear" w:color="auto" w:fill="auto"/>
                  <w:vAlign w:val="center"/>
                </w:tcPr>
                <w:p>
                  <w:pPr>
                    <w:pStyle w:val="68"/>
                    <w:spacing w:before="24" w:after="24" w:line="245" w:lineRule="auto"/>
                    <w:ind w:left="24" w:right="24"/>
                  </w:pPr>
                </w:p>
              </w:tc>
              <w:tc>
                <w:tcPr>
                  <w:tcW w:w="793" w:type="pct"/>
                  <w:tcBorders>
                    <w:right w:val="single" w:color="auto" w:sz="4" w:space="0"/>
                  </w:tcBorders>
                  <w:shd w:val="clear" w:color="auto" w:fill="auto"/>
                  <w:vAlign w:val="center"/>
                </w:tcPr>
                <w:p>
                  <w:pPr>
                    <w:pStyle w:val="68"/>
                    <w:spacing w:before="24" w:after="24" w:line="245" w:lineRule="auto"/>
                    <w:ind w:left="24" w:right="24"/>
                    <w:rPr>
                      <w:color w:val="000000" w:themeColor="text1"/>
                      <w14:textFill>
                        <w14:solidFill>
                          <w14:schemeClr w14:val="tx1"/>
                        </w14:solidFill>
                      </w14:textFill>
                    </w:rPr>
                  </w:pPr>
                  <w:r>
                    <w:rPr>
                      <w:rFonts w:hint="eastAsia"/>
                      <w:color w:val="000000" w:themeColor="text1"/>
                      <w14:textFill>
                        <w14:solidFill>
                          <w14:schemeClr w14:val="tx1"/>
                        </w14:solidFill>
                      </w14:textFill>
                    </w:rPr>
                    <w:t>粉料筒仓</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个粉料筒仓储存水泥、矿粉、粉煤灰等粉状物料，单个容量1</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吨（以水泥密度1</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估算）。</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continue"/>
                  <w:shd w:val="clear" w:color="auto" w:fill="auto"/>
                  <w:vAlign w:val="center"/>
                </w:tcPr>
                <w:p>
                  <w:pPr>
                    <w:pStyle w:val="68"/>
                    <w:spacing w:before="24" w:after="24" w:line="245" w:lineRule="auto"/>
                    <w:ind w:left="24" w:right="24"/>
                  </w:pPr>
                </w:p>
              </w:tc>
              <w:tc>
                <w:tcPr>
                  <w:tcW w:w="793" w:type="pct"/>
                  <w:tcBorders>
                    <w:right w:val="single" w:color="auto" w:sz="4" w:space="0"/>
                  </w:tcBorders>
                  <w:shd w:val="clear" w:color="auto" w:fill="auto"/>
                  <w:vAlign w:val="center"/>
                </w:tcPr>
                <w:p>
                  <w:pPr>
                    <w:pStyle w:val="68"/>
                    <w:spacing w:before="24" w:after="24" w:line="245" w:lineRule="auto"/>
                    <w:ind w:left="24" w:right="24"/>
                    <w:rPr>
                      <w:color w:val="000000" w:themeColor="text1"/>
                      <w14:textFill>
                        <w14:solidFill>
                          <w14:schemeClr w14:val="tx1"/>
                        </w14:solidFill>
                      </w14:textFill>
                    </w:rPr>
                  </w:pPr>
                  <w:r>
                    <w:rPr>
                      <w:rFonts w:hint="eastAsia"/>
                      <w:color w:val="000000" w:themeColor="text1"/>
                      <w14:textFill>
                        <w14:solidFill>
                          <w14:schemeClr w14:val="tx1"/>
                        </w14:solidFill>
                      </w14:textFill>
                    </w:rPr>
                    <w:t>外加剂储罐</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项目建设外加剂储罐2个，位于搅拌机下层，设置溢流围堰，并作防渗处理。</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continue"/>
                  <w:shd w:val="clear" w:color="auto" w:fill="auto"/>
                  <w:vAlign w:val="center"/>
                </w:tcPr>
                <w:p>
                  <w:pPr>
                    <w:pStyle w:val="68"/>
                    <w:spacing w:before="24" w:after="24" w:line="245" w:lineRule="auto"/>
                    <w:ind w:left="24" w:right="24"/>
                  </w:pPr>
                </w:p>
              </w:tc>
              <w:tc>
                <w:tcPr>
                  <w:tcW w:w="793" w:type="pct"/>
                  <w:tcBorders>
                    <w:right w:val="single" w:color="auto" w:sz="4" w:space="0"/>
                  </w:tcBorders>
                  <w:shd w:val="clear" w:color="auto" w:fill="auto"/>
                  <w:vAlign w:val="center"/>
                </w:tcPr>
                <w:p>
                  <w:pPr>
                    <w:pStyle w:val="68"/>
                    <w:spacing w:before="24" w:after="24" w:line="245" w:lineRule="auto"/>
                    <w:ind w:left="24" w:right="24"/>
                    <w:rPr>
                      <w:color w:val="000000" w:themeColor="text1"/>
                      <w14:textFill>
                        <w14:solidFill>
                          <w14:schemeClr w14:val="tx1"/>
                        </w14:solidFill>
                      </w14:textFill>
                    </w:rPr>
                  </w:pPr>
                  <w:r>
                    <w:rPr>
                      <w:rFonts w:hint="eastAsia"/>
                      <w:color w:val="000000" w:themeColor="text1"/>
                      <w14:textFill>
                        <w14:solidFill>
                          <w14:schemeClr w14:val="tx1"/>
                        </w14:solidFill>
                      </w14:textFill>
                    </w:rPr>
                    <w:t>地磅房</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rPr>
                      <w:color w:val="000000" w:themeColor="text1"/>
                      <w14:textFill>
                        <w14:solidFill>
                          <w14:schemeClr w14:val="tx1"/>
                        </w14:solidFill>
                      </w14:textFill>
                    </w:rPr>
                  </w:pPr>
                  <w:r>
                    <w:rPr>
                      <w:color w:val="000000" w:themeColor="text1"/>
                      <w14:textFill>
                        <w14:solidFill>
                          <w14:schemeClr w14:val="tx1"/>
                        </w14:solidFill>
                      </w14:textFill>
                    </w:rPr>
                    <w:t>1F</w:t>
                  </w:r>
                  <w:r>
                    <w:rPr>
                      <w:rFonts w:hint="eastAsia"/>
                      <w:color w:val="000000" w:themeColor="text1"/>
                      <w14:textFill>
                        <w14:solidFill>
                          <w14:schemeClr w14:val="tx1"/>
                        </w14:solidFill>
                      </w14:textFill>
                    </w:rPr>
                    <w:t>，高6</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钢构，占地1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restart"/>
                  <w:shd w:val="clear" w:color="auto" w:fill="auto"/>
                  <w:vAlign w:val="center"/>
                </w:tcPr>
                <w:p>
                  <w:pPr>
                    <w:pStyle w:val="68"/>
                    <w:spacing w:before="24" w:after="24" w:line="245" w:lineRule="auto"/>
                    <w:ind w:left="24" w:right="24"/>
                  </w:pPr>
                  <w:r>
                    <w:rPr>
                      <w:rFonts w:hint="eastAsia"/>
                    </w:rPr>
                    <w:t>辅助工程</w:t>
                  </w:r>
                </w:p>
              </w:tc>
              <w:tc>
                <w:tcPr>
                  <w:tcW w:w="793" w:type="pct"/>
                  <w:tcBorders>
                    <w:right w:val="single" w:color="auto" w:sz="4" w:space="0"/>
                  </w:tcBorders>
                  <w:shd w:val="clear" w:color="auto" w:fill="auto"/>
                  <w:vAlign w:val="center"/>
                </w:tcPr>
                <w:p>
                  <w:pPr>
                    <w:pStyle w:val="68"/>
                    <w:spacing w:before="24" w:after="24" w:line="245" w:lineRule="auto"/>
                    <w:ind w:left="24" w:right="24"/>
                  </w:pPr>
                  <w:r>
                    <w:rPr>
                      <w:rFonts w:hint="eastAsia"/>
                    </w:rPr>
                    <w:t>门卫</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pPr>
                  <w:r>
                    <w:t>1F</w:t>
                  </w:r>
                  <w:r>
                    <w:rPr>
                      <w:rFonts w:hint="eastAsia"/>
                    </w:rPr>
                    <w:t>，高4</w:t>
                  </w:r>
                  <w:r>
                    <w:t>m，</w:t>
                  </w:r>
                  <w:r>
                    <w:rPr>
                      <w:rFonts w:hint="eastAsia"/>
                    </w:rPr>
                    <w:t>砖混，占地5</w:t>
                  </w:r>
                  <w:r>
                    <w:t>0</w:t>
                  </w:r>
                  <w:r>
                    <w:rPr>
                      <w:rFonts w:hint="eastAsia"/>
                    </w:rPr>
                    <w:t>m</w:t>
                  </w:r>
                  <w:r>
                    <w:rPr>
                      <w:vertAlign w:val="superscript"/>
                    </w:rPr>
                    <w:t>2</w:t>
                  </w:r>
                  <w:r>
                    <w:rPr>
                      <w:rFonts w:hint="eastAsia"/>
                    </w:rPr>
                    <w:t>。</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continue"/>
                  <w:shd w:val="clear" w:color="auto" w:fill="auto"/>
                  <w:vAlign w:val="center"/>
                </w:tcPr>
                <w:p>
                  <w:pPr>
                    <w:pStyle w:val="68"/>
                    <w:spacing w:before="24" w:after="24" w:line="245" w:lineRule="auto"/>
                    <w:ind w:left="24" w:right="24"/>
                  </w:pPr>
                </w:p>
              </w:tc>
              <w:tc>
                <w:tcPr>
                  <w:tcW w:w="793" w:type="pct"/>
                  <w:tcBorders>
                    <w:right w:val="single" w:color="auto" w:sz="4" w:space="0"/>
                  </w:tcBorders>
                  <w:shd w:val="clear" w:color="auto" w:fill="auto"/>
                  <w:vAlign w:val="center"/>
                </w:tcPr>
                <w:p>
                  <w:pPr>
                    <w:pStyle w:val="68"/>
                    <w:spacing w:before="24" w:after="24" w:line="245" w:lineRule="auto"/>
                    <w:ind w:left="24" w:right="24"/>
                  </w:pPr>
                  <w:r>
                    <w:rPr>
                      <w:rFonts w:hint="eastAsia"/>
                    </w:rPr>
                    <w:t>变配电室</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pPr>
                  <w:r>
                    <w:t>1F</w:t>
                  </w:r>
                  <w:r>
                    <w:rPr>
                      <w:rFonts w:hint="eastAsia"/>
                    </w:rPr>
                    <w:t>，砖混，占地6</w:t>
                  </w:r>
                  <w:r>
                    <w:t>0</w:t>
                  </w:r>
                  <w:r>
                    <w:rPr>
                      <w:rFonts w:hint="eastAsia"/>
                    </w:rPr>
                    <w:t>m</w:t>
                  </w:r>
                  <w:r>
                    <w:rPr>
                      <w:vertAlign w:val="superscript"/>
                    </w:rPr>
                    <w:t>2</w:t>
                  </w:r>
                  <w:r>
                    <w:rPr>
                      <w:rFonts w:hint="eastAsia"/>
                    </w:rPr>
                    <w:t>。</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continue"/>
                  <w:shd w:val="clear" w:color="auto" w:fill="auto"/>
                  <w:vAlign w:val="center"/>
                </w:tcPr>
                <w:p>
                  <w:pPr>
                    <w:pStyle w:val="68"/>
                    <w:spacing w:before="24" w:after="24" w:line="245" w:lineRule="auto"/>
                    <w:ind w:left="24" w:right="24"/>
                  </w:pPr>
                </w:p>
              </w:tc>
              <w:tc>
                <w:tcPr>
                  <w:tcW w:w="793" w:type="pct"/>
                  <w:tcBorders>
                    <w:right w:val="single" w:color="auto" w:sz="4" w:space="0"/>
                  </w:tcBorders>
                  <w:shd w:val="clear" w:color="auto" w:fill="auto"/>
                  <w:vAlign w:val="center"/>
                </w:tcPr>
                <w:p>
                  <w:pPr>
                    <w:pStyle w:val="68"/>
                    <w:spacing w:before="24" w:after="24" w:line="245" w:lineRule="auto"/>
                    <w:ind w:left="24" w:right="24"/>
                  </w:pPr>
                  <w:r>
                    <w:rPr>
                      <w:rFonts w:hint="eastAsia"/>
                    </w:rPr>
                    <w:t>办公楼</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pPr>
                  <w:r>
                    <w:t>1F</w:t>
                  </w:r>
                  <w:r>
                    <w:rPr>
                      <w:rFonts w:hint="eastAsia"/>
                    </w:rPr>
                    <w:t>，砖混，占地1</w:t>
                  </w:r>
                  <w:r>
                    <w:t>200</w:t>
                  </w:r>
                  <w:r>
                    <w:rPr>
                      <w:rFonts w:hint="eastAsia"/>
                    </w:rPr>
                    <w:t>m</w:t>
                  </w:r>
                  <w:r>
                    <w:rPr>
                      <w:vertAlign w:val="superscript"/>
                    </w:rPr>
                    <w:t>2</w:t>
                  </w:r>
                  <w:r>
                    <w:rPr>
                      <w:rFonts w:hint="eastAsia"/>
                    </w:rPr>
                    <w:t>。</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restart"/>
                  <w:shd w:val="clear" w:color="auto" w:fill="auto"/>
                  <w:vAlign w:val="center"/>
                </w:tcPr>
                <w:p>
                  <w:pPr>
                    <w:pStyle w:val="68"/>
                    <w:spacing w:before="24" w:after="24" w:line="245" w:lineRule="auto"/>
                    <w:ind w:left="24" w:right="24"/>
                  </w:pPr>
                  <w:r>
                    <w:rPr>
                      <w:rFonts w:hint="eastAsia"/>
                    </w:rPr>
                    <w:t>公用工程</w:t>
                  </w:r>
                </w:p>
              </w:tc>
              <w:tc>
                <w:tcPr>
                  <w:tcW w:w="793" w:type="pct"/>
                  <w:tcBorders>
                    <w:right w:val="single" w:color="auto" w:sz="4" w:space="0"/>
                  </w:tcBorders>
                  <w:shd w:val="clear" w:color="auto" w:fill="auto"/>
                  <w:vAlign w:val="center"/>
                </w:tcPr>
                <w:p>
                  <w:pPr>
                    <w:pStyle w:val="68"/>
                    <w:spacing w:before="24" w:after="24" w:line="245" w:lineRule="auto"/>
                    <w:ind w:left="24" w:right="24"/>
                  </w:pPr>
                  <w:r>
                    <w:rPr>
                      <w:rFonts w:hint="eastAsia"/>
                    </w:rPr>
                    <w:t>供水</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pPr>
                  <w:r>
                    <w:rPr>
                      <w:rFonts w:hint="eastAsia"/>
                    </w:rPr>
                    <w:t>由山亭区供水管网提供</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continue"/>
                  <w:shd w:val="clear" w:color="auto" w:fill="auto"/>
                  <w:vAlign w:val="center"/>
                </w:tcPr>
                <w:p>
                  <w:pPr>
                    <w:pStyle w:val="68"/>
                    <w:spacing w:before="24" w:after="24" w:line="245" w:lineRule="auto"/>
                    <w:ind w:left="24" w:right="24"/>
                  </w:pPr>
                </w:p>
              </w:tc>
              <w:tc>
                <w:tcPr>
                  <w:tcW w:w="793" w:type="pct"/>
                  <w:tcBorders>
                    <w:right w:val="single" w:color="auto" w:sz="4" w:space="0"/>
                  </w:tcBorders>
                  <w:shd w:val="clear" w:color="auto" w:fill="auto"/>
                  <w:vAlign w:val="center"/>
                </w:tcPr>
                <w:p>
                  <w:pPr>
                    <w:pStyle w:val="68"/>
                    <w:spacing w:before="24" w:after="24" w:line="245" w:lineRule="auto"/>
                    <w:ind w:left="24" w:right="24"/>
                  </w:pPr>
                  <w:r>
                    <w:rPr>
                      <w:rFonts w:hint="eastAsia"/>
                    </w:rPr>
                    <w:t>供电</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jc w:val="left"/>
                  </w:pPr>
                  <w:r>
                    <w:rPr>
                      <w:rFonts w:hint="eastAsia"/>
                    </w:rPr>
                    <w:t>由山亭区徐庄镇供电所提供</w:t>
                  </w:r>
                </w:p>
              </w:tc>
              <w:tc>
                <w:tcPr>
                  <w:tcW w:w="576" w:type="pct"/>
                  <w:tcBorders>
                    <w:left w:val="single" w:color="auto" w:sz="4" w:space="0"/>
                  </w:tcBorders>
                  <w:shd w:val="clear" w:color="auto" w:fill="auto"/>
                  <w:vAlign w:val="top"/>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5" w:hRule="atLeast"/>
                <w:jc w:val="center"/>
              </w:trPr>
              <w:tc>
                <w:tcPr>
                  <w:tcW w:w="711" w:type="pct"/>
                  <w:vMerge w:val="restart"/>
                  <w:shd w:val="clear" w:color="auto" w:fill="auto"/>
                  <w:vAlign w:val="center"/>
                </w:tcPr>
                <w:p>
                  <w:pPr>
                    <w:pStyle w:val="68"/>
                    <w:spacing w:before="24" w:after="24" w:line="245" w:lineRule="auto"/>
                    <w:ind w:left="24" w:right="24"/>
                  </w:pPr>
                  <w:r>
                    <w:rPr>
                      <w:rFonts w:hint="eastAsia"/>
                    </w:rPr>
                    <w:t>环保工程</w:t>
                  </w:r>
                </w:p>
              </w:tc>
              <w:tc>
                <w:tcPr>
                  <w:tcW w:w="793" w:type="pct"/>
                  <w:vMerge w:val="restart"/>
                  <w:tcBorders>
                    <w:right w:val="single" w:color="auto" w:sz="4" w:space="0"/>
                  </w:tcBorders>
                  <w:shd w:val="clear" w:color="auto" w:fill="auto"/>
                  <w:vAlign w:val="center"/>
                </w:tcPr>
                <w:p>
                  <w:pPr>
                    <w:pStyle w:val="68"/>
                    <w:spacing w:before="24" w:after="24" w:line="245" w:lineRule="auto"/>
                    <w:ind w:left="24" w:right="24"/>
                  </w:pPr>
                  <w:r>
                    <w:rPr>
                      <w:rFonts w:hint="eastAsia"/>
                    </w:rPr>
                    <w:t>废气</w:t>
                  </w:r>
                </w:p>
              </w:tc>
              <w:tc>
                <w:tcPr>
                  <w:tcW w:w="781" w:type="pct"/>
                  <w:tcBorders>
                    <w:left w:val="single" w:color="auto" w:sz="4" w:space="0"/>
                  </w:tcBorders>
                  <w:shd w:val="clear" w:color="auto" w:fill="auto"/>
                  <w:vAlign w:val="center"/>
                </w:tcPr>
                <w:p>
                  <w:pPr>
                    <w:pStyle w:val="68"/>
                    <w:spacing w:before="24" w:after="24" w:line="245" w:lineRule="auto"/>
                    <w:ind w:left="24" w:right="24"/>
                    <w:rPr>
                      <w:sz w:val="24"/>
                    </w:rPr>
                  </w:pPr>
                  <w:r>
                    <w:rPr>
                      <w:rFonts w:hint="eastAsia"/>
                    </w:rPr>
                    <w:t>搅拌粉尘</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搅拌粉尘经两级脉冲布袋除尘器处理后经排气筒D</w:t>
                  </w:r>
                  <w:r>
                    <w:t>A001</w:t>
                  </w:r>
                  <w:r>
                    <w:rPr>
                      <w:rFonts w:hint="eastAsia"/>
                    </w:rPr>
                    <w:t>排放。</w:t>
                  </w:r>
                </w:p>
              </w:tc>
              <w:tc>
                <w:tcPr>
                  <w:tcW w:w="576" w:type="pct"/>
                  <w:vMerge w:val="restart"/>
                  <w:tcBorders>
                    <w:left w:val="single" w:color="auto" w:sz="4" w:space="0"/>
                  </w:tcBorders>
                  <w:shd w:val="clear" w:color="auto" w:fill="auto"/>
                  <w:vAlign w:val="center"/>
                </w:tcPr>
                <w:p>
                  <w:pPr>
                    <w:pStyle w:val="68"/>
                    <w:spacing w:before="24" w:after="24" w:line="245" w:lineRule="auto"/>
                    <w:ind w:left="24" w:right="24"/>
                  </w:pPr>
                  <w:r>
                    <w:rPr>
                      <w:rFonts w:hint="eastAsia"/>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2"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continue"/>
                  <w:tcBorders>
                    <w:right w:val="single" w:color="auto" w:sz="4" w:space="0"/>
                  </w:tcBorders>
                  <w:shd w:val="clear" w:color="auto" w:fill="auto"/>
                  <w:vAlign w:val="center"/>
                </w:tcPr>
                <w:p>
                  <w:pPr>
                    <w:pStyle w:val="68"/>
                    <w:spacing w:before="24" w:after="24" w:line="245" w:lineRule="auto"/>
                    <w:ind w:left="24" w:right="24"/>
                  </w:pPr>
                </w:p>
              </w:tc>
              <w:tc>
                <w:tcPr>
                  <w:tcW w:w="781" w:type="pct"/>
                  <w:tcBorders>
                    <w:left w:val="single" w:color="auto" w:sz="4" w:space="0"/>
                  </w:tcBorders>
                  <w:shd w:val="clear" w:color="auto" w:fill="auto"/>
                  <w:vAlign w:val="center"/>
                </w:tcPr>
                <w:p>
                  <w:pPr>
                    <w:pStyle w:val="68"/>
                    <w:spacing w:before="24" w:after="24" w:line="245" w:lineRule="auto"/>
                    <w:ind w:left="24" w:right="24"/>
                    <w:rPr>
                      <w:sz w:val="24"/>
                    </w:rPr>
                  </w:pPr>
                  <w:r>
                    <w:rPr>
                      <w:rFonts w:hint="eastAsia"/>
                    </w:rPr>
                    <w:t>筒仓粉尘</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筒仓粉尘经仓顶脉冲反吹式布袋除尘器处理后无组织排放。</w:t>
                  </w:r>
                </w:p>
              </w:tc>
              <w:tc>
                <w:tcPr>
                  <w:tcW w:w="576" w:type="pct"/>
                  <w:vMerge w:val="continue"/>
                  <w:tcBorders>
                    <w:left w:val="single" w:color="auto" w:sz="4" w:space="0"/>
                  </w:tcBorders>
                  <w:shd w:val="clear" w:color="auto" w:fill="auto"/>
                  <w:vAlign w:val="center"/>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2"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continue"/>
                  <w:tcBorders>
                    <w:right w:val="single" w:color="auto" w:sz="4" w:space="0"/>
                  </w:tcBorders>
                  <w:shd w:val="clear" w:color="auto" w:fill="auto"/>
                  <w:vAlign w:val="center"/>
                </w:tcPr>
                <w:p>
                  <w:pPr>
                    <w:pStyle w:val="68"/>
                    <w:spacing w:before="24" w:after="24" w:line="245" w:lineRule="auto"/>
                    <w:ind w:left="24" w:right="24"/>
                  </w:pPr>
                </w:p>
              </w:tc>
              <w:tc>
                <w:tcPr>
                  <w:tcW w:w="781" w:type="pct"/>
                  <w:tcBorders>
                    <w:left w:val="single" w:color="auto" w:sz="4" w:space="0"/>
                  </w:tcBorders>
                  <w:shd w:val="clear" w:color="auto" w:fill="auto"/>
                  <w:vAlign w:val="center"/>
                </w:tcPr>
                <w:p>
                  <w:pPr>
                    <w:pStyle w:val="68"/>
                    <w:spacing w:before="24" w:after="24" w:line="245" w:lineRule="auto"/>
                    <w:ind w:left="24" w:right="24"/>
                    <w:rPr>
                      <w:sz w:val="24"/>
                    </w:rPr>
                  </w:pPr>
                  <w:r>
                    <w:rPr>
                      <w:rFonts w:hint="eastAsia"/>
                    </w:rPr>
                    <w:t>砂石料卸料、贮存、上料粉尘</w:t>
                  </w:r>
                </w:p>
              </w:tc>
              <w:tc>
                <w:tcPr>
                  <w:tcW w:w="2139" w:type="pct"/>
                  <w:tcBorders>
                    <w:left w:val="single" w:color="auto" w:sz="4" w:space="0"/>
                  </w:tcBorders>
                  <w:shd w:val="clear" w:color="auto" w:fill="auto"/>
                  <w:vAlign w:val="center"/>
                </w:tcPr>
                <w:p>
                  <w:pPr>
                    <w:pStyle w:val="68"/>
                    <w:spacing w:before="24" w:after="24" w:line="245" w:lineRule="auto"/>
                    <w:ind w:left="24" w:right="24"/>
                    <w:jc w:val="both"/>
                  </w:pPr>
                  <w:r>
                    <w:rPr>
                      <w:rFonts w:hint="eastAsia"/>
                    </w:rPr>
                    <w:t>原料库密闭，设置雾化喷头，对砂石料卸料、堆存、上料过程喷雾控尘。</w:t>
                  </w:r>
                </w:p>
              </w:tc>
              <w:tc>
                <w:tcPr>
                  <w:tcW w:w="576" w:type="pct"/>
                  <w:vMerge w:val="continue"/>
                  <w:tcBorders>
                    <w:left w:val="single" w:color="auto" w:sz="4" w:space="0"/>
                  </w:tcBorders>
                  <w:shd w:val="clear" w:color="auto" w:fill="auto"/>
                  <w:vAlign w:val="center"/>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2"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continue"/>
                  <w:tcBorders>
                    <w:right w:val="single" w:color="auto" w:sz="4" w:space="0"/>
                  </w:tcBorders>
                  <w:shd w:val="clear" w:color="auto" w:fill="auto"/>
                  <w:vAlign w:val="center"/>
                </w:tcPr>
                <w:p>
                  <w:pPr>
                    <w:pStyle w:val="68"/>
                    <w:spacing w:before="24" w:after="24" w:line="245" w:lineRule="auto"/>
                    <w:ind w:left="24" w:right="24"/>
                  </w:pPr>
                </w:p>
              </w:tc>
              <w:tc>
                <w:tcPr>
                  <w:tcW w:w="781" w:type="pct"/>
                  <w:tcBorders>
                    <w:left w:val="single" w:color="auto" w:sz="4" w:space="0"/>
                  </w:tcBorders>
                  <w:shd w:val="clear" w:color="auto" w:fill="auto"/>
                  <w:vAlign w:val="center"/>
                </w:tcPr>
                <w:p>
                  <w:pPr>
                    <w:pStyle w:val="68"/>
                    <w:spacing w:before="24" w:after="24" w:line="245" w:lineRule="auto"/>
                    <w:ind w:left="24" w:right="24"/>
                    <w:rPr>
                      <w:sz w:val="24"/>
                    </w:rPr>
                  </w:pPr>
                  <w:r>
                    <w:rPr>
                      <w:rFonts w:hint="eastAsia"/>
                    </w:rPr>
                    <w:t>车辆运输扬尘</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原料运输过程中车厢覆盖篷布，厂区定期洒水抑尘，并设洗车台，清洗车辆。</w:t>
                  </w:r>
                </w:p>
              </w:tc>
              <w:tc>
                <w:tcPr>
                  <w:tcW w:w="576" w:type="pct"/>
                  <w:vMerge w:val="continue"/>
                  <w:tcBorders>
                    <w:left w:val="single" w:color="auto" w:sz="4" w:space="0"/>
                  </w:tcBorders>
                  <w:shd w:val="clear" w:color="auto" w:fill="auto"/>
                  <w:vAlign w:val="center"/>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1"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restart"/>
                  <w:tcBorders>
                    <w:right w:val="single" w:color="auto" w:sz="4" w:space="0"/>
                  </w:tcBorders>
                  <w:shd w:val="clear" w:color="auto" w:fill="auto"/>
                  <w:vAlign w:val="center"/>
                </w:tcPr>
                <w:p>
                  <w:pPr>
                    <w:pStyle w:val="68"/>
                    <w:spacing w:before="24" w:after="24" w:line="245" w:lineRule="auto"/>
                    <w:ind w:left="24" w:right="24"/>
                  </w:pPr>
                  <w:r>
                    <w:rPr>
                      <w:rFonts w:hint="eastAsia"/>
                    </w:rPr>
                    <w:t>废水</w:t>
                  </w:r>
                </w:p>
              </w:tc>
              <w:tc>
                <w:tcPr>
                  <w:tcW w:w="781" w:type="pct"/>
                  <w:tcBorders>
                    <w:left w:val="single" w:color="auto" w:sz="4" w:space="0"/>
                  </w:tcBorders>
                  <w:shd w:val="clear" w:color="auto" w:fill="auto"/>
                  <w:vAlign w:val="center"/>
                </w:tcPr>
                <w:p>
                  <w:pPr>
                    <w:pStyle w:val="68"/>
                    <w:spacing w:before="24" w:after="24" w:line="245" w:lineRule="auto"/>
                    <w:ind w:left="24" w:right="24"/>
                    <w:rPr>
                      <w:sz w:val="24"/>
                    </w:rPr>
                  </w:pPr>
                  <w:r>
                    <w:rPr>
                      <w:rFonts w:hint="eastAsia"/>
                    </w:rPr>
                    <w:t>搅拌机、车辆冲洗废水</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经砂石分离、沉淀处理后循环使用。</w:t>
                  </w:r>
                </w:p>
              </w:tc>
              <w:tc>
                <w:tcPr>
                  <w:tcW w:w="576" w:type="pct"/>
                  <w:vMerge w:val="restart"/>
                  <w:tcBorders>
                    <w:left w:val="single" w:color="auto" w:sz="4" w:space="0"/>
                  </w:tcBorders>
                  <w:shd w:val="clear" w:color="auto" w:fill="auto"/>
                  <w:vAlign w:val="center"/>
                </w:tcPr>
                <w:p>
                  <w:pPr>
                    <w:pStyle w:val="68"/>
                    <w:spacing w:before="24" w:after="24" w:line="245" w:lineRule="auto"/>
                    <w:ind w:left="24" w:right="24"/>
                  </w:pPr>
                  <w:r>
                    <w:rPr>
                      <w:rFonts w:hint="eastAsia"/>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8"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continue"/>
                  <w:tcBorders>
                    <w:right w:val="single" w:color="auto" w:sz="4" w:space="0"/>
                  </w:tcBorders>
                  <w:shd w:val="clear" w:color="auto" w:fill="auto"/>
                  <w:vAlign w:val="center"/>
                </w:tcPr>
                <w:p>
                  <w:pPr>
                    <w:pStyle w:val="68"/>
                    <w:spacing w:before="24" w:after="24" w:line="245" w:lineRule="auto"/>
                    <w:ind w:left="24" w:right="24"/>
                  </w:pPr>
                </w:p>
              </w:tc>
              <w:tc>
                <w:tcPr>
                  <w:tcW w:w="781" w:type="pct"/>
                  <w:tcBorders>
                    <w:left w:val="single" w:color="auto" w:sz="4" w:space="0"/>
                  </w:tcBorders>
                  <w:shd w:val="clear" w:color="auto" w:fill="auto"/>
                  <w:vAlign w:val="center"/>
                </w:tcPr>
                <w:p>
                  <w:pPr>
                    <w:pStyle w:val="68"/>
                    <w:spacing w:before="24" w:after="24" w:line="245" w:lineRule="auto"/>
                    <w:ind w:left="24" w:right="24"/>
                    <w:rPr>
                      <w:sz w:val="24"/>
                    </w:rPr>
                  </w:pPr>
                  <w:r>
                    <w:rPr>
                      <w:rFonts w:hint="eastAsia"/>
                    </w:rPr>
                    <w:t>生活污水</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生活污水经化粪池处理后委托环卫部门清运。</w:t>
                  </w:r>
                </w:p>
              </w:tc>
              <w:tc>
                <w:tcPr>
                  <w:tcW w:w="576" w:type="pct"/>
                  <w:vMerge w:val="continue"/>
                  <w:tcBorders>
                    <w:left w:val="single" w:color="auto" w:sz="4" w:space="0"/>
                  </w:tcBorders>
                  <w:shd w:val="clear" w:color="auto" w:fill="auto"/>
                  <w:vAlign w:val="center"/>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11" w:type="pct"/>
                  <w:vMerge w:val="continue"/>
                  <w:shd w:val="clear" w:color="auto" w:fill="auto"/>
                  <w:vAlign w:val="center"/>
                </w:tcPr>
                <w:p>
                  <w:pPr>
                    <w:pStyle w:val="68"/>
                    <w:spacing w:before="24" w:after="24" w:line="245" w:lineRule="auto"/>
                    <w:ind w:left="24" w:right="24"/>
                  </w:pPr>
                </w:p>
              </w:tc>
              <w:tc>
                <w:tcPr>
                  <w:tcW w:w="793" w:type="pct"/>
                  <w:tcBorders>
                    <w:right w:val="single" w:color="auto" w:sz="4" w:space="0"/>
                  </w:tcBorders>
                  <w:shd w:val="clear" w:color="auto" w:fill="auto"/>
                  <w:vAlign w:val="center"/>
                </w:tcPr>
                <w:p>
                  <w:pPr>
                    <w:pStyle w:val="68"/>
                    <w:spacing w:before="24" w:after="24" w:line="245" w:lineRule="auto"/>
                    <w:ind w:left="24" w:right="24"/>
                  </w:pPr>
                  <w:r>
                    <w:rPr>
                      <w:rFonts w:hint="eastAsia"/>
                    </w:rPr>
                    <w:t>噪声</w:t>
                  </w:r>
                </w:p>
              </w:tc>
              <w:tc>
                <w:tcPr>
                  <w:tcW w:w="2920" w:type="pct"/>
                  <w:gridSpan w:val="2"/>
                  <w:tcBorders>
                    <w:left w:val="single" w:color="auto" w:sz="4" w:space="0"/>
                  </w:tcBorders>
                  <w:shd w:val="clear" w:color="auto" w:fill="auto"/>
                  <w:vAlign w:val="center"/>
                </w:tcPr>
                <w:p>
                  <w:pPr>
                    <w:pStyle w:val="68"/>
                    <w:spacing w:before="24" w:after="24" w:line="245" w:lineRule="auto"/>
                    <w:ind w:left="24" w:right="24"/>
                  </w:pPr>
                  <w:r>
                    <w:rPr>
                      <w:rFonts w:hint="eastAsia"/>
                      <w:bCs/>
                    </w:rPr>
                    <w:t>选用低噪声设备、基础减振、设备位于封闭厂房内等措施；移动污染源加强维护，减速慢行等措施。</w:t>
                  </w:r>
                </w:p>
              </w:tc>
              <w:tc>
                <w:tcPr>
                  <w:tcW w:w="576" w:type="pct"/>
                  <w:tcBorders>
                    <w:left w:val="single" w:color="auto" w:sz="4" w:space="0"/>
                  </w:tcBorders>
                  <w:shd w:val="clear" w:color="auto" w:fill="auto"/>
                  <w:vAlign w:val="center"/>
                </w:tcPr>
                <w:p>
                  <w:pPr>
                    <w:pStyle w:val="68"/>
                    <w:spacing w:before="24" w:after="24" w:line="245" w:lineRule="auto"/>
                    <w:ind w:left="24" w:right="24"/>
                  </w:pPr>
                  <w:r>
                    <w:rPr>
                      <w:rFonts w:hint="eastAsia"/>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05"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restart"/>
                  <w:tcBorders>
                    <w:right w:val="single" w:color="auto" w:sz="4" w:space="0"/>
                  </w:tcBorders>
                  <w:shd w:val="clear" w:color="auto" w:fill="auto"/>
                  <w:vAlign w:val="center"/>
                </w:tcPr>
                <w:p>
                  <w:pPr>
                    <w:pStyle w:val="68"/>
                    <w:spacing w:before="24" w:after="24" w:line="245" w:lineRule="auto"/>
                    <w:ind w:left="24" w:right="24"/>
                  </w:pPr>
                  <w:r>
                    <w:rPr>
                      <w:rFonts w:hint="eastAsia"/>
                    </w:rPr>
                    <w:t>固废</w:t>
                  </w:r>
                </w:p>
              </w:tc>
              <w:tc>
                <w:tcPr>
                  <w:tcW w:w="781" w:type="pct"/>
                  <w:tcBorders>
                    <w:left w:val="single" w:color="auto" w:sz="4" w:space="0"/>
                  </w:tcBorders>
                  <w:shd w:val="clear" w:color="auto" w:fill="auto"/>
                  <w:vAlign w:val="center"/>
                </w:tcPr>
                <w:p>
                  <w:pPr>
                    <w:pStyle w:val="68"/>
                    <w:spacing w:before="24" w:after="24" w:line="245" w:lineRule="auto"/>
                    <w:ind w:left="24" w:right="24"/>
                    <w:rPr>
                      <w:sz w:val="24"/>
                    </w:rPr>
                  </w:pPr>
                  <w:r>
                    <w:rPr>
                      <w:rFonts w:hint="eastAsia"/>
                    </w:rPr>
                    <w:t>一般工业固体废物</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除尘器收集的粉尘、地面沉降粉尘、砂石分离机产生的砂石料等收集后回用于生产；沉淀池沉渣外运用于路基材料综合利用。</w:t>
                  </w:r>
                </w:p>
              </w:tc>
              <w:tc>
                <w:tcPr>
                  <w:tcW w:w="576" w:type="pct"/>
                  <w:vMerge w:val="restart"/>
                  <w:tcBorders>
                    <w:left w:val="single" w:color="auto" w:sz="4" w:space="0"/>
                  </w:tcBorders>
                  <w:shd w:val="clear" w:color="auto" w:fill="auto"/>
                  <w:vAlign w:val="center"/>
                </w:tcPr>
                <w:p>
                  <w:pPr>
                    <w:pStyle w:val="68"/>
                    <w:spacing w:before="24" w:after="24" w:line="245" w:lineRule="auto"/>
                    <w:ind w:left="24" w:right="24"/>
                  </w:pPr>
                  <w:r>
                    <w:rPr>
                      <w:rFonts w:hint="eastAsia"/>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05"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continue"/>
                  <w:tcBorders>
                    <w:right w:val="single" w:color="auto" w:sz="4" w:space="0"/>
                  </w:tcBorders>
                  <w:shd w:val="clear" w:color="auto" w:fill="auto"/>
                  <w:vAlign w:val="center"/>
                </w:tcPr>
                <w:p>
                  <w:pPr>
                    <w:pStyle w:val="68"/>
                    <w:spacing w:before="24" w:after="24" w:line="245" w:lineRule="auto"/>
                    <w:ind w:left="24" w:right="24"/>
                  </w:pPr>
                </w:p>
              </w:tc>
              <w:tc>
                <w:tcPr>
                  <w:tcW w:w="781" w:type="pct"/>
                  <w:tcBorders>
                    <w:left w:val="single" w:color="auto" w:sz="4" w:space="0"/>
                  </w:tcBorders>
                  <w:shd w:val="clear" w:color="auto" w:fill="auto"/>
                  <w:vAlign w:val="center"/>
                </w:tcPr>
                <w:p>
                  <w:pPr>
                    <w:pStyle w:val="68"/>
                    <w:spacing w:before="24" w:after="24" w:line="245" w:lineRule="auto"/>
                    <w:ind w:left="24" w:right="24"/>
                  </w:pPr>
                  <w:r>
                    <w:rPr>
                      <w:rFonts w:hint="eastAsia"/>
                    </w:rPr>
                    <w:t>危险废物</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设备及车辆维护产生的废机油，废机油桶委托有资质单位处理。</w:t>
                  </w:r>
                </w:p>
              </w:tc>
              <w:tc>
                <w:tcPr>
                  <w:tcW w:w="576" w:type="pct"/>
                  <w:vMerge w:val="continue"/>
                  <w:tcBorders>
                    <w:left w:val="single" w:color="auto" w:sz="4" w:space="0"/>
                  </w:tcBorders>
                  <w:shd w:val="clear" w:color="auto" w:fill="auto"/>
                  <w:vAlign w:val="center"/>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05" w:hRule="atLeast"/>
                <w:jc w:val="center"/>
              </w:trPr>
              <w:tc>
                <w:tcPr>
                  <w:tcW w:w="711" w:type="pct"/>
                  <w:vMerge w:val="continue"/>
                  <w:shd w:val="clear" w:color="auto" w:fill="auto"/>
                  <w:vAlign w:val="center"/>
                </w:tcPr>
                <w:p>
                  <w:pPr>
                    <w:pStyle w:val="68"/>
                    <w:spacing w:before="24" w:after="24" w:line="245" w:lineRule="auto"/>
                    <w:ind w:left="24" w:right="24"/>
                  </w:pPr>
                </w:p>
              </w:tc>
              <w:tc>
                <w:tcPr>
                  <w:tcW w:w="793" w:type="pct"/>
                  <w:vMerge w:val="continue"/>
                  <w:tcBorders>
                    <w:right w:val="single" w:color="auto" w:sz="4" w:space="0"/>
                  </w:tcBorders>
                  <w:shd w:val="clear" w:color="auto" w:fill="auto"/>
                  <w:vAlign w:val="center"/>
                </w:tcPr>
                <w:p>
                  <w:pPr>
                    <w:pStyle w:val="68"/>
                    <w:spacing w:before="24" w:after="24" w:line="245" w:lineRule="auto"/>
                    <w:ind w:left="24" w:right="24"/>
                  </w:pPr>
                </w:p>
              </w:tc>
              <w:tc>
                <w:tcPr>
                  <w:tcW w:w="781" w:type="pct"/>
                  <w:tcBorders>
                    <w:left w:val="single" w:color="auto" w:sz="4" w:space="0"/>
                  </w:tcBorders>
                  <w:shd w:val="clear" w:color="auto" w:fill="auto"/>
                  <w:vAlign w:val="center"/>
                </w:tcPr>
                <w:p>
                  <w:pPr>
                    <w:pStyle w:val="68"/>
                    <w:spacing w:before="24" w:after="24" w:line="245" w:lineRule="auto"/>
                    <w:ind w:left="24" w:right="24"/>
                  </w:pPr>
                  <w:r>
                    <w:rPr>
                      <w:rFonts w:hint="eastAsia"/>
                    </w:rPr>
                    <w:t>生活垃圾</w:t>
                  </w:r>
                </w:p>
              </w:tc>
              <w:tc>
                <w:tcPr>
                  <w:tcW w:w="2139" w:type="pct"/>
                  <w:tcBorders>
                    <w:left w:val="single" w:color="auto" w:sz="4" w:space="0"/>
                  </w:tcBorders>
                  <w:shd w:val="clear" w:color="auto" w:fill="auto"/>
                  <w:vAlign w:val="center"/>
                </w:tcPr>
                <w:p>
                  <w:pPr>
                    <w:pStyle w:val="68"/>
                    <w:spacing w:before="24" w:after="24" w:line="245" w:lineRule="auto"/>
                    <w:ind w:left="24" w:right="24"/>
                  </w:pPr>
                  <w:r>
                    <w:rPr>
                      <w:rFonts w:hint="eastAsia"/>
                    </w:rPr>
                    <w:t>采用带盖垃圾桶，分类收集后交环卫部门清运。</w:t>
                  </w:r>
                </w:p>
              </w:tc>
              <w:tc>
                <w:tcPr>
                  <w:tcW w:w="576" w:type="pct"/>
                  <w:vMerge w:val="continue"/>
                  <w:tcBorders>
                    <w:left w:val="single" w:color="auto" w:sz="4" w:space="0"/>
                  </w:tcBorders>
                  <w:shd w:val="clear" w:color="auto" w:fill="auto"/>
                  <w:vAlign w:val="center"/>
                </w:tcPr>
                <w:p>
                  <w:pPr>
                    <w:pStyle w:val="68"/>
                    <w:spacing w:before="24" w:after="24" w:line="245" w:lineRule="auto"/>
                    <w:ind w:left="24" w:right="24"/>
                  </w:pPr>
                </w:p>
              </w:tc>
            </w:tr>
          </w:tbl>
          <w:p>
            <w:pPr>
              <w:pStyle w:val="63"/>
              <w:ind w:firstLine="482"/>
              <w:rPr>
                <w:b/>
              </w:rPr>
            </w:pPr>
            <w:r>
              <w:rPr>
                <w:b/>
                <w:bCs/>
              </w:rPr>
              <w:fldChar w:fldCharType="begin"/>
            </w:r>
            <w:r>
              <w:rPr>
                <w:b/>
                <w:bCs/>
              </w:rPr>
              <w:instrText xml:space="preserve"> </w:instrText>
            </w:r>
            <w:r>
              <w:rPr>
                <w:rFonts w:hint="eastAsia"/>
                <w:b/>
                <w:bCs/>
              </w:rPr>
              <w:instrText xml:space="preserve">SEQ 建设内容编号 \* ARABIC</w:instrText>
            </w:r>
            <w:r>
              <w:rPr>
                <w:b/>
                <w:bCs/>
              </w:rPr>
              <w:instrText xml:space="preserve"> </w:instrText>
            </w:r>
            <w:r>
              <w:rPr>
                <w:b/>
                <w:bCs/>
              </w:rPr>
              <w:fldChar w:fldCharType="separate"/>
            </w:r>
            <w:r>
              <w:rPr>
                <w:b/>
                <w:bCs/>
              </w:rPr>
              <w:t>3</w:t>
            </w:r>
            <w:r>
              <w:fldChar w:fldCharType="end"/>
            </w:r>
            <w:r>
              <w:rPr>
                <w:rFonts w:hint="eastAsia"/>
                <w:b/>
              </w:rPr>
              <w:t>、主</w:t>
            </w:r>
            <w:r>
              <w:rPr>
                <w:b/>
              </w:rPr>
              <w:t>要</w:t>
            </w:r>
            <w:r>
              <w:rPr>
                <w:rFonts w:hint="eastAsia"/>
                <w:b/>
              </w:rPr>
              <w:t>产品方案</w:t>
            </w:r>
          </w:p>
          <w:p>
            <w:pPr>
              <w:pStyle w:val="63"/>
              <w:ind w:left="240" w:leftChars="100" w:firstLine="240" w:firstLineChars="100"/>
              <w:rPr>
                <w:bCs/>
              </w:rPr>
            </w:pPr>
            <w:r>
              <w:rPr>
                <w:rFonts w:hint="eastAsia"/>
                <w:bCs/>
              </w:rPr>
              <w:t>拟建项目产品方案见</w:t>
            </w:r>
            <w:r>
              <w:rPr>
                <w:bCs/>
              </w:rPr>
              <w:fldChar w:fldCharType="begin"/>
            </w:r>
            <w:r>
              <w:rPr>
                <w:bCs/>
              </w:rPr>
              <w:instrText xml:space="preserve"> </w:instrText>
            </w:r>
            <w:r>
              <w:rPr>
                <w:rFonts w:hint="eastAsia"/>
                <w:bCs/>
              </w:rPr>
              <w:instrText xml:space="preserve">REF _Ref130045028 \h</w:instrText>
            </w:r>
            <w:r>
              <w:rPr>
                <w:bCs/>
              </w:rPr>
              <w:instrText xml:space="preserve">  \* MERGEFORMAT </w:instrText>
            </w:r>
            <w:r>
              <w:rPr>
                <w:bCs/>
              </w:rPr>
              <w:fldChar w:fldCharType="separate"/>
            </w:r>
            <w:r>
              <w:rPr>
                <w:bCs/>
              </w:rPr>
              <w:t>表10</w:t>
            </w:r>
            <w:r>
              <w:rPr>
                <w:bCs/>
              </w:rPr>
              <w:fldChar w:fldCharType="end"/>
            </w:r>
            <w:r>
              <w:rPr>
                <w:rFonts w:hint="eastAsia"/>
                <w:bCs/>
              </w:rPr>
              <w:t>。</w:t>
            </w:r>
          </w:p>
          <w:p>
            <w:pPr>
              <w:pStyle w:val="320"/>
            </w:pPr>
            <w:bookmarkStart w:id="12" w:name="_Ref130045028"/>
            <w:r>
              <w:t>表</w:t>
            </w:r>
            <w:r>
              <w:fldChar w:fldCharType="begin"/>
            </w:r>
            <w:r>
              <w:instrText xml:space="preserve"> SEQ 表格 \* ARABIC </w:instrText>
            </w:r>
            <w:r>
              <w:fldChar w:fldCharType="separate"/>
            </w:r>
            <w:r>
              <w:t>10</w:t>
            </w:r>
            <w:r>
              <w:fldChar w:fldCharType="end"/>
            </w:r>
            <w:bookmarkEnd w:id="12"/>
            <w:r>
              <w:t xml:space="preserve"> 拟建项</w:t>
            </w:r>
            <w:r>
              <w:rPr>
                <w:rFonts w:hint="eastAsia"/>
              </w:rPr>
              <w:t>目产品方案</w:t>
            </w:r>
            <w:r>
              <w:t>一览表</w:t>
            </w:r>
          </w:p>
          <w:tbl>
            <w:tblPr>
              <w:tblStyle w:val="7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80"/>
              <w:gridCol w:w="1557"/>
              <w:gridCol w:w="1135"/>
              <w:gridCol w:w="991"/>
              <w:gridCol w:w="47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46" w:hRule="atLeast"/>
              </w:trPr>
              <w:tc>
                <w:tcPr>
                  <w:tcW w:w="323" w:type="pct"/>
                  <w:tcBorders>
                    <w:top w:val="single" w:color="auto" w:sz="4" w:space="0"/>
                    <w:left w:val="nil"/>
                    <w:bottom w:val="single" w:color="auto" w:sz="4" w:space="0"/>
                    <w:right w:val="single" w:color="auto" w:sz="4" w:space="0"/>
                    <w:insideH w:val="single" w:sz="4" w:space="0"/>
                    <w:insideV w:val="single" w:sz="4" w:space="0"/>
                    <w:tl2br w:val="nil"/>
                    <w:tr2bl w:val="nil"/>
                  </w:tcBorders>
                  <w:shd w:val="clear" w:color="auto" w:fill="auto"/>
                  <w:vAlign w:val="center"/>
                </w:tcPr>
                <w:p>
                  <w:pPr>
                    <w:pStyle w:val="68"/>
                    <w:spacing w:before="24" w:after="24" w:line="245" w:lineRule="auto"/>
                    <w:ind w:left="24" w:right="24"/>
                  </w:pPr>
                  <w:r>
                    <w:rPr>
                      <w:rFonts w:hint="eastAsia"/>
                    </w:rPr>
                    <w:t>序号</w:t>
                  </w:r>
                </w:p>
              </w:tc>
              <w:tc>
                <w:tcPr>
                  <w:tcW w:w="866"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68"/>
                    <w:spacing w:before="24" w:after="24" w:line="245" w:lineRule="auto"/>
                    <w:ind w:left="24" w:right="24"/>
                  </w:pPr>
                  <w:r>
                    <w:rPr>
                      <w:rFonts w:hint="eastAsia"/>
                    </w:rPr>
                    <w:t>产品名称</w:t>
                  </w:r>
                </w:p>
              </w:tc>
              <w:tc>
                <w:tcPr>
                  <w:tcW w:w="631"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68"/>
                    <w:spacing w:before="24" w:after="24" w:line="245" w:lineRule="auto"/>
                    <w:ind w:left="24" w:right="24"/>
                  </w:pPr>
                  <w:r>
                    <w:rPr>
                      <w:rFonts w:hint="eastAsia"/>
                    </w:rPr>
                    <w:t>单位</w:t>
                  </w:r>
                </w:p>
              </w:tc>
              <w:tc>
                <w:tcPr>
                  <w:tcW w:w="551"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68"/>
                    <w:spacing w:before="24" w:after="24" w:line="245" w:lineRule="auto"/>
                    <w:ind w:left="24" w:right="24"/>
                  </w:pPr>
                  <w:r>
                    <w:rPr>
                      <w:rFonts w:hint="eastAsia"/>
                    </w:rPr>
                    <w:t>产量</w:t>
                  </w:r>
                </w:p>
              </w:tc>
              <w:tc>
                <w:tcPr>
                  <w:tcW w:w="2629" w:type="pct"/>
                  <w:tcBorders>
                    <w:top w:val="single" w:color="auto" w:sz="4" w:space="0"/>
                    <w:bottom w:val="single" w:color="auto" w:sz="4" w:space="0"/>
                    <w:right w:val="nil"/>
                    <w:insideH w:val="single" w:sz="4" w:space="0"/>
                    <w:insideV w:val="single" w:sz="4" w:space="0"/>
                    <w:tl2br w:val="nil"/>
                    <w:tr2bl w:val="nil"/>
                  </w:tcBorders>
                  <w:shd w:val="clear" w:color="auto" w:fill="auto"/>
                  <w:vAlign w:val="center"/>
                </w:tcPr>
                <w:p>
                  <w:pPr>
                    <w:pStyle w:val="68"/>
                    <w:spacing w:before="24" w:after="24" w:line="245" w:lineRule="auto"/>
                    <w:ind w:left="24" w:right="24"/>
                  </w:pPr>
                  <w:r>
                    <w:rPr>
                      <w:rFonts w:hint="eastAsia"/>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46" w:hRule="atLeast"/>
              </w:trPr>
              <w:tc>
                <w:tcPr>
                  <w:tcW w:w="323" w:type="pct"/>
                  <w:shd w:val="clear" w:color="auto" w:fill="auto"/>
                  <w:vAlign w:val="center"/>
                </w:tcPr>
                <w:p>
                  <w:pPr>
                    <w:pStyle w:val="68"/>
                    <w:spacing w:before="24" w:after="24" w:line="245" w:lineRule="auto"/>
                    <w:ind w:left="24" w:right="24"/>
                  </w:pPr>
                  <w:r>
                    <w:rPr>
                      <w:rFonts w:hint="eastAsia"/>
                    </w:rPr>
                    <w:t>1</w:t>
                  </w:r>
                </w:p>
              </w:tc>
              <w:tc>
                <w:tcPr>
                  <w:tcW w:w="866" w:type="pct"/>
                  <w:shd w:val="clear" w:color="auto" w:fill="auto"/>
                  <w:vAlign w:val="center"/>
                </w:tcPr>
                <w:p>
                  <w:pPr>
                    <w:pStyle w:val="68"/>
                    <w:spacing w:before="24" w:after="24" w:line="245" w:lineRule="auto"/>
                    <w:ind w:left="24" w:right="24"/>
                  </w:pPr>
                  <w:r>
                    <w:rPr>
                      <w:rFonts w:hint="eastAsia"/>
                    </w:rPr>
                    <w:t>商品混凝土</w:t>
                  </w:r>
                </w:p>
              </w:tc>
              <w:tc>
                <w:tcPr>
                  <w:tcW w:w="631" w:type="pct"/>
                  <w:shd w:val="clear" w:color="auto" w:fill="auto"/>
                  <w:vAlign w:val="center"/>
                </w:tcPr>
                <w:p>
                  <w:pPr>
                    <w:pStyle w:val="68"/>
                    <w:spacing w:before="24" w:after="24" w:line="245" w:lineRule="auto"/>
                    <w:ind w:left="24" w:right="24"/>
                  </w:pPr>
                  <w:r>
                    <w:rPr>
                      <w:rFonts w:hint="eastAsia"/>
                    </w:rPr>
                    <w:t>万m</w:t>
                  </w:r>
                  <w:r>
                    <w:rPr>
                      <w:vertAlign w:val="superscript"/>
                    </w:rPr>
                    <w:t>3</w:t>
                  </w:r>
                  <w:r>
                    <w:t>/a</w:t>
                  </w:r>
                </w:p>
              </w:tc>
              <w:tc>
                <w:tcPr>
                  <w:tcW w:w="551" w:type="pct"/>
                  <w:shd w:val="clear" w:color="auto" w:fill="auto"/>
                  <w:vAlign w:val="center"/>
                </w:tcPr>
                <w:p>
                  <w:pPr>
                    <w:pStyle w:val="68"/>
                    <w:spacing w:before="24" w:after="24" w:line="245" w:lineRule="auto"/>
                    <w:ind w:left="24" w:right="24"/>
                  </w:pPr>
                  <w:r>
                    <w:t>30</w:t>
                  </w:r>
                </w:p>
              </w:tc>
              <w:tc>
                <w:tcPr>
                  <w:tcW w:w="2629" w:type="pct"/>
                  <w:shd w:val="clear" w:color="auto" w:fill="auto"/>
                  <w:vAlign w:val="center"/>
                </w:tcPr>
                <w:p>
                  <w:pPr>
                    <w:pStyle w:val="68"/>
                    <w:spacing w:before="24" w:after="24" w:line="245" w:lineRule="auto"/>
                    <w:ind w:left="24" w:right="24"/>
                    <w:jc w:val="left"/>
                  </w:pPr>
                  <w:r>
                    <w:rPr>
                      <w:rFonts w:hint="eastAsia"/>
                    </w:rPr>
                    <w:t>生产</w:t>
                  </w:r>
                  <w:r>
                    <w:t>1m</w:t>
                  </w:r>
                  <w:r>
                    <w:rPr>
                      <w:vertAlign w:val="superscript"/>
                    </w:rPr>
                    <w:t>3</w:t>
                  </w:r>
                  <w:r>
                    <w:rPr>
                      <w:rFonts w:hint="eastAsia"/>
                    </w:rPr>
                    <w:t>商品混凝土所需原材料比例值为</w:t>
                  </w:r>
                  <w:r>
                    <w:t>0.26t</w:t>
                  </w:r>
                  <w:r>
                    <w:rPr>
                      <w:rFonts w:hint="eastAsia"/>
                    </w:rPr>
                    <w:t>（水泥），0</w:t>
                  </w:r>
                  <w:r>
                    <w:t>.917t</w:t>
                  </w:r>
                  <w:r>
                    <w:rPr>
                      <w:rFonts w:hint="eastAsia"/>
                    </w:rPr>
                    <w:t>（石子），</w:t>
                  </w:r>
                  <w:r>
                    <w:t>0.9t</w:t>
                  </w:r>
                  <w:r>
                    <w:rPr>
                      <w:rFonts w:hint="eastAsia"/>
                    </w:rPr>
                    <w:t>（砂子），</w:t>
                  </w:r>
                  <w:r>
                    <w:t>0.08t</w:t>
                  </w:r>
                  <w:r>
                    <w:rPr>
                      <w:rFonts w:hint="eastAsia"/>
                    </w:rPr>
                    <w:t>（粉煤灰），0</w:t>
                  </w:r>
                  <w:r>
                    <w:t>.06t</w:t>
                  </w:r>
                  <w:r>
                    <w:rPr>
                      <w:rFonts w:hint="eastAsia"/>
                    </w:rPr>
                    <w:t>（矿粉），</w:t>
                  </w:r>
                  <w:r>
                    <w:t>0.007t</w:t>
                  </w:r>
                  <w:r>
                    <w:rPr>
                      <w:rFonts w:hint="eastAsia"/>
                    </w:rPr>
                    <w:t>（外加剂），</w:t>
                  </w:r>
                  <w:r>
                    <w:t>0.12t</w:t>
                  </w:r>
                  <w:r>
                    <w:rPr>
                      <w:rFonts w:hint="eastAsia"/>
                    </w:rPr>
                    <w:t>（水），商品混凝土密度大约为</w:t>
                  </w:r>
                  <w:r>
                    <w:t>2.344t/m</w:t>
                  </w:r>
                  <w:r>
                    <w:rPr>
                      <w:vertAlign w:val="superscript"/>
                    </w:rPr>
                    <w:t>3</w:t>
                  </w:r>
                  <w:r>
                    <w:rPr>
                      <w:rFonts w:hint="eastAsia"/>
                    </w:rPr>
                    <w:t>。</w:t>
                  </w:r>
                </w:p>
              </w:tc>
            </w:tr>
          </w:tbl>
          <w:p>
            <w:pPr>
              <w:pStyle w:val="7"/>
              <w:spacing w:before="120" w:beforeLines="50"/>
              <w:ind w:left="482" w:firstLine="0" w:firstLineChars="0"/>
              <w:rPr>
                <w:szCs w:val="24"/>
              </w:rPr>
            </w:pPr>
            <w:r>
              <w:rPr>
                <w:bCs/>
                <w:szCs w:val="24"/>
              </w:rPr>
              <w:fldChar w:fldCharType="begin"/>
            </w:r>
            <w:r>
              <w:rPr>
                <w:bCs/>
                <w:szCs w:val="24"/>
              </w:rPr>
              <w:instrText xml:space="preserve"> </w:instrText>
            </w:r>
            <w:r>
              <w:rPr>
                <w:rFonts w:hint="eastAsia"/>
                <w:bCs/>
                <w:szCs w:val="24"/>
              </w:rPr>
              <w:instrText xml:space="preserve">SEQ 建设内容编号 \* ARABIC</w:instrText>
            </w:r>
            <w:r>
              <w:rPr>
                <w:bCs/>
                <w:szCs w:val="24"/>
              </w:rPr>
              <w:instrText xml:space="preserve"> </w:instrText>
            </w:r>
            <w:r>
              <w:rPr>
                <w:bCs/>
                <w:szCs w:val="24"/>
              </w:rPr>
              <w:fldChar w:fldCharType="separate"/>
            </w:r>
            <w:r>
              <w:rPr>
                <w:bCs/>
                <w:szCs w:val="24"/>
              </w:rPr>
              <w:t>4</w:t>
            </w:r>
            <w:r>
              <w:rPr>
                <w:szCs w:val="24"/>
              </w:rPr>
              <w:fldChar w:fldCharType="end"/>
            </w:r>
            <w:r>
              <w:rPr>
                <w:rFonts w:hint="eastAsia"/>
                <w:szCs w:val="24"/>
              </w:rPr>
              <w:t>、主</w:t>
            </w:r>
            <w:r>
              <w:rPr>
                <w:szCs w:val="24"/>
              </w:rPr>
              <w:t>要</w:t>
            </w:r>
            <w:r>
              <w:rPr>
                <w:rFonts w:hint="eastAsia"/>
                <w:szCs w:val="24"/>
              </w:rPr>
              <w:t>原辅材料及能源消耗</w:t>
            </w:r>
            <w:r>
              <w:rPr>
                <w:szCs w:val="24"/>
              </w:rPr>
              <w:t>情况</w:t>
            </w:r>
          </w:p>
          <w:p>
            <w:pPr>
              <w:pStyle w:val="63"/>
              <w:ind w:firstLine="480"/>
            </w:pPr>
            <w:r>
              <w:rPr>
                <w:rFonts w:hint="eastAsia"/>
              </w:rPr>
              <w:t>（1）拟建项目原辅材料及能源消耗情况</w:t>
            </w:r>
          </w:p>
          <w:p>
            <w:pPr>
              <w:pStyle w:val="63"/>
              <w:ind w:firstLine="480"/>
            </w:pPr>
            <w:r>
              <w:rPr>
                <w:rFonts w:hint="eastAsia"/>
              </w:rPr>
              <w:t>拟建项目原辅材料及能源消耗情况见</w:t>
            </w:r>
            <w:r>
              <w:fldChar w:fldCharType="begin"/>
            </w:r>
            <w:r>
              <w:instrText xml:space="preserve"> </w:instrText>
            </w:r>
            <w:r>
              <w:rPr>
                <w:rFonts w:hint="eastAsia"/>
              </w:rPr>
              <w:instrText xml:space="preserve">REF _Ref130047746 \h</w:instrText>
            </w:r>
            <w:r>
              <w:instrText xml:space="preserve"> </w:instrText>
            </w:r>
            <w:r>
              <w:fldChar w:fldCharType="separate"/>
            </w:r>
            <w:r>
              <w:t>表11</w:t>
            </w:r>
            <w:r>
              <w:fldChar w:fldCharType="end"/>
            </w:r>
            <w:r>
              <w:rPr>
                <w:rFonts w:hint="eastAsia"/>
              </w:rPr>
              <w:t>。</w:t>
            </w:r>
          </w:p>
          <w:p>
            <w:pPr>
              <w:pStyle w:val="320"/>
            </w:pPr>
            <w:bookmarkStart w:id="13" w:name="_Ref130047746"/>
            <w:r>
              <w:t>表</w:t>
            </w:r>
            <w:r>
              <w:fldChar w:fldCharType="begin"/>
            </w:r>
            <w:r>
              <w:instrText xml:space="preserve"> SEQ 表格 \* ARABIC </w:instrText>
            </w:r>
            <w:r>
              <w:fldChar w:fldCharType="separate"/>
            </w:r>
            <w:r>
              <w:t>11</w:t>
            </w:r>
            <w:r>
              <w:fldChar w:fldCharType="end"/>
            </w:r>
            <w:bookmarkEnd w:id="13"/>
            <w:r>
              <w:t xml:space="preserve"> 拟建项</w:t>
            </w:r>
            <w:r>
              <w:rPr>
                <w:rFonts w:hint="eastAsia"/>
              </w:rPr>
              <w:t>目原辅料及能源消耗情况</w:t>
            </w:r>
            <w:r>
              <w:t>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21"/>
              <w:gridCol w:w="1395"/>
              <w:gridCol w:w="1978"/>
              <w:gridCol w:w="29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68"/>
                    <w:spacing w:before="24" w:after="24"/>
                    <w:ind w:left="24" w:right="24"/>
                    <w:rPr>
                      <w:rFonts w:ascii="宋体" w:hAnsi="宋体"/>
                    </w:rPr>
                  </w:pPr>
                  <w:r>
                    <w:rPr>
                      <w:rFonts w:hint="eastAsia" w:ascii="宋体" w:hAnsi="宋体"/>
                    </w:rPr>
                    <w:t>类别</w:t>
                  </w:r>
                </w:p>
              </w:tc>
              <w:tc>
                <w:tcPr>
                  <w:tcW w:w="1013" w:type="pct"/>
                  <w:vAlign w:val="center"/>
                </w:tcPr>
                <w:p>
                  <w:pPr>
                    <w:pStyle w:val="68"/>
                    <w:spacing w:before="24" w:after="24"/>
                    <w:ind w:left="24" w:right="24"/>
                    <w:rPr>
                      <w:rFonts w:ascii="宋体" w:hAnsi="宋体"/>
                    </w:rPr>
                  </w:pPr>
                  <w:r>
                    <w:rPr>
                      <w:rFonts w:hint="eastAsia" w:ascii="宋体" w:hAnsi="宋体"/>
                    </w:rPr>
                    <w:t>名称</w:t>
                  </w:r>
                </w:p>
              </w:tc>
              <w:tc>
                <w:tcPr>
                  <w:tcW w:w="776" w:type="pct"/>
                  <w:vAlign w:val="center"/>
                </w:tcPr>
                <w:p>
                  <w:pPr>
                    <w:pStyle w:val="68"/>
                    <w:spacing w:before="24" w:after="24"/>
                    <w:ind w:left="24" w:right="24"/>
                    <w:rPr>
                      <w:rFonts w:ascii="宋体" w:hAnsi="宋体"/>
                    </w:rPr>
                  </w:pPr>
                  <w:r>
                    <w:rPr>
                      <w:rFonts w:ascii="宋体" w:hAnsi="宋体"/>
                    </w:rPr>
                    <w:t>单位</w:t>
                  </w:r>
                </w:p>
              </w:tc>
              <w:tc>
                <w:tcPr>
                  <w:tcW w:w="1100" w:type="pct"/>
                  <w:vAlign w:val="center"/>
                </w:tcPr>
                <w:p>
                  <w:pPr>
                    <w:pStyle w:val="68"/>
                    <w:spacing w:before="24" w:after="24"/>
                    <w:ind w:left="24" w:right="24"/>
                    <w:rPr>
                      <w:rFonts w:ascii="宋体" w:hAnsi="宋体"/>
                    </w:rPr>
                  </w:pPr>
                  <w:r>
                    <w:rPr>
                      <w:rFonts w:hint="eastAsia" w:ascii="宋体" w:hAnsi="宋体"/>
                    </w:rPr>
                    <w:t>消耗量</w:t>
                  </w:r>
                </w:p>
              </w:tc>
              <w:tc>
                <w:tcPr>
                  <w:tcW w:w="1637" w:type="pct"/>
                  <w:vAlign w:val="center"/>
                </w:tcPr>
                <w:p>
                  <w:pPr>
                    <w:pStyle w:val="68"/>
                    <w:spacing w:before="24" w:after="24"/>
                    <w:ind w:left="24" w:right="24"/>
                    <w:rPr>
                      <w:rFonts w:ascii="宋体" w:hAnsi="宋体"/>
                    </w:rPr>
                  </w:pPr>
                  <w:r>
                    <w:rPr>
                      <w:rFonts w:hint="eastAsia" w:ascii="宋体" w:hAnsi="宋体"/>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restart"/>
                  <w:vAlign w:val="center"/>
                </w:tcPr>
                <w:p>
                  <w:pPr>
                    <w:pStyle w:val="68"/>
                    <w:spacing w:before="24" w:after="24"/>
                    <w:ind w:left="24" w:right="24"/>
                    <w:rPr>
                      <w:rFonts w:ascii="宋体" w:hAnsi="宋体"/>
                    </w:rPr>
                  </w:pPr>
                  <w:r>
                    <w:rPr>
                      <w:rFonts w:hint="eastAsia" w:ascii="宋体" w:hAnsi="宋体"/>
                    </w:rPr>
                    <w:t>商品混凝土</w:t>
                  </w:r>
                </w:p>
              </w:tc>
              <w:tc>
                <w:tcPr>
                  <w:tcW w:w="1013" w:type="pct"/>
                  <w:vAlign w:val="center"/>
                </w:tcPr>
                <w:p>
                  <w:pPr>
                    <w:pStyle w:val="68"/>
                    <w:spacing w:before="24" w:after="24"/>
                    <w:ind w:left="24" w:right="24"/>
                    <w:rPr>
                      <w:rFonts w:ascii="宋体" w:hAnsi="宋体"/>
                    </w:rPr>
                  </w:pPr>
                  <w:r>
                    <w:rPr>
                      <w:rFonts w:hint="eastAsia" w:ascii="宋体" w:hAnsi="宋体"/>
                    </w:rPr>
                    <w:t>水泥</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78000</w:t>
                  </w:r>
                </w:p>
              </w:tc>
              <w:tc>
                <w:tcPr>
                  <w:tcW w:w="1637" w:type="pct"/>
                  <w:vAlign w:val="center"/>
                </w:tcPr>
                <w:p>
                  <w:pPr>
                    <w:pStyle w:val="68"/>
                    <w:spacing w:before="24" w:after="24"/>
                    <w:ind w:left="24" w:right="24"/>
                    <w:rPr>
                      <w:rFonts w:ascii="宋体" w:hAnsi="宋体"/>
                    </w:rPr>
                  </w:pPr>
                  <w:r>
                    <w:rPr>
                      <w:rFonts w:hint="eastAsia" w:ascii="宋体" w:hAnsi="宋体"/>
                    </w:rPr>
                    <w:t>外购，密闭罐车运输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矿粉</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18000</w:t>
                  </w:r>
                </w:p>
              </w:tc>
              <w:tc>
                <w:tcPr>
                  <w:tcW w:w="1637" w:type="pct"/>
                  <w:vAlign w:val="center"/>
                </w:tcPr>
                <w:p>
                  <w:pPr>
                    <w:pStyle w:val="68"/>
                    <w:spacing w:before="24" w:after="24"/>
                    <w:ind w:left="24" w:right="24"/>
                    <w:rPr>
                      <w:rFonts w:ascii="宋体" w:hAnsi="宋体"/>
                    </w:rPr>
                  </w:pPr>
                  <w:r>
                    <w:rPr>
                      <w:rFonts w:hint="eastAsia" w:ascii="宋体" w:hAnsi="宋体"/>
                    </w:rPr>
                    <w:t>外购，密闭罐车运输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粉煤灰</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24000</w:t>
                  </w:r>
                </w:p>
              </w:tc>
              <w:tc>
                <w:tcPr>
                  <w:tcW w:w="1637" w:type="pct"/>
                  <w:vAlign w:val="center"/>
                </w:tcPr>
                <w:p>
                  <w:pPr>
                    <w:pStyle w:val="68"/>
                    <w:spacing w:before="24" w:after="24"/>
                    <w:ind w:left="24" w:right="24"/>
                    <w:rPr>
                      <w:rFonts w:ascii="宋体" w:hAnsi="宋体"/>
                    </w:rPr>
                  </w:pPr>
                  <w:r>
                    <w:rPr>
                      <w:rFonts w:hint="eastAsia" w:ascii="宋体" w:hAnsi="宋体"/>
                    </w:rPr>
                    <w:t>外购，密闭罐车运输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机制砂</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135000</w:t>
                  </w:r>
                </w:p>
              </w:tc>
              <w:tc>
                <w:tcPr>
                  <w:tcW w:w="1637" w:type="pct"/>
                  <w:vAlign w:val="center"/>
                </w:tcPr>
                <w:p>
                  <w:pPr>
                    <w:pStyle w:val="68"/>
                    <w:spacing w:before="24" w:after="24"/>
                    <w:ind w:left="24" w:right="24"/>
                    <w:rPr>
                      <w:rFonts w:ascii="宋体" w:hAnsi="宋体"/>
                    </w:rPr>
                  </w:pPr>
                  <w:r>
                    <w:rPr>
                      <w:rFonts w:hint="eastAsia" w:ascii="宋体" w:hAnsi="宋体"/>
                    </w:rPr>
                    <w:t>外购，密封车辆运输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天然砂</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135000</w:t>
                  </w:r>
                </w:p>
              </w:tc>
              <w:tc>
                <w:tcPr>
                  <w:tcW w:w="1637" w:type="pct"/>
                </w:tcPr>
                <w:p>
                  <w:pPr>
                    <w:pStyle w:val="68"/>
                    <w:spacing w:before="24" w:after="24"/>
                    <w:ind w:left="24" w:right="24"/>
                    <w:rPr>
                      <w:rFonts w:ascii="宋体" w:hAnsi="宋体"/>
                    </w:rPr>
                  </w:pPr>
                  <w:r>
                    <w:rPr>
                      <w:rFonts w:hint="eastAsia" w:ascii="宋体" w:hAnsi="宋体"/>
                    </w:rPr>
                    <w:t>外购，密封车辆运输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碎石（16-20）</w:t>
                  </w:r>
                </w:p>
              </w:tc>
              <w:tc>
                <w:tcPr>
                  <w:tcW w:w="776" w:type="pct"/>
                  <w:vAlign w:val="center"/>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206100</w:t>
                  </w:r>
                </w:p>
              </w:tc>
              <w:tc>
                <w:tcPr>
                  <w:tcW w:w="1637" w:type="pct"/>
                </w:tcPr>
                <w:p>
                  <w:pPr>
                    <w:pStyle w:val="68"/>
                    <w:spacing w:before="24" w:after="24"/>
                    <w:ind w:left="24" w:right="24"/>
                    <w:rPr>
                      <w:rFonts w:ascii="宋体" w:hAnsi="宋体"/>
                    </w:rPr>
                  </w:pPr>
                  <w:r>
                    <w:rPr>
                      <w:rFonts w:hint="eastAsia" w:ascii="宋体" w:hAnsi="宋体"/>
                    </w:rPr>
                    <w:t>外购，密封车辆运输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碎石（5-16）</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69000</w:t>
                  </w:r>
                </w:p>
              </w:tc>
              <w:tc>
                <w:tcPr>
                  <w:tcW w:w="1637" w:type="pct"/>
                </w:tcPr>
                <w:p>
                  <w:pPr>
                    <w:pStyle w:val="68"/>
                    <w:spacing w:before="24" w:after="24"/>
                    <w:ind w:left="24" w:right="24"/>
                    <w:rPr>
                      <w:rFonts w:ascii="宋体" w:hAnsi="宋体"/>
                    </w:rPr>
                  </w:pPr>
                  <w:r>
                    <w:rPr>
                      <w:rFonts w:hint="eastAsia" w:ascii="宋体" w:hAnsi="宋体"/>
                    </w:rPr>
                    <w:t>外购，密封车辆运输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外加剂</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hint="eastAsia" w:ascii="宋体" w:hAnsi="宋体"/>
                    </w:rPr>
                    <w:t>2100</w:t>
                  </w:r>
                </w:p>
              </w:tc>
              <w:tc>
                <w:tcPr>
                  <w:tcW w:w="1637" w:type="pct"/>
                  <w:vAlign w:val="center"/>
                </w:tcPr>
                <w:p>
                  <w:pPr>
                    <w:pStyle w:val="68"/>
                    <w:spacing w:before="24" w:after="24"/>
                    <w:ind w:left="24" w:right="24"/>
                    <w:rPr>
                      <w:rFonts w:ascii="宋体" w:hAnsi="宋体"/>
                    </w:rPr>
                  </w:pPr>
                  <w:r>
                    <w:rPr>
                      <w:rFonts w:hint="eastAsia" w:ascii="宋体" w:hAnsi="宋体"/>
                    </w:rPr>
                    <w:t>外购，罐车运输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水</w:t>
                  </w:r>
                </w:p>
              </w:tc>
              <w:tc>
                <w:tcPr>
                  <w:tcW w:w="776" w:type="pct"/>
                </w:tcPr>
                <w:p>
                  <w:pPr>
                    <w:pStyle w:val="68"/>
                    <w:spacing w:before="24" w:after="24"/>
                    <w:ind w:left="24" w:right="24"/>
                    <w:rPr>
                      <w:rFonts w:ascii="宋体" w:hAnsi="宋体"/>
                    </w:rPr>
                  </w:pPr>
                  <w:r>
                    <w:rPr>
                      <w:rFonts w:hint="eastAsia" w:ascii="宋体" w:hAnsi="宋体"/>
                    </w:rPr>
                    <w:t>t</w:t>
                  </w:r>
                  <w:r>
                    <w:rPr>
                      <w:rFonts w:ascii="宋体" w:hAnsi="宋体"/>
                    </w:rPr>
                    <w:t>/a</w:t>
                  </w:r>
                </w:p>
              </w:tc>
              <w:tc>
                <w:tcPr>
                  <w:tcW w:w="1100" w:type="pct"/>
                  <w:vAlign w:val="center"/>
                </w:tcPr>
                <w:p>
                  <w:pPr>
                    <w:pStyle w:val="68"/>
                    <w:spacing w:before="24" w:after="24"/>
                    <w:ind w:left="24" w:right="24"/>
                    <w:rPr>
                      <w:rFonts w:ascii="宋体" w:hAnsi="宋体"/>
                    </w:rPr>
                  </w:pPr>
                  <w:r>
                    <w:rPr>
                      <w:rFonts w:ascii="宋体" w:hAnsi="宋体"/>
                    </w:rPr>
                    <w:t>36000</w:t>
                  </w:r>
                </w:p>
              </w:tc>
              <w:tc>
                <w:tcPr>
                  <w:tcW w:w="1637" w:type="pct"/>
                  <w:vAlign w:val="center"/>
                </w:tcPr>
                <w:p>
                  <w:pPr>
                    <w:pStyle w:val="68"/>
                    <w:spacing w:before="24" w:after="24"/>
                    <w:ind w:left="24" w:right="24"/>
                    <w:rPr>
                      <w:rFonts w:ascii="宋体" w:hAnsi="宋体"/>
                    </w:rPr>
                  </w:pPr>
                  <w:r>
                    <w:rPr>
                      <w:rFonts w:hint="eastAsia"/>
                    </w:rPr>
                    <w:t>山亭区供水管网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restart"/>
                  <w:vAlign w:val="center"/>
                </w:tcPr>
                <w:p>
                  <w:pPr>
                    <w:pStyle w:val="68"/>
                    <w:spacing w:before="24" w:after="24"/>
                    <w:ind w:left="24" w:right="24"/>
                    <w:rPr>
                      <w:rFonts w:ascii="宋体" w:hAnsi="宋体"/>
                    </w:rPr>
                  </w:pPr>
                  <w:r>
                    <w:rPr>
                      <w:rFonts w:hint="eastAsia" w:ascii="宋体" w:hAnsi="宋体"/>
                    </w:rPr>
                    <w:t>公用工程</w:t>
                  </w:r>
                </w:p>
              </w:tc>
              <w:tc>
                <w:tcPr>
                  <w:tcW w:w="1013" w:type="pct"/>
                  <w:vAlign w:val="center"/>
                </w:tcPr>
                <w:p>
                  <w:pPr>
                    <w:pStyle w:val="68"/>
                    <w:spacing w:before="24" w:after="24"/>
                    <w:ind w:left="24" w:right="24"/>
                    <w:rPr>
                      <w:rFonts w:ascii="宋体" w:hAnsi="宋体"/>
                    </w:rPr>
                  </w:pPr>
                  <w:r>
                    <w:rPr>
                      <w:rFonts w:hint="eastAsia" w:ascii="宋体" w:hAnsi="宋体"/>
                    </w:rPr>
                    <w:t>水</w:t>
                  </w:r>
                </w:p>
              </w:tc>
              <w:tc>
                <w:tcPr>
                  <w:tcW w:w="776" w:type="pct"/>
                </w:tcPr>
                <w:p>
                  <w:pPr>
                    <w:pStyle w:val="68"/>
                    <w:spacing w:before="24" w:after="24"/>
                    <w:ind w:left="24" w:right="24"/>
                    <w:rPr>
                      <w:rFonts w:ascii="宋体" w:hAnsi="宋体"/>
                    </w:rPr>
                  </w:pPr>
                  <w:r>
                    <w:rPr>
                      <w:rFonts w:hint="eastAsia" w:ascii="宋体" w:hAnsi="宋体"/>
                    </w:rPr>
                    <w:t>m</w:t>
                  </w:r>
                  <w:r>
                    <w:rPr>
                      <w:rFonts w:ascii="宋体" w:hAnsi="宋体"/>
                      <w:vertAlign w:val="superscript"/>
                    </w:rPr>
                    <w:t>3</w:t>
                  </w:r>
                  <w:r>
                    <w:rPr>
                      <w:rFonts w:ascii="宋体" w:hAnsi="宋体"/>
                    </w:rPr>
                    <w:t>/a</w:t>
                  </w:r>
                </w:p>
              </w:tc>
              <w:tc>
                <w:tcPr>
                  <w:tcW w:w="1100" w:type="pct"/>
                  <w:vAlign w:val="bottom"/>
                </w:tcPr>
                <w:p>
                  <w:pPr>
                    <w:pStyle w:val="68"/>
                    <w:spacing w:before="24" w:after="24"/>
                    <w:ind w:left="24" w:right="24"/>
                    <w:rPr>
                      <w:rFonts w:ascii="宋体" w:hAnsi="宋体"/>
                    </w:rPr>
                  </w:pPr>
                  <w:r>
                    <w:rPr>
                      <w:rFonts w:ascii="宋体" w:hAnsi="宋体"/>
                    </w:rPr>
                    <w:t>1950</w:t>
                  </w:r>
                </w:p>
              </w:tc>
              <w:tc>
                <w:tcPr>
                  <w:tcW w:w="1637" w:type="pct"/>
                  <w:vAlign w:val="center"/>
                </w:tcPr>
                <w:p>
                  <w:pPr>
                    <w:pStyle w:val="68"/>
                    <w:spacing w:before="24" w:after="24"/>
                    <w:ind w:left="24" w:right="24"/>
                    <w:rPr>
                      <w:rFonts w:ascii="宋体" w:hAnsi="宋体"/>
                    </w:rPr>
                  </w:pPr>
                  <w:r>
                    <w:rPr>
                      <w:rFonts w:hint="eastAsia"/>
                    </w:rPr>
                    <w:t>山亭区供水管网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68"/>
                    <w:spacing w:before="24" w:after="24"/>
                    <w:ind w:left="24" w:right="24"/>
                    <w:rPr>
                      <w:rFonts w:ascii="宋体" w:hAnsi="宋体"/>
                    </w:rPr>
                  </w:pPr>
                </w:p>
              </w:tc>
              <w:tc>
                <w:tcPr>
                  <w:tcW w:w="1013" w:type="pct"/>
                  <w:vAlign w:val="center"/>
                </w:tcPr>
                <w:p>
                  <w:pPr>
                    <w:pStyle w:val="68"/>
                    <w:spacing w:before="24" w:after="24"/>
                    <w:ind w:left="24" w:right="24"/>
                    <w:rPr>
                      <w:rFonts w:ascii="宋体" w:hAnsi="宋体"/>
                    </w:rPr>
                  </w:pPr>
                  <w:r>
                    <w:rPr>
                      <w:rFonts w:hint="eastAsia" w:ascii="宋体" w:hAnsi="宋体"/>
                    </w:rPr>
                    <w:t>电</w:t>
                  </w:r>
                </w:p>
              </w:tc>
              <w:tc>
                <w:tcPr>
                  <w:tcW w:w="776" w:type="pct"/>
                  <w:vAlign w:val="center"/>
                </w:tcPr>
                <w:p>
                  <w:pPr>
                    <w:pStyle w:val="68"/>
                    <w:spacing w:before="24" w:after="24"/>
                    <w:ind w:left="24" w:right="24"/>
                    <w:rPr>
                      <w:rFonts w:ascii="宋体" w:hAnsi="宋体"/>
                    </w:rPr>
                  </w:pPr>
                  <w:r>
                    <w:rPr>
                      <w:rFonts w:hint="eastAsia" w:ascii="宋体" w:hAnsi="宋体"/>
                    </w:rPr>
                    <w:t>万kwh</w:t>
                  </w:r>
                  <w:r>
                    <w:rPr>
                      <w:rFonts w:ascii="宋体" w:hAnsi="宋体"/>
                    </w:rPr>
                    <w:t>/a</w:t>
                  </w:r>
                </w:p>
              </w:tc>
              <w:tc>
                <w:tcPr>
                  <w:tcW w:w="1100" w:type="pct"/>
                  <w:vAlign w:val="center"/>
                </w:tcPr>
                <w:p>
                  <w:pPr>
                    <w:pStyle w:val="68"/>
                    <w:spacing w:before="24" w:after="24"/>
                    <w:ind w:left="24" w:right="24"/>
                    <w:rPr>
                      <w:rFonts w:ascii="宋体" w:hAnsi="宋体"/>
                    </w:rPr>
                  </w:pPr>
                  <w:r>
                    <w:rPr>
                      <w:rFonts w:ascii="宋体" w:hAnsi="宋体"/>
                    </w:rPr>
                    <w:t>30</w:t>
                  </w:r>
                </w:p>
              </w:tc>
              <w:tc>
                <w:tcPr>
                  <w:tcW w:w="1637" w:type="pct"/>
                  <w:vAlign w:val="center"/>
                </w:tcPr>
                <w:p>
                  <w:pPr>
                    <w:pStyle w:val="68"/>
                    <w:spacing w:before="24" w:after="24"/>
                    <w:ind w:left="24" w:right="24"/>
                    <w:rPr>
                      <w:rFonts w:ascii="宋体" w:hAnsi="宋体"/>
                    </w:rPr>
                  </w:pPr>
                  <w:r>
                    <w:rPr>
                      <w:rFonts w:hint="eastAsia" w:ascii="宋体" w:hAnsi="宋体"/>
                    </w:rPr>
                    <w:t>徐庄镇供电所</w:t>
                  </w:r>
                </w:p>
              </w:tc>
            </w:tr>
          </w:tbl>
          <w:p>
            <w:pPr>
              <w:pStyle w:val="69"/>
              <w:ind w:left="48" w:right="48"/>
              <w:rPr>
                <w:lang w:eastAsia="zh-CN"/>
              </w:rPr>
            </w:pPr>
            <w:r>
              <w:rPr>
                <w:rFonts w:hint="eastAsia"/>
                <w:lang w:eastAsia="zh-CN"/>
              </w:rPr>
              <w:t>（2）原辅材料中与污染排放有关的物质或元素</w:t>
            </w:r>
          </w:p>
          <w:p>
            <w:pPr>
              <w:pStyle w:val="69"/>
              <w:ind w:left="48" w:right="48"/>
              <w:rPr>
                <w:lang w:eastAsia="zh-CN"/>
              </w:rPr>
            </w:pPr>
            <w:r>
              <w:rPr>
                <w:rFonts w:hint="eastAsia"/>
                <w:lang w:eastAsia="zh-CN"/>
              </w:rPr>
              <w:t>①水泥：粉状水硬性无机胶凝材料。加水搅拌后成浆体，能在空气中硬化或者在水中更好的硬化，并能把砂、石等材料牢固地胶结在一起。水泥是重要的建筑材料，用水泥制成的混凝土，坚固耐久，广泛应用于土木建筑、水利、国防等工程。</w:t>
            </w:r>
          </w:p>
          <w:p>
            <w:pPr>
              <w:pStyle w:val="69"/>
              <w:ind w:left="48" w:right="48"/>
              <w:rPr>
                <w:lang w:eastAsia="zh-CN"/>
              </w:rPr>
            </w:pPr>
            <w:r>
              <w:rPr>
                <w:rFonts w:hint="eastAsia"/>
                <w:lang w:eastAsia="zh-CN"/>
              </w:rPr>
              <w:t>②矿粉：高细度，高活性粉料，是优质的混凝土掺合料和水泥混合材。通过使用粒化高炉矿渣粉，可有效提高混凝土的抗压强度，降低混凝土的成本。同时对抑制碱骨料反应，降低水化热，减少混凝土结构早期温度裂缝，提高混凝土密实度，提高抗渗和抗侵蚀能力有明显效果。</w:t>
            </w:r>
          </w:p>
          <w:p>
            <w:pPr>
              <w:pStyle w:val="69"/>
              <w:ind w:left="48" w:right="48"/>
              <w:rPr>
                <w:lang w:eastAsia="zh-CN"/>
              </w:rPr>
            </w:pPr>
            <w:r>
              <w:rPr>
                <w:rFonts w:hint="eastAsia"/>
                <w:lang w:eastAsia="zh-CN"/>
              </w:rPr>
              <w:t>③粉煤灰：煤燃烧后的烟气中收捕下来的细灰称为粉煤灰，粉煤灰是生产建筑干粉的主要填充材料。在混凝土中掺加粉煤灰节约了大量的水泥和细骨料；减少了用水量；改善了混凝土拌和物的和易性；增强混凝土的可泵性；减少了混凝土的徐变；减少水化热、热能膨胀性；提高混凝土抗渗能力；增加混凝土地修饰性。</w:t>
            </w:r>
          </w:p>
          <w:p>
            <w:pPr>
              <w:pStyle w:val="69"/>
              <w:ind w:left="48" w:right="48"/>
              <w:rPr>
                <w:lang w:eastAsia="zh-CN"/>
              </w:rPr>
            </w:pPr>
            <w:r>
              <w:rPr>
                <w:rFonts w:hint="eastAsia"/>
                <w:lang w:eastAsia="zh-CN"/>
              </w:rPr>
              <w:t>④外加剂：</w:t>
            </w:r>
          </w:p>
          <w:p>
            <w:pPr>
              <w:pStyle w:val="69"/>
              <w:ind w:left="48" w:right="48"/>
              <w:rPr>
                <w:lang w:eastAsia="zh-CN"/>
              </w:rPr>
            </w:pPr>
            <w:r>
              <w:rPr>
                <w:rFonts w:hint="eastAsia"/>
                <w:lang w:eastAsia="zh-CN"/>
              </w:rPr>
              <w:t>根据</w:t>
            </w:r>
            <w:r>
              <w:rPr>
                <w:lang w:eastAsia="zh-CN"/>
              </w:rPr>
              <w:t>《混凝土外加剂分类、命名与定义》GB8075-87，</w:t>
            </w:r>
            <w:r>
              <w:rPr>
                <w:rFonts w:hint="eastAsia"/>
                <w:lang w:eastAsia="zh-CN"/>
              </w:rPr>
              <w:t>混凝土外加剂</w:t>
            </w:r>
            <w:r>
              <w:rPr>
                <w:lang w:eastAsia="zh-CN"/>
              </w:rPr>
              <w:t>是在拌制混凝土过程中加入，占水泥质量5%以下的，能显著改善混凝土性能的化学物质。混凝土外加剂的特点是品种多、掺量小，对混凝土的性能影响较大具有投资少、见效快、技术经济效益显著的特点。随着科学技术的不断进步，外加剂已越来越多地得到应用，外加剂已成为混凝土除4种基本组分以外的第5种重要组分。</w:t>
            </w:r>
            <w:r>
              <w:rPr>
                <w:rFonts w:hint="eastAsia"/>
                <w:lang w:eastAsia="zh-CN"/>
              </w:rPr>
              <w:t>外加剂主要包括早强剂、速凝剂、引气剂、减水剂、缓凝剂、加气剂、膨胀剂等。</w:t>
            </w:r>
          </w:p>
          <w:p>
            <w:pPr>
              <w:pStyle w:val="69"/>
              <w:ind w:left="48" w:right="48"/>
              <w:rPr>
                <w:lang w:eastAsia="zh-CN"/>
              </w:rPr>
            </w:pPr>
            <w:r>
              <w:rPr>
                <w:rFonts w:hint="eastAsia"/>
                <w:lang w:eastAsia="zh-CN"/>
              </w:rPr>
              <w:t>早强剂：A、可溶性无机盐：氯化物、碳酸盐、硝酸盐、硫代硫酸盐、硅酸盐、铝酸盐、碱性氢氧化物等；B、可溶性有机物：三乙醇胺、甲酸钙、乙酸钙、丙酸钙和丁酸钙、尿素、草酸、胺与甲醛缩合物。</w:t>
            </w:r>
          </w:p>
          <w:p>
            <w:pPr>
              <w:pStyle w:val="69"/>
              <w:ind w:left="48" w:right="48"/>
              <w:rPr>
                <w:lang w:eastAsia="zh-CN"/>
              </w:rPr>
            </w:pPr>
            <w:r>
              <w:rPr>
                <w:rFonts w:hint="eastAsia"/>
                <w:lang w:eastAsia="zh-CN"/>
              </w:rPr>
              <w:t>速凝剂：铁盐、氟化物、氯化铝、铝酸钠、碳酸钾。</w:t>
            </w:r>
          </w:p>
          <w:p>
            <w:pPr>
              <w:pStyle w:val="69"/>
              <w:ind w:left="48" w:right="48"/>
              <w:rPr>
                <w:lang w:eastAsia="zh-CN"/>
              </w:rPr>
            </w:pPr>
            <w:r>
              <w:rPr>
                <w:lang w:eastAsia="zh-CN"/>
              </w:rPr>
              <w:t>高效减水剂：萘磺酸盐甲醛缩合物、多环芳烃磺酸盐甲醛缩合物、三聚氰胺磺酸盐甲醛缩聚物、对胺基苯磺酸甲醛缩聚物、磺化酮醛缩聚物、聚丙烯酸盐及其接枝共聚物等。</w:t>
            </w:r>
          </w:p>
          <w:p>
            <w:pPr>
              <w:pStyle w:val="69"/>
              <w:ind w:left="48" w:right="48"/>
              <w:rPr>
                <w:lang w:eastAsia="zh-CN"/>
              </w:rPr>
            </w:pPr>
            <w:r>
              <w:rPr>
                <w:rFonts w:hint="eastAsia"/>
                <w:lang w:eastAsia="zh-CN"/>
              </w:rPr>
              <w:t>缓凝剂：含有羧基、膦酸基、磺酸基的聚合物和羟基羧酸（盐）、有机膦酸（盐）等有机物类缓凝剂。</w:t>
            </w:r>
          </w:p>
          <w:p>
            <w:pPr>
              <w:pStyle w:val="69"/>
              <w:ind w:left="48" w:right="48"/>
              <w:rPr>
                <w:lang w:eastAsia="zh-CN"/>
              </w:rPr>
            </w:pPr>
            <w:r>
              <w:rPr>
                <w:rFonts w:hint="eastAsia"/>
                <w:lang w:eastAsia="zh-CN"/>
              </w:rPr>
              <w:t>加气剂：过氧化氢、金属铝粉、吸附空气的某些</w:t>
            </w:r>
            <w:bookmarkStart w:id="43" w:name="_GoBack"/>
            <w:bookmarkEnd w:id="43"/>
            <w:r>
              <w:rPr>
                <w:rFonts w:hint="eastAsia"/>
                <w:lang w:eastAsia="zh-CN"/>
              </w:rPr>
              <w:t>活性炭。</w:t>
            </w:r>
          </w:p>
          <w:p>
            <w:pPr>
              <w:pStyle w:val="69"/>
              <w:ind w:left="48" w:right="48"/>
              <w:rPr>
                <w:lang w:eastAsia="zh-CN"/>
              </w:rPr>
            </w:pPr>
            <w:r>
              <w:rPr>
                <w:lang w:eastAsia="zh-CN"/>
              </w:rPr>
              <w:t>膨胀剂：细铁粉或粒状铁粉与氧化促进剂、石灰系、硫铝酸盐系。</w:t>
            </w:r>
          </w:p>
          <w:p>
            <w:pPr>
              <w:pStyle w:val="69"/>
              <w:ind w:left="48" w:right="48"/>
              <w:rPr>
                <w:b/>
                <w:lang w:eastAsia="zh-CN"/>
              </w:rPr>
            </w:pPr>
            <w:r>
              <w:rPr>
                <w:b/>
                <w:bCs/>
              </w:rPr>
              <w:fldChar w:fldCharType="begin"/>
            </w:r>
            <w:r>
              <w:rPr>
                <w:b/>
                <w:bCs/>
                <w:lang w:eastAsia="zh-CN"/>
              </w:rPr>
              <w:instrText xml:space="preserve"> </w:instrText>
            </w:r>
            <w:r>
              <w:rPr>
                <w:rFonts w:hint="eastAsia"/>
                <w:b/>
                <w:bCs/>
                <w:lang w:eastAsia="zh-CN"/>
              </w:rPr>
              <w:instrText xml:space="preserve">SEQ 建设内容编号 \* ARABIC</w:instrText>
            </w:r>
            <w:r>
              <w:rPr>
                <w:b/>
                <w:bCs/>
                <w:lang w:eastAsia="zh-CN"/>
              </w:rPr>
              <w:instrText xml:space="preserve"> </w:instrText>
            </w:r>
            <w:r>
              <w:rPr>
                <w:b/>
                <w:bCs/>
              </w:rPr>
              <w:fldChar w:fldCharType="separate"/>
            </w:r>
            <w:r>
              <w:rPr>
                <w:b/>
                <w:bCs/>
                <w:lang w:eastAsia="zh-CN"/>
              </w:rPr>
              <w:t>5</w:t>
            </w:r>
            <w:r>
              <w:fldChar w:fldCharType="end"/>
            </w:r>
            <w:r>
              <w:rPr>
                <w:rFonts w:hint="eastAsia"/>
                <w:b/>
                <w:lang w:eastAsia="zh-CN"/>
              </w:rPr>
              <w:t xml:space="preserve">、主要生产设备设施情况 </w:t>
            </w:r>
          </w:p>
          <w:p>
            <w:pPr>
              <w:spacing w:line="360" w:lineRule="auto"/>
              <w:ind w:firstLine="482"/>
              <w:jc w:val="left"/>
              <w:rPr>
                <w:rFonts w:eastAsia="新宋体" w:cs="Times New Roman"/>
              </w:rPr>
            </w:pPr>
            <w:r>
              <w:rPr>
                <w:rFonts w:hint="eastAsia" w:eastAsia="新宋体" w:cs="Times New Roman"/>
              </w:rPr>
              <w:t>项目主要生产设备设施情况见</w:t>
            </w:r>
            <w:r>
              <w:rPr>
                <w:rFonts w:eastAsia="新宋体" w:cs="Times New Roman"/>
              </w:rPr>
              <w:fldChar w:fldCharType="begin"/>
            </w:r>
            <w:r>
              <w:rPr>
                <w:rFonts w:eastAsia="新宋体" w:cs="Times New Roman"/>
              </w:rPr>
              <w:instrText xml:space="preserve"> </w:instrText>
            </w:r>
            <w:r>
              <w:rPr>
                <w:rFonts w:hint="eastAsia" w:eastAsia="新宋体" w:cs="Times New Roman"/>
              </w:rPr>
              <w:instrText xml:space="preserve">REF _Ref131433982 \h</w:instrText>
            </w:r>
            <w:r>
              <w:rPr>
                <w:rFonts w:eastAsia="新宋体" w:cs="Times New Roman"/>
              </w:rPr>
              <w:instrText xml:space="preserve"> </w:instrText>
            </w:r>
            <w:r>
              <w:rPr>
                <w:rFonts w:eastAsia="新宋体" w:cs="Times New Roman"/>
              </w:rPr>
              <w:fldChar w:fldCharType="separate"/>
            </w:r>
            <w:r>
              <w:rPr>
                <w:rFonts w:cs="Times New Roman"/>
                <w:bCs/>
                <w:snapToGrid w:val="0"/>
                <w:color w:val="000000" w:themeColor="text1"/>
                <w:kern w:val="2"/>
                <w:szCs w:val="22"/>
                <w14:textFill>
                  <w14:solidFill>
                    <w14:schemeClr w14:val="tx1"/>
                  </w14:solidFill>
                </w14:textFill>
              </w:rPr>
              <w:t>表12</w:t>
            </w:r>
            <w:r>
              <w:rPr>
                <w:rFonts w:eastAsia="新宋体" w:cs="Times New Roman"/>
              </w:rPr>
              <w:fldChar w:fldCharType="end"/>
            </w:r>
            <w:r>
              <w:rPr>
                <w:rFonts w:hint="eastAsia" w:eastAsia="新宋体" w:cs="Times New Roman"/>
              </w:rPr>
              <w:t>。</w:t>
            </w:r>
          </w:p>
          <w:p>
            <w:pPr>
              <w:widowControl/>
              <w:tabs>
                <w:tab w:val="right" w:pos="13920"/>
              </w:tabs>
              <w:jc w:val="center"/>
              <w:rPr>
                <w:rFonts w:cs="Times New Roman"/>
                <w:bCs/>
                <w:snapToGrid w:val="0"/>
                <w:color w:val="000000" w:themeColor="text1"/>
                <w:kern w:val="2"/>
                <w:szCs w:val="22"/>
                <w14:textFill>
                  <w14:solidFill>
                    <w14:schemeClr w14:val="tx1"/>
                  </w14:solidFill>
                </w14:textFill>
              </w:rPr>
            </w:pPr>
            <w:bookmarkStart w:id="14" w:name="_Ref131433982"/>
            <w:r>
              <w:rPr>
                <w:rFonts w:cs="Times New Roman"/>
                <w:bCs/>
                <w:snapToGrid w:val="0"/>
                <w:color w:val="000000" w:themeColor="text1"/>
                <w:kern w:val="2"/>
                <w:szCs w:val="22"/>
                <w14:textFill>
                  <w14:solidFill>
                    <w14:schemeClr w14:val="tx1"/>
                  </w14:solidFill>
                </w14:textFill>
              </w:rPr>
              <w:t>表</w:t>
            </w:r>
            <w:r>
              <w:rPr>
                <w:rFonts w:cs="Times New Roman"/>
                <w:bCs/>
                <w:snapToGrid w:val="0"/>
                <w:color w:val="000000" w:themeColor="text1"/>
                <w:kern w:val="2"/>
                <w:szCs w:val="22"/>
                <w14:textFill>
                  <w14:solidFill>
                    <w14:schemeClr w14:val="tx1"/>
                  </w14:solidFill>
                </w14:textFill>
              </w:rPr>
              <w:fldChar w:fldCharType="begin"/>
            </w:r>
            <w:r>
              <w:rPr>
                <w:rFonts w:cs="Times New Roman"/>
                <w:bCs/>
                <w:snapToGrid w:val="0"/>
                <w:color w:val="000000" w:themeColor="text1"/>
                <w:kern w:val="2"/>
                <w:szCs w:val="22"/>
                <w14:textFill>
                  <w14:solidFill>
                    <w14:schemeClr w14:val="tx1"/>
                  </w14:solidFill>
                </w14:textFill>
              </w:rPr>
              <w:instrText xml:space="preserve"> SEQ 表格 \* ARABIC </w:instrText>
            </w:r>
            <w:r>
              <w:rPr>
                <w:rFonts w:cs="Times New Roman"/>
                <w:bCs/>
                <w:snapToGrid w:val="0"/>
                <w:color w:val="000000" w:themeColor="text1"/>
                <w:kern w:val="2"/>
                <w:szCs w:val="22"/>
                <w14:textFill>
                  <w14:solidFill>
                    <w14:schemeClr w14:val="tx1"/>
                  </w14:solidFill>
                </w14:textFill>
              </w:rPr>
              <w:fldChar w:fldCharType="separate"/>
            </w:r>
            <w:r>
              <w:rPr>
                <w:rFonts w:cs="Times New Roman"/>
                <w:bCs/>
                <w:snapToGrid w:val="0"/>
                <w:color w:val="000000" w:themeColor="text1"/>
                <w:kern w:val="2"/>
                <w:szCs w:val="22"/>
                <w14:textFill>
                  <w14:solidFill>
                    <w14:schemeClr w14:val="tx1"/>
                  </w14:solidFill>
                </w14:textFill>
              </w:rPr>
              <w:t>12</w:t>
            </w:r>
            <w:r>
              <w:rPr>
                <w:rFonts w:cs="Times New Roman"/>
                <w:bCs/>
                <w:snapToGrid w:val="0"/>
                <w:color w:val="000000" w:themeColor="text1"/>
                <w:kern w:val="2"/>
                <w:szCs w:val="22"/>
                <w14:textFill>
                  <w14:solidFill>
                    <w14:schemeClr w14:val="tx1"/>
                  </w14:solidFill>
                </w14:textFill>
              </w:rPr>
              <w:fldChar w:fldCharType="end"/>
            </w:r>
            <w:bookmarkEnd w:id="14"/>
            <w:r>
              <w:rPr>
                <w:rFonts w:hint="eastAsia" w:cs="Times New Roman"/>
                <w:bCs/>
                <w:snapToGrid w:val="0"/>
                <w:color w:val="000000" w:themeColor="text1"/>
                <w:kern w:val="2"/>
                <w:szCs w:val="22"/>
                <w14:textFill>
                  <w14:solidFill>
                    <w14:schemeClr w14:val="tx1"/>
                  </w14:solidFill>
                </w14:textFill>
              </w:rPr>
              <w:t xml:space="preserve"> 项目主要生产设备设施情况一览表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2674"/>
              <w:gridCol w:w="2131"/>
              <w:gridCol w:w="876"/>
              <w:gridCol w:w="1215"/>
              <w:gridCol w:w="14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spacing w:before="24" w:after="24"/>
                    <w:ind w:left="24" w:right="24"/>
                  </w:pPr>
                  <w:r>
                    <w:t>序号</w:t>
                  </w:r>
                </w:p>
              </w:tc>
              <w:tc>
                <w:tcPr>
                  <w:tcW w:w="1487" w:type="pct"/>
                  <w:tcBorders>
                    <w:tl2br w:val="nil"/>
                    <w:tr2bl w:val="nil"/>
                  </w:tcBorders>
                  <w:shd w:val="clear" w:color="auto" w:fill="auto"/>
                  <w:vAlign w:val="center"/>
                </w:tcPr>
                <w:p>
                  <w:pPr>
                    <w:pStyle w:val="68"/>
                    <w:spacing w:before="24" w:after="24"/>
                    <w:ind w:left="24" w:right="24"/>
                  </w:pPr>
                  <w:r>
                    <w:t>设备名称</w:t>
                  </w:r>
                </w:p>
              </w:tc>
              <w:tc>
                <w:tcPr>
                  <w:tcW w:w="1185" w:type="pct"/>
                  <w:tcBorders>
                    <w:tl2br w:val="nil"/>
                    <w:tr2bl w:val="nil"/>
                  </w:tcBorders>
                  <w:shd w:val="clear" w:color="auto" w:fill="auto"/>
                  <w:vAlign w:val="center"/>
                </w:tcPr>
                <w:p>
                  <w:pPr>
                    <w:pStyle w:val="68"/>
                    <w:spacing w:before="24" w:after="24"/>
                    <w:ind w:left="24" w:right="24"/>
                  </w:pPr>
                  <w:r>
                    <w:rPr>
                      <w:rFonts w:hint="eastAsia"/>
                    </w:rPr>
                    <w:t>规格型号</w:t>
                  </w:r>
                </w:p>
              </w:tc>
              <w:tc>
                <w:tcPr>
                  <w:tcW w:w="487" w:type="pct"/>
                  <w:tcBorders>
                    <w:tl2br w:val="nil"/>
                    <w:tr2bl w:val="nil"/>
                  </w:tcBorders>
                  <w:vAlign w:val="center"/>
                </w:tcPr>
                <w:p>
                  <w:pPr>
                    <w:pStyle w:val="68"/>
                    <w:spacing w:before="24" w:after="24"/>
                    <w:ind w:left="24" w:right="24"/>
                  </w:pPr>
                  <w:r>
                    <w:rPr>
                      <w:rFonts w:hint="eastAsia"/>
                    </w:rPr>
                    <w:t>单位</w:t>
                  </w:r>
                </w:p>
              </w:tc>
              <w:tc>
                <w:tcPr>
                  <w:tcW w:w="676" w:type="pct"/>
                  <w:tcBorders>
                    <w:tl2br w:val="nil"/>
                    <w:tr2bl w:val="nil"/>
                  </w:tcBorders>
                  <w:shd w:val="clear" w:color="auto" w:fill="auto"/>
                  <w:vAlign w:val="center"/>
                </w:tcPr>
                <w:p>
                  <w:pPr>
                    <w:pStyle w:val="68"/>
                    <w:spacing w:before="24" w:after="24"/>
                    <w:ind w:left="24" w:right="24"/>
                  </w:pPr>
                  <w:r>
                    <w:t>数量</w:t>
                  </w:r>
                </w:p>
              </w:tc>
              <w:tc>
                <w:tcPr>
                  <w:tcW w:w="813" w:type="pct"/>
                  <w:tcBorders>
                    <w:tl2br w:val="nil"/>
                    <w:tr2bl w:val="nil"/>
                  </w:tcBorders>
                  <w:vAlign w:val="center"/>
                </w:tcPr>
                <w:p>
                  <w:pPr>
                    <w:pStyle w:val="68"/>
                    <w:spacing w:before="24" w:after="24"/>
                    <w:ind w:left="24" w:right="24"/>
                  </w:pPr>
                  <w:r>
                    <w:rPr>
                      <w:rFonts w:hint="eastAsia"/>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配料站</w:t>
                  </w:r>
                </w:p>
              </w:tc>
              <w:tc>
                <w:tcPr>
                  <w:tcW w:w="1185" w:type="pct"/>
                  <w:tcBorders>
                    <w:tl2br w:val="nil"/>
                    <w:tr2bl w:val="nil"/>
                  </w:tcBorders>
                  <w:shd w:val="clear" w:color="auto" w:fill="auto"/>
                  <w:vAlign w:val="center"/>
                </w:tcPr>
                <w:p>
                  <w:pPr>
                    <w:pStyle w:val="68"/>
                    <w:spacing w:before="24" w:after="24"/>
                    <w:ind w:left="24" w:right="24"/>
                  </w:pPr>
                  <w:r>
                    <w:rPr>
                      <w:rFonts w:hint="eastAsia"/>
                    </w:rPr>
                    <w:t>/</w:t>
                  </w:r>
                </w:p>
              </w:tc>
              <w:tc>
                <w:tcPr>
                  <w:tcW w:w="487" w:type="pct"/>
                  <w:tcBorders>
                    <w:tl2br w:val="nil"/>
                    <w:tr2bl w:val="nil"/>
                  </w:tcBorders>
                  <w:vAlign w:val="center"/>
                </w:tcPr>
                <w:p>
                  <w:pPr>
                    <w:pStyle w:val="68"/>
                    <w:spacing w:before="24" w:after="24"/>
                    <w:ind w:left="24" w:right="24"/>
                  </w:pPr>
                  <w:r>
                    <w:rPr>
                      <w:rFonts w:hint="eastAsia"/>
                    </w:rPr>
                    <w:t>套</w:t>
                  </w:r>
                </w:p>
              </w:tc>
              <w:tc>
                <w:tcPr>
                  <w:tcW w:w="676" w:type="pct"/>
                  <w:tcBorders>
                    <w:tl2br w:val="nil"/>
                    <w:tr2bl w:val="nil"/>
                  </w:tcBorders>
                  <w:shd w:val="clear" w:color="auto" w:fill="auto"/>
                  <w:vAlign w:val="center"/>
                </w:tcPr>
                <w:p>
                  <w:pPr>
                    <w:pStyle w:val="68"/>
                    <w:spacing w:before="24" w:after="24"/>
                    <w:ind w:left="24" w:right="24"/>
                  </w:pPr>
                  <w:r>
                    <w:rPr>
                      <w:rFonts w:hint="eastAsia"/>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混凝土搅拌主机</w:t>
                  </w:r>
                </w:p>
              </w:tc>
              <w:tc>
                <w:tcPr>
                  <w:tcW w:w="1185" w:type="pct"/>
                  <w:tcBorders>
                    <w:tl2br w:val="nil"/>
                    <w:tr2bl w:val="nil"/>
                  </w:tcBorders>
                  <w:shd w:val="clear" w:color="auto" w:fill="auto"/>
                  <w:vAlign w:val="center"/>
                </w:tcPr>
                <w:p>
                  <w:pPr>
                    <w:pStyle w:val="68"/>
                    <w:spacing w:before="24" w:after="24"/>
                    <w:ind w:left="24" w:right="24"/>
                  </w:pPr>
                  <w:r>
                    <w:t>HZS180C8H</w:t>
                  </w:r>
                </w:p>
              </w:tc>
              <w:tc>
                <w:tcPr>
                  <w:tcW w:w="487" w:type="pct"/>
                  <w:tcBorders>
                    <w:tl2br w:val="nil"/>
                    <w:tr2bl w:val="nil"/>
                  </w:tcBorders>
                  <w:vAlign w:val="center"/>
                </w:tcPr>
                <w:p>
                  <w:pPr>
                    <w:pStyle w:val="68"/>
                    <w:spacing w:before="24" w:after="24"/>
                    <w:ind w:left="24" w:right="24"/>
                  </w:pPr>
                  <w:r>
                    <w:rPr>
                      <w:rFonts w:hint="eastAsia"/>
                    </w:rPr>
                    <w:t>套</w:t>
                  </w:r>
                </w:p>
              </w:tc>
              <w:tc>
                <w:tcPr>
                  <w:tcW w:w="676" w:type="pct"/>
                  <w:tcBorders>
                    <w:tl2br w:val="nil"/>
                    <w:tr2bl w:val="nil"/>
                  </w:tcBorders>
                  <w:shd w:val="clear" w:color="auto" w:fill="auto"/>
                  <w:vAlign w:val="center"/>
                </w:tcPr>
                <w:p>
                  <w:pPr>
                    <w:pStyle w:val="68"/>
                    <w:spacing w:before="24" w:after="24"/>
                    <w:ind w:left="24" w:right="24"/>
                  </w:pPr>
                  <w: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cs="宋体"/>
                    </w:rPr>
                    <w:t>水泥计量系统</w:t>
                  </w:r>
                </w:p>
              </w:tc>
              <w:tc>
                <w:tcPr>
                  <w:tcW w:w="1185" w:type="pct"/>
                  <w:tcBorders>
                    <w:tl2br w:val="nil"/>
                    <w:tr2bl w:val="nil"/>
                  </w:tcBorders>
                  <w:shd w:val="clear" w:color="auto" w:fill="auto"/>
                  <w:vAlign w:val="center"/>
                </w:tcPr>
                <w:p>
                  <w:pPr>
                    <w:pStyle w:val="68"/>
                    <w:spacing w:before="24" w:after="24"/>
                    <w:ind w:left="24" w:right="24"/>
                  </w:pPr>
                  <w:r>
                    <w:rPr>
                      <w:rFonts w:hint="eastAsia"/>
                      <w:color w:val="000000"/>
                    </w:rPr>
                    <w:t>/</w:t>
                  </w:r>
                </w:p>
              </w:tc>
              <w:tc>
                <w:tcPr>
                  <w:tcW w:w="487" w:type="pct"/>
                  <w:tcBorders>
                    <w:tl2br w:val="nil"/>
                    <w:tr2bl w:val="nil"/>
                  </w:tcBorders>
                  <w:vAlign w:val="center"/>
                </w:tcPr>
                <w:p>
                  <w:pPr>
                    <w:pStyle w:val="68"/>
                    <w:spacing w:before="24" w:after="24"/>
                    <w:ind w:left="24" w:right="24"/>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pPr>
                  <w:r>
                    <w:rPr>
                      <w:color w:val="000000"/>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cs="宋体"/>
                    </w:rPr>
                    <w:t>粉煤灰计量系统</w:t>
                  </w:r>
                </w:p>
              </w:tc>
              <w:tc>
                <w:tcPr>
                  <w:tcW w:w="1185" w:type="pct"/>
                  <w:tcBorders>
                    <w:tl2br w:val="nil"/>
                    <w:tr2bl w:val="nil"/>
                  </w:tcBorders>
                  <w:shd w:val="clear" w:color="auto" w:fill="auto"/>
                  <w:vAlign w:val="center"/>
                </w:tcPr>
                <w:p>
                  <w:pPr>
                    <w:pStyle w:val="68"/>
                    <w:spacing w:before="24" w:after="24"/>
                    <w:ind w:left="24" w:right="24"/>
                  </w:pPr>
                  <w:r>
                    <w:rPr>
                      <w:rFonts w:hint="eastAsia"/>
                      <w:color w:val="000000"/>
                    </w:rPr>
                    <w:t>/</w:t>
                  </w:r>
                </w:p>
              </w:tc>
              <w:tc>
                <w:tcPr>
                  <w:tcW w:w="487" w:type="pct"/>
                  <w:tcBorders>
                    <w:tl2br w:val="nil"/>
                    <w:tr2bl w:val="nil"/>
                  </w:tcBorders>
                  <w:vAlign w:val="center"/>
                </w:tcPr>
                <w:p>
                  <w:pPr>
                    <w:pStyle w:val="68"/>
                    <w:spacing w:before="24" w:after="24"/>
                    <w:ind w:left="24" w:right="24"/>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pPr>
                  <w:r>
                    <w:rPr>
                      <w:rFonts w:hint="eastAsia"/>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cs="宋体"/>
                    </w:rPr>
                    <w:t>矿粉计量系统</w:t>
                  </w:r>
                </w:p>
              </w:tc>
              <w:tc>
                <w:tcPr>
                  <w:tcW w:w="1185" w:type="pct"/>
                  <w:tcBorders>
                    <w:tl2br w:val="nil"/>
                    <w:tr2bl w:val="nil"/>
                  </w:tcBorders>
                  <w:shd w:val="clear" w:color="auto" w:fill="auto"/>
                  <w:vAlign w:val="center"/>
                </w:tcPr>
                <w:p>
                  <w:pPr>
                    <w:pStyle w:val="68"/>
                    <w:spacing w:before="24" w:after="24"/>
                    <w:ind w:left="24" w:right="24"/>
                  </w:pPr>
                  <w:r>
                    <w:rPr>
                      <w:rFonts w:hint="eastAsia"/>
                      <w:color w:val="000000"/>
                    </w:rPr>
                    <w:t>/</w:t>
                  </w:r>
                </w:p>
              </w:tc>
              <w:tc>
                <w:tcPr>
                  <w:tcW w:w="487" w:type="pct"/>
                  <w:tcBorders>
                    <w:tl2br w:val="nil"/>
                    <w:tr2bl w:val="nil"/>
                  </w:tcBorders>
                  <w:vAlign w:val="center"/>
                </w:tcPr>
                <w:p>
                  <w:pPr>
                    <w:pStyle w:val="68"/>
                    <w:spacing w:before="24" w:after="24"/>
                    <w:ind w:left="24" w:right="24"/>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pPr>
                  <w:r>
                    <w:rPr>
                      <w:rFonts w:hint="eastAsia"/>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水计量系统</w:t>
                  </w:r>
                </w:p>
              </w:tc>
              <w:tc>
                <w:tcPr>
                  <w:tcW w:w="1185" w:type="pct"/>
                  <w:tcBorders>
                    <w:tl2br w:val="nil"/>
                    <w:tr2bl w:val="nil"/>
                  </w:tcBorders>
                  <w:shd w:val="clear" w:color="auto" w:fill="auto"/>
                  <w:vAlign w:val="center"/>
                </w:tcPr>
                <w:p>
                  <w:pPr>
                    <w:pStyle w:val="68"/>
                    <w:spacing w:before="24" w:after="24"/>
                    <w:ind w:left="24" w:right="24"/>
                  </w:pPr>
                  <w:r>
                    <w:rPr>
                      <w:rFonts w:hint="eastAsia"/>
                      <w:color w:val="000000"/>
                    </w:rPr>
                    <w:t>/</w:t>
                  </w:r>
                </w:p>
              </w:tc>
              <w:tc>
                <w:tcPr>
                  <w:tcW w:w="487" w:type="pct"/>
                  <w:tcBorders>
                    <w:tl2br w:val="nil"/>
                    <w:tr2bl w:val="nil"/>
                  </w:tcBorders>
                  <w:vAlign w:val="center"/>
                </w:tcPr>
                <w:p>
                  <w:pPr>
                    <w:pStyle w:val="68"/>
                    <w:spacing w:before="24" w:after="24"/>
                    <w:ind w:left="24" w:right="24"/>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pPr>
                  <w:r>
                    <w:rPr>
                      <w:rFonts w:hint="eastAsia"/>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外加剂计量系统</w:t>
                  </w:r>
                </w:p>
              </w:tc>
              <w:tc>
                <w:tcPr>
                  <w:tcW w:w="1185" w:type="pct"/>
                  <w:tcBorders>
                    <w:tl2br w:val="nil"/>
                    <w:tr2bl w:val="nil"/>
                  </w:tcBorders>
                  <w:shd w:val="clear" w:color="auto" w:fill="auto"/>
                  <w:vAlign w:val="center"/>
                </w:tcPr>
                <w:p>
                  <w:pPr>
                    <w:pStyle w:val="68"/>
                    <w:spacing w:before="24" w:after="24"/>
                    <w:ind w:left="24" w:right="24"/>
                  </w:pPr>
                  <w:r>
                    <w:rPr>
                      <w:rFonts w:hint="eastAsia"/>
                      <w:color w:val="000000"/>
                    </w:rPr>
                    <w:t>/</w:t>
                  </w:r>
                </w:p>
              </w:tc>
              <w:tc>
                <w:tcPr>
                  <w:tcW w:w="487" w:type="pct"/>
                  <w:tcBorders>
                    <w:tl2br w:val="nil"/>
                    <w:tr2bl w:val="nil"/>
                  </w:tcBorders>
                  <w:vAlign w:val="center"/>
                </w:tcPr>
                <w:p>
                  <w:pPr>
                    <w:pStyle w:val="68"/>
                    <w:spacing w:before="24" w:after="24"/>
                    <w:ind w:left="24" w:right="24"/>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pPr>
                  <w:r>
                    <w:rPr>
                      <w:rFonts w:hint="eastAsia"/>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气路系统</w:t>
                  </w:r>
                </w:p>
              </w:tc>
              <w:tc>
                <w:tcPr>
                  <w:tcW w:w="1185"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w:t>
                  </w:r>
                </w:p>
              </w:tc>
              <w:tc>
                <w:tcPr>
                  <w:tcW w:w="487" w:type="pct"/>
                  <w:tcBorders>
                    <w:tl2br w:val="nil"/>
                    <w:tr2bl w:val="nil"/>
                  </w:tcBorders>
                  <w:vAlign w:val="center"/>
                </w:tcPr>
                <w:p>
                  <w:pPr>
                    <w:pStyle w:val="68"/>
                    <w:spacing w:before="24" w:after="24"/>
                    <w:ind w:left="24" w:right="24"/>
                    <w:rPr>
                      <w:color w:val="000000"/>
                    </w:rPr>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控制系统</w:t>
                  </w:r>
                </w:p>
              </w:tc>
              <w:tc>
                <w:tcPr>
                  <w:tcW w:w="1185"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w:t>
                  </w:r>
                </w:p>
              </w:tc>
              <w:tc>
                <w:tcPr>
                  <w:tcW w:w="487" w:type="pct"/>
                  <w:tcBorders>
                    <w:tl2br w:val="nil"/>
                    <w:tr2bl w:val="nil"/>
                  </w:tcBorders>
                  <w:vAlign w:val="center"/>
                </w:tcPr>
                <w:p>
                  <w:pPr>
                    <w:pStyle w:val="68"/>
                    <w:spacing w:before="24" w:after="24"/>
                    <w:ind w:left="24" w:right="24"/>
                    <w:rPr>
                      <w:color w:val="000000"/>
                    </w:rPr>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螺旋输送机</w:t>
                  </w:r>
                </w:p>
              </w:tc>
              <w:tc>
                <w:tcPr>
                  <w:tcW w:w="1185"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w:t>
                  </w:r>
                </w:p>
              </w:tc>
              <w:tc>
                <w:tcPr>
                  <w:tcW w:w="487" w:type="pct"/>
                  <w:tcBorders>
                    <w:tl2br w:val="nil"/>
                    <w:tr2bl w:val="nil"/>
                  </w:tcBorders>
                  <w:vAlign w:val="center"/>
                </w:tcPr>
                <w:p>
                  <w:pPr>
                    <w:pStyle w:val="68"/>
                    <w:spacing w:before="24" w:after="24"/>
                    <w:ind w:left="24" w:right="24"/>
                    <w:rPr>
                      <w:color w:val="000000"/>
                    </w:rPr>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rPr>
                      <w:color w:val="000000"/>
                    </w:rPr>
                  </w:pPr>
                  <w:r>
                    <w:rPr>
                      <w:color w:val="000000"/>
                    </w:rPr>
                    <w:t>10</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斜皮带机</w:t>
                  </w:r>
                </w:p>
              </w:tc>
              <w:tc>
                <w:tcPr>
                  <w:tcW w:w="1185"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w:t>
                  </w:r>
                </w:p>
              </w:tc>
              <w:tc>
                <w:tcPr>
                  <w:tcW w:w="487" w:type="pct"/>
                  <w:tcBorders>
                    <w:tl2br w:val="nil"/>
                    <w:tr2bl w:val="nil"/>
                  </w:tcBorders>
                  <w:vAlign w:val="center"/>
                </w:tcPr>
                <w:p>
                  <w:pPr>
                    <w:pStyle w:val="68"/>
                    <w:spacing w:before="24" w:after="24"/>
                    <w:ind w:left="24" w:right="24"/>
                    <w:rPr>
                      <w:color w:val="000000"/>
                    </w:rPr>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rPr>
                      <w:color w:val="000000"/>
                    </w:rPr>
                  </w:pPr>
                  <w:r>
                    <w:rPr>
                      <w:color w:val="000000"/>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粉罐配套件</w:t>
                  </w:r>
                </w:p>
              </w:tc>
              <w:tc>
                <w:tcPr>
                  <w:tcW w:w="1185"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w:t>
                  </w:r>
                </w:p>
              </w:tc>
              <w:tc>
                <w:tcPr>
                  <w:tcW w:w="487" w:type="pct"/>
                  <w:tcBorders>
                    <w:tl2br w:val="nil"/>
                    <w:tr2bl w:val="nil"/>
                  </w:tcBorders>
                  <w:vAlign w:val="center"/>
                </w:tcPr>
                <w:p>
                  <w:pPr>
                    <w:pStyle w:val="68"/>
                    <w:spacing w:before="24" w:after="24"/>
                    <w:ind w:left="24" w:right="24"/>
                    <w:rPr>
                      <w:color w:val="000000"/>
                    </w:rPr>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rPr>
                      <w:color w:val="000000"/>
                    </w:rPr>
                  </w:pPr>
                  <w:r>
                    <w:rPr>
                      <w:rFonts w:hint="eastAsia"/>
                      <w:color w:val="000000"/>
                    </w:rPr>
                    <w:t>2</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粉罐（筒仓）</w:t>
                  </w:r>
                </w:p>
              </w:tc>
              <w:tc>
                <w:tcPr>
                  <w:tcW w:w="1185" w:type="pct"/>
                  <w:tcBorders>
                    <w:tl2br w:val="nil"/>
                    <w:tr2bl w:val="nil"/>
                  </w:tcBorders>
                  <w:shd w:val="clear" w:color="auto" w:fill="auto"/>
                  <w:vAlign w:val="center"/>
                </w:tcPr>
                <w:p>
                  <w:pPr>
                    <w:pStyle w:val="68"/>
                    <w:spacing w:before="24" w:after="24"/>
                    <w:ind w:left="24" w:right="24"/>
                    <w:rPr>
                      <w:color w:val="000000"/>
                    </w:rPr>
                  </w:pPr>
                  <w:r>
                    <w:rPr>
                      <w:color w:val="000000"/>
                    </w:rPr>
                    <w:t>150</w:t>
                  </w:r>
                  <w:r>
                    <w:rPr>
                      <w:rFonts w:hint="eastAsia"/>
                      <w:color w:val="000000"/>
                    </w:rPr>
                    <w:t>t</w:t>
                  </w:r>
                </w:p>
              </w:tc>
              <w:tc>
                <w:tcPr>
                  <w:tcW w:w="487" w:type="pct"/>
                  <w:tcBorders>
                    <w:tl2br w:val="nil"/>
                    <w:tr2bl w:val="nil"/>
                  </w:tcBorders>
                  <w:vAlign w:val="center"/>
                </w:tcPr>
                <w:p>
                  <w:pPr>
                    <w:pStyle w:val="68"/>
                    <w:spacing w:before="24" w:after="24"/>
                    <w:ind w:left="24" w:right="24"/>
                    <w:rPr>
                      <w:color w:val="000000"/>
                    </w:rPr>
                  </w:pPr>
                  <w:r>
                    <w:rPr>
                      <w:rFonts w:hint="eastAsia"/>
                      <w:color w:val="000000"/>
                    </w:rPr>
                    <w:t>套</w:t>
                  </w:r>
                </w:p>
              </w:tc>
              <w:tc>
                <w:tcPr>
                  <w:tcW w:w="676" w:type="pct"/>
                  <w:tcBorders>
                    <w:tl2br w:val="nil"/>
                    <w:tr2bl w:val="nil"/>
                  </w:tcBorders>
                  <w:shd w:val="clear" w:color="auto" w:fill="auto"/>
                  <w:vAlign w:val="center"/>
                </w:tcPr>
                <w:p>
                  <w:pPr>
                    <w:pStyle w:val="68"/>
                    <w:spacing w:before="24" w:after="24"/>
                    <w:ind w:left="24" w:right="24"/>
                    <w:rPr>
                      <w:color w:val="000000"/>
                    </w:rPr>
                  </w:pPr>
                  <w:r>
                    <w:rPr>
                      <w:color w:val="000000"/>
                    </w:rPr>
                    <w:t>10</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砂石分离机</w:t>
                  </w:r>
                </w:p>
              </w:tc>
              <w:tc>
                <w:tcPr>
                  <w:tcW w:w="1185" w:type="pct"/>
                  <w:tcBorders>
                    <w:tl2br w:val="nil"/>
                    <w:tr2bl w:val="nil"/>
                  </w:tcBorders>
                  <w:shd w:val="clear" w:color="auto" w:fill="auto"/>
                  <w:vAlign w:val="center"/>
                </w:tcPr>
                <w:p>
                  <w:pPr>
                    <w:pStyle w:val="68"/>
                    <w:spacing w:before="24" w:after="24"/>
                    <w:ind w:left="24" w:right="24"/>
                  </w:pPr>
                  <w:r>
                    <w:rPr>
                      <w:rFonts w:hint="eastAsia"/>
                    </w:rPr>
                    <w:t>/</w:t>
                  </w:r>
                </w:p>
              </w:tc>
              <w:tc>
                <w:tcPr>
                  <w:tcW w:w="487" w:type="pct"/>
                  <w:tcBorders>
                    <w:tl2br w:val="nil"/>
                    <w:tr2bl w:val="nil"/>
                  </w:tcBorders>
                  <w:vAlign w:val="center"/>
                </w:tcPr>
                <w:p>
                  <w:pPr>
                    <w:pStyle w:val="68"/>
                    <w:spacing w:before="24" w:after="24"/>
                    <w:ind w:left="24" w:right="24"/>
                  </w:pPr>
                  <w:r>
                    <w:rPr>
                      <w:rFonts w:hint="eastAsia"/>
                    </w:rPr>
                    <w:t>套</w:t>
                  </w:r>
                </w:p>
              </w:tc>
              <w:tc>
                <w:tcPr>
                  <w:tcW w:w="676" w:type="pct"/>
                  <w:tcBorders>
                    <w:tl2br w:val="nil"/>
                    <w:tr2bl w:val="nil"/>
                  </w:tcBorders>
                  <w:shd w:val="clear" w:color="auto" w:fill="auto"/>
                  <w:vAlign w:val="center"/>
                </w:tcPr>
                <w:p>
                  <w:pPr>
                    <w:pStyle w:val="68"/>
                    <w:spacing w:before="24" w:after="24"/>
                    <w:ind w:left="24" w:right="24"/>
                  </w:pPr>
                  <w:r>
                    <w:rPr>
                      <w:rFonts w:hint="eastAsia"/>
                    </w:rPr>
                    <w:t>1</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rPr>
                    <w:t>地磅</w:t>
                  </w:r>
                </w:p>
              </w:tc>
              <w:tc>
                <w:tcPr>
                  <w:tcW w:w="1185" w:type="pct"/>
                  <w:tcBorders>
                    <w:tl2br w:val="nil"/>
                    <w:tr2bl w:val="nil"/>
                  </w:tcBorders>
                  <w:shd w:val="clear" w:color="auto" w:fill="auto"/>
                  <w:vAlign w:val="center"/>
                </w:tcPr>
                <w:p>
                  <w:pPr>
                    <w:pStyle w:val="68"/>
                    <w:spacing w:before="24" w:after="24"/>
                    <w:ind w:left="24" w:right="24"/>
                  </w:pPr>
                  <w:r>
                    <w:rPr>
                      <w:rFonts w:hint="eastAsia"/>
                    </w:rPr>
                    <w:t>1</w:t>
                  </w:r>
                  <w:r>
                    <w:t>50</w:t>
                  </w:r>
                  <w:r>
                    <w:rPr>
                      <w:rFonts w:hint="eastAsia"/>
                    </w:rPr>
                    <w:t>吨</w:t>
                  </w:r>
                </w:p>
              </w:tc>
              <w:tc>
                <w:tcPr>
                  <w:tcW w:w="487" w:type="pct"/>
                  <w:tcBorders>
                    <w:tl2br w:val="nil"/>
                    <w:tr2bl w:val="nil"/>
                  </w:tcBorders>
                  <w:vAlign w:val="center"/>
                </w:tcPr>
                <w:p>
                  <w:pPr>
                    <w:pStyle w:val="68"/>
                    <w:spacing w:before="24" w:after="24"/>
                    <w:ind w:left="24" w:right="24"/>
                  </w:pPr>
                  <w:r>
                    <w:rPr>
                      <w:rFonts w:hint="eastAsia"/>
                    </w:rPr>
                    <w:t>台</w:t>
                  </w:r>
                </w:p>
              </w:tc>
              <w:tc>
                <w:tcPr>
                  <w:tcW w:w="676" w:type="pct"/>
                  <w:tcBorders>
                    <w:tl2br w:val="nil"/>
                    <w:tr2bl w:val="nil"/>
                  </w:tcBorders>
                  <w:shd w:val="clear" w:color="auto" w:fill="auto"/>
                  <w:vAlign w:val="center"/>
                </w:tcPr>
                <w:p>
                  <w:pPr>
                    <w:pStyle w:val="68"/>
                    <w:spacing w:before="24" w:after="24"/>
                    <w:ind w:left="24" w:right="24"/>
                  </w:pPr>
                  <w:r>
                    <w:rPr>
                      <w:rFonts w:hint="eastAsia"/>
                    </w:rPr>
                    <w:t>1</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pPr>
                  <w:r>
                    <w:rPr>
                      <w:rFonts w:hint="eastAsia" w:ascii="楷体" w:hAnsi="楷体"/>
                    </w:rPr>
                    <w:t>喷淋设备</w:t>
                  </w:r>
                </w:p>
              </w:tc>
              <w:tc>
                <w:tcPr>
                  <w:tcW w:w="1185" w:type="pct"/>
                  <w:tcBorders>
                    <w:tl2br w:val="nil"/>
                    <w:tr2bl w:val="nil"/>
                  </w:tcBorders>
                  <w:shd w:val="clear" w:color="auto" w:fill="auto"/>
                  <w:vAlign w:val="center"/>
                </w:tcPr>
                <w:p>
                  <w:pPr>
                    <w:pStyle w:val="68"/>
                    <w:spacing w:before="24" w:after="24"/>
                    <w:ind w:left="24" w:right="24"/>
                  </w:pPr>
                  <w:r>
                    <w:rPr>
                      <w:rFonts w:hint="eastAsia"/>
                    </w:rPr>
                    <w:t>/</w:t>
                  </w:r>
                </w:p>
              </w:tc>
              <w:tc>
                <w:tcPr>
                  <w:tcW w:w="487" w:type="pct"/>
                  <w:tcBorders>
                    <w:tl2br w:val="nil"/>
                    <w:tr2bl w:val="nil"/>
                  </w:tcBorders>
                  <w:vAlign w:val="bottom"/>
                </w:tcPr>
                <w:p>
                  <w:pPr>
                    <w:pStyle w:val="68"/>
                    <w:spacing w:before="24" w:after="24"/>
                    <w:ind w:left="24" w:right="24"/>
                  </w:pPr>
                  <w:r>
                    <w:rPr>
                      <w:rFonts w:hint="eastAsia" w:ascii="楷体" w:hAnsi="楷体"/>
                    </w:rPr>
                    <w:t>套</w:t>
                  </w:r>
                </w:p>
              </w:tc>
              <w:tc>
                <w:tcPr>
                  <w:tcW w:w="676" w:type="pct"/>
                  <w:tcBorders>
                    <w:tl2br w:val="nil"/>
                    <w:tr2bl w:val="nil"/>
                  </w:tcBorders>
                  <w:shd w:val="clear" w:color="auto" w:fill="auto"/>
                  <w:vAlign w:val="center"/>
                </w:tcPr>
                <w:p>
                  <w:pPr>
                    <w:pStyle w:val="68"/>
                    <w:spacing w:before="24" w:after="24"/>
                    <w:ind w:left="24" w:right="24"/>
                  </w:pPr>
                  <w:r>
                    <w:rPr>
                      <w:rFonts w:ascii="楷体" w:hAnsi="楷体"/>
                    </w:rPr>
                    <w:t>1</w:t>
                  </w:r>
                </w:p>
              </w:tc>
              <w:tc>
                <w:tcPr>
                  <w:tcW w:w="813" w:type="pct"/>
                  <w:tcBorders>
                    <w:tl2br w:val="nil"/>
                    <w:tr2bl w:val="nil"/>
                  </w:tcBorders>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l2br w:val="nil"/>
                    <w:tr2bl w:val="nil"/>
                  </w:tcBorders>
                  <w:shd w:val="clear" w:color="auto" w:fill="auto"/>
                  <w:vAlign w:val="center"/>
                </w:tcPr>
                <w:p>
                  <w:pPr>
                    <w:pStyle w:val="68"/>
                    <w:numPr>
                      <w:ilvl w:val="0"/>
                      <w:numId w:val="5"/>
                    </w:numPr>
                    <w:spacing w:before="24" w:after="24"/>
                    <w:ind w:left="24" w:right="24"/>
                  </w:pPr>
                </w:p>
              </w:tc>
              <w:tc>
                <w:tcPr>
                  <w:tcW w:w="1487" w:type="pct"/>
                  <w:tcBorders>
                    <w:top w:val="single" w:color="auto" w:sz="6" w:space="0"/>
                    <w:left w:val="single" w:color="auto" w:sz="6" w:space="0"/>
                    <w:bottom w:val="single" w:color="auto" w:sz="6" w:space="0"/>
                    <w:right w:val="single" w:color="auto" w:sz="6" w:space="0"/>
                  </w:tcBorders>
                  <w:vAlign w:val="center"/>
                </w:tcPr>
                <w:p>
                  <w:pPr>
                    <w:pStyle w:val="68"/>
                    <w:spacing w:before="24" w:after="24"/>
                    <w:ind w:left="24" w:right="24"/>
                    <w:rPr>
                      <w:rFonts w:ascii="楷体" w:hAnsi="楷体"/>
                    </w:rPr>
                  </w:pPr>
                  <w:r>
                    <w:rPr>
                      <w:rFonts w:hint="eastAsia" w:ascii="楷体" w:hAnsi="楷体"/>
                    </w:rPr>
                    <w:t>车辆冲洗平台</w:t>
                  </w:r>
                </w:p>
              </w:tc>
              <w:tc>
                <w:tcPr>
                  <w:tcW w:w="1185" w:type="pct"/>
                  <w:tcBorders>
                    <w:tl2br w:val="nil"/>
                    <w:tr2bl w:val="nil"/>
                  </w:tcBorders>
                  <w:shd w:val="clear" w:color="auto" w:fill="auto"/>
                </w:tcPr>
                <w:p>
                  <w:pPr>
                    <w:pStyle w:val="68"/>
                    <w:spacing w:before="24" w:after="24"/>
                    <w:ind w:left="24" w:right="24"/>
                  </w:pPr>
                  <w:r>
                    <w:rPr>
                      <w:rFonts w:hint="eastAsia"/>
                    </w:rPr>
                    <w:t>/</w:t>
                  </w:r>
                </w:p>
              </w:tc>
              <w:tc>
                <w:tcPr>
                  <w:tcW w:w="487" w:type="pct"/>
                  <w:tcBorders>
                    <w:tl2br w:val="nil"/>
                    <w:tr2bl w:val="nil"/>
                  </w:tcBorders>
                  <w:vAlign w:val="bottom"/>
                </w:tcPr>
                <w:p>
                  <w:pPr>
                    <w:pStyle w:val="68"/>
                    <w:spacing w:before="24" w:after="24"/>
                    <w:ind w:left="24" w:right="24"/>
                    <w:rPr>
                      <w:rFonts w:ascii="楷体" w:hAnsi="楷体"/>
                      <w:color w:val="000000"/>
                    </w:rPr>
                  </w:pPr>
                  <w:r>
                    <w:rPr>
                      <w:rFonts w:hint="eastAsia" w:ascii="楷体" w:hAnsi="楷体"/>
                      <w:color w:val="000000"/>
                    </w:rPr>
                    <w:t>台</w:t>
                  </w:r>
                </w:p>
              </w:tc>
              <w:tc>
                <w:tcPr>
                  <w:tcW w:w="676" w:type="pct"/>
                  <w:tcBorders>
                    <w:tl2br w:val="nil"/>
                    <w:tr2bl w:val="nil"/>
                  </w:tcBorders>
                  <w:shd w:val="clear" w:color="auto" w:fill="auto"/>
                  <w:vAlign w:val="center"/>
                </w:tcPr>
                <w:p>
                  <w:pPr>
                    <w:pStyle w:val="68"/>
                    <w:spacing w:before="24" w:after="24"/>
                    <w:ind w:left="24" w:right="24"/>
                    <w:rPr>
                      <w:rFonts w:ascii="楷体" w:hAnsi="楷体"/>
                      <w:color w:val="000000"/>
                    </w:rPr>
                  </w:pPr>
                  <w:r>
                    <w:rPr>
                      <w:rFonts w:hint="eastAsia" w:ascii="楷体" w:hAnsi="楷体"/>
                      <w:color w:val="000000"/>
                    </w:rPr>
                    <w:t>1</w:t>
                  </w:r>
                </w:p>
              </w:tc>
              <w:tc>
                <w:tcPr>
                  <w:tcW w:w="813" w:type="pct"/>
                  <w:tcBorders>
                    <w:tl2br w:val="nil"/>
                    <w:tr2bl w:val="nil"/>
                  </w:tcBorders>
                  <w:vAlign w:val="center"/>
                </w:tcPr>
                <w:p>
                  <w:pPr>
                    <w:pStyle w:val="68"/>
                    <w:spacing w:before="24" w:after="24"/>
                    <w:ind w:left="24" w:right="24"/>
                  </w:pPr>
                  <w:r>
                    <w:rPr>
                      <w:rFonts w:hint="eastAsia"/>
                    </w:rPr>
                    <w:t>/</w:t>
                  </w:r>
                </w:p>
              </w:tc>
            </w:tr>
          </w:tbl>
          <w:p>
            <w:pPr>
              <w:keepNext/>
              <w:keepLines/>
              <w:spacing w:before="120" w:beforeLines="50" w:line="360" w:lineRule="auto"/>
              <w:ind w:left="482"/>
              <w:outlineLvl w:val="3"/>
              <w:rPr>
                <w:rFonts w:ascii="宋体" w:hAnsi="宋体"/>
                <w:b/>
              </w:rPr>
            </w:pPr>
            <w:r>
              <w:rPr>
                <w:rFonts w:ascii="宋体" w:hAnsi="宋体"/>
                <w:b/>
                <w:bCs/>
              </w:rPr>
              <w:fldChar w:fldCharType="begin"/>
            </w:r>
            <w:r>
              <w:rPr>
                <w:rFonts w:ascii="宋体" w:hAnsi="宋体"/>
                <w:b/>
                <w:bCs/>
              </w:rPr>
              <w:instrText xml:space="preserve"> </w:instrText>
            </w:r>
            <w:r>
              <w:rPr>
                <w:rFonts w:hint="eastAsia" w:ascii="宋体" w:hAnsi="宋体"/>
                <w:b/>
                <w:bCs/>
              </w:rPr>
              <w:instrText xml:space="preserve">SEQ 建设内容编号 \* ARABIC</w:instrText>
            </w:r>
            <w:r>
              <w:rPr>
                <w:rFonts w:ascii="宋体" w:hAnsi="宋体"/>
                <w:b/>
                <w:bCs/>
              </w:rPr>
              <w:instrText xml:space="preserve"> </w:instrText>
            </w:r>
            <w:r>
              <w:rPr>
                <w:rFonts w:ascii="宋体" w:hAnsi="宋体"/>
                <w:b/>
                <w:bCs/>
              </w:rPr>
              <w:fldChar w:fldCharType="separate"/>
            </w:r>
            <w:r>
              <w:rPr>
                <w:rFonts w:ascii="宋体" w:hAnsi="宋体"/>
                <w:b/>
                <w:bCs/>
              </w:rPr>
              <w:t>6</w:t>
            </w:r>
            <w:r>
              <w:rPr>
                <w:rFonts w:ascii="宋体" w:hAnsi="宋体"/>
                <w:b/>
              </w:rPr>
              <w:fldChar w:fldCharType="end"/>
            </w:r>
            <w:r>
              <w:rPr>
                <w:rFonts w:hint="eastAsia" w:ascii="宋体" w:hAnsi="宋体"/>
                <w:b/>
              </w:rPr>
              <w:t xml:space="preserve">、工作制度及劳动定员 </w:t>
            </w:r>
          </w:p>
          <w:p>
            <w:pPr>
              <w:spacing w:line="360" w:lineRule="auto"/>
              <w:ind w:firstLine="480" w:firstLineChars="200"/>
            </w:pPr>
            <w:r>
              <w:rPr>
                <w:rFonts w:hint="eastAsia"/>
              </w:rPr>
              <w:t>本项目劳动定员2</w:t>
            </w:r>
            <w:r>
              <w:t>0</w:t>
            </w:r>
            <w:r>
              <w:rPr>
                <w:rFonts w:hint="eastAsia"/>
              </w:rPr>
              <w:t>人，年工作300天，二班制，每班8小时，年工作4800小时。</w:t>
            </w:r>
          </w:p>
          <w:p>
            <w:pPr>
              <w:keepNext/>
              <w:adjustRightInd w:val="0"/>
              <w:spacing w:before="120" w:beforeLines="50" w:line="360" w:lineRule="auto"/>
              <w:ind w:left="482"/>
              <w:outlineLvl w:val="3"/>
              <w:rPr>
                <w:rFonts w:ascii="宋体" w:hAnsi="宋体"/>
                <w:b/>
              </w:rPr>
            </w:pPr>
            <w:r>
              <w:rPr>
                <w:rFonts w:ascii="宋体" w:hAnsi="宋体"/>
                <w:b/>
                <w:bCs/>
              </w:rPr>
              <w:fldChar w:fldCharType="begin"/>
            </w:r>
            <w:r>
              <w:rPr>
                <w:rFonts w:ascii="宋体" w:hAnsi="宋体"/>
                <w:b/>
                <w:bCs/>
              </w:rPr>
              <w:instrText xml:space="preserve"> </w:instrText>
            </w:r>
            <w:r>
              <w:rPr>
                <w:rFonts w:hint="eastAsia" w:ascii="宋体" w:hAnsi="宋体"/>
                <w:b/>
                <w:bCs/>
              </w:rPr>
              <w:instrText xml:space="preserve">SEQ 建设内容编号 \* ARABIC</w:instrText>
            </w:r>
            <w:r>
              <w:rPr>
                <w:rFonts w:ascii="宋体" w:hAnsi="宋体"/>
                <w:b/>
                <w:bCs/>
              </w:rPr>
              <w:instrText xml:space="preserve"> </w:instrText>
            </w:r>
            <w:r>
              <w:rPr>
                <w:rFonts w:ascii="宋体" w:hAnsi="宋体"/>
                <w:b/>
                <w:bCs/>
              </w:rPr>
              <w:fldChar w:fldCharType="separate"/>
            </w:r>
            <w:r>
              <w:rPr>
                <w:rFonts w:ascii="宋体" w:hAnsi="宋体"/>
                <w:b/>
                <w:bCs/>
              </w:rPr>
              <w:t>7</w:t>
            </w:r>
            <w:r>
              <w:rPr>
                <w:rFonts w:ascii="宋体" w:hAnsi="宋体"/>
                <w:b/>
              </w:rPr>
              <w:fldChar w:fldCharType="end"/>
            </w:r>
            <w:r>
              <w:rPr>
                <w:rFonts w:hint="eastAsia" w:ascii="宋体" w:hAnsi="宋体"/>
                <w:b/>
              </w:rPr>
              <w:t>、厂区平面布置</w:t>
            </w:r>
          </w:p>
          <w:p>
            <w:pPr>
              <w:pStyle w:val="69"/>
              <w:ind w:left="48" w:right="48"/>
              <w:rPr>
                <w:lang w:eastAsia="zh-CN"/>
              </w:rPr>
            </w:pPr>
            <w:r>
              <w:rPr>
                <w:rFonts w:hint="eastAsia"/>
                <w:lang w:eastAsia="zh-CN"/>
              </w:rPr>
              <w:t>遵循紧凑布局、节约用地的原则，根据建设单位发展需要对工程的整体要求，在满足生产工艺和结合公用设施的前提下进行场地总平面布置。</w:t>
            </w:r>
          </w:p>
          <w:p>
            <w:pPr>
              <w:pStyle w:val="69"/>
              <w:ind w:left="48" w:right="48"/>
              <w:rPr>
                <w:lang w:eastAsia="zh-CN"/>
              </w:rPr>
            </w:pPr>
            <w:r>
              <w:rPr>
                <w:rFonts w:hint="eastAsia"/>
                <w:lang w:eastAsia="zh-CN"/>
              </w:rPr>
              <w:t>本项目砂石原料库位于厂区西侧，搅拌楼位于原料库东侧，粉状原料筒仓布设于搅拌楼南北两侧。厂区大门位于厂区东侧，面向</w:t>
            </w:r>
            <w:r>
              <w:rPr>
                <w:rFonts w:hint="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343</w:t>
            </w:r>
            <w:r>
              <w:rPr>
                <w:rFonts w:hint="eastAsia"/>
                <w:color w:val="000000" w:themeColor="text1"/>
                <w:lang w:eastAsia="zh-CN"/>
                <w14:textFill>
                  <w14:solidFill>
                    <w14:schemeClr w14:val="tx1"/>
                  </w14:solidFill>
                </w14:textFill>
              </w:rPr>
              <w:t>省道，</w:t>
            </w:r>
            <w:r>
              <w:rPr>
                <w:rFonts w:hint="eastAsia"/>
                <w:lang w:eastAsia="zh-CN"/>
              </w:rPr>
              <w:t>大门南侧设置传达室</w:t>
            </w:r>
            <w:r>
              <w:rPr>
                <w:rFonts w:hint="eastAsia"/>
                <w:color w:val="000000" w:themeColor="text1"/>
                <w:lang w:eastAsia="zh-CN"/>
                <w14:textFill>
                  <w14:solidFill>
                    <w14:schemeClr w14:val="tx1"/>
                  </w14:solidFill>
                </w14:textFill>
              </w:rPr>
              <w:t>。厂区大门与搅拌楼、原料库之间布设</w:t>
            </w:r>
            <w:r>
              <w:rPr>
                <w:rFonts w:hint="eastAsia"/>
                <w:lang w:eastAsia="zh-CN"/>
              </w:rPr>
              <w:t>洗车台及地磅。</w:t>
            </w:r>
          </w:p>
          <w:p>
            <w:pPr>
              <w:pStyle w:val="69"/>
              <w:ind w:left="48" w:right="48"/>
              <w:rPr>
                <w:lang w:eastAsia="zh-CN"/>
              </w:rPr>
            </w:pPr>
            <w:r>
              <w:rPr>
                <w:rFonts w:hint="eastAsia"/>
                <w:lang w:eastAsia="zh-CN"/>
              </w:rPr>
              <w:t>厂区整体布置能够充分结合项目特点和厂区厂房结构及工艺流程，在满足生产及运输的条件下能够尽量节约占地要求，方便生产管理。功能区分布合理，厂区总平面布置基本合理可行。</w:t>
            </w:r>
          </w:p>
          <w:p>
            <w:pPr>
              <w:keepNext/>
              <w:keepLines/>
              <w:spacing w:line="360" w:lineRule="auto"/>
              <w:ind w:left="482"/>
              <w:outlineLvl w:val="3"/>
              <w:rPr>
                <w:rFonts w:ascii="宋体" w:hAnsi="宋体"/>
                <w:b/>
              </w:rPr>
            </w:pPr>
            <w:r>
              <w:rPr>
                <w:rFonts w:ascii="宋体" w:hAnsi="宋体"/>
                <w:b/>
                <w:bCs/>
              </w:rPr>
              <w:fldChar w:fldCharType="begin"/>
            </w:r>
            <w:r>
              <w:rPr>
                <w:rFonts w:ascii="宋体" w:hAnsi="宋体"/>
                <w:b/>
                <w:bCs/>
              </w:rPr>
              <w:instrText xml:space="preserve"> </w:instrText>
            </w:r>
            <w:r>
              <w:rPr>
                <w:rFonts w:hint="eastAsia" w:ascii="宋体" w:hAnsi="宋体"/>
                <w:b/>
                <w:bCs/>
              </w:rPr>
              <w:instrText xml:space="preserve">SEQ 建设内容编号 \* ARABIC</w:instrText>
            </w:r>
            <w:r>
              <w:rPr>
                <w:rFonts w:ascii="宋体" w:hAnsi="宋体"/>
                <w:b/>
                <w:bCs/>
              </w:rPr>
              <w:instrText xml:space="preserve"> </w:instrText>
            </w:r>
            <w:r>
              <w:rPr>
                <w:rFonts w:ascii="宋体" w:hAnsi="宋体"/>
                <w:b/>
                <w:bCs/>
              </w:rPr>
              <w:fldChar w:fldCharType="separate"/>
            </w:r>
            <w:r>
              <w:rPr>
                <w:rFonts w:ascii="宋体" w:hAnsi="宋体"/>
                <w:b/>
                <w:bCs/>
              </w:rPr>
              <w:t>8</w:t>
            </w:r>
            <w:r>
              <w:rPr>
                <w:rFonts w:ascii="宋体" w:hAnsi="宋体"/>
                <w:b/>
              </w:rPr>
              <w:fldChar w:fldCharType="end"/>
            </w:r>
            <w:r>
              <w:rPr>
                <w:rFonts w:hint="eastAsia" w:ascii="宋体" w:hAnsi="宋体"/>
                <w:b/>
              </w:rPr>
              <w:t>、项目水平衡</w:t>
            </w:r>
          </w:p>
          <w:p>
            <w:pPr>
              <w:spacing w:line="360" w:lineRule="auto"/>
              <w:ind w:firstLine="480" w:firstLineChars="200"/>
            </w:pPr>
            <w:r>
              <w:rPr>
                <w:rFonts w:hint="eastAsia"/>
              </w:rPr>
              <w:t>（1）给水</w:t>
            </w:r>
          </w:p>
          <w:p>
            <w:pPr>
              <w:pStyle w:val="69"/>
              <w:ind w:left="48" w:right="48"/>
              <w:rPr>
                <w:lang w:eastAsia="zh-CN"/>
              </w:rPr>
            </w:pPr>
            <w:r>
              <w:rPr>
                <w:rFonts w:hint="eastAsia"/>
                <w:lang w:eastAsia="zh-CN"/>
              </w:rPr>
              <w:t>项目营运期用水主要为混凝土生产用水，搅拌机、运输车辆冲洗用水，原料装卸及贮存喷淋用水，砂石投料喷淋用水，厂区道路抑尘用水以及员工生活用水。</w:t>
            </w:r>
          </w:p>
          <w:p>
            <w:pPr>
              <w:pStyle w:val="69"/>
              <w:ind w:left="48" w:right="48"/>
              <w:rPr>
                <w:lang w:eastAsia="zh-CN"/>
              </w:rPr>
            </w:pPr>
            <w:r>
              <w:rPr>
                <w:rFonts w:hint="eastAsia"/>
                <w:lang w:eastAsia="zh-CN"/>
              </w:rPr>
              <w:t>混凝土生产用水：根据建设单位提供资料，每生产</w:t>
            </w:r>
            <w:r>
              <w:rPr>
                <w:lang w:eastAsia="zh-CN"/>
              </w:rPr>
              <w:t>1m</w:t>
            </w:r>
            <w:r>
              <w:rPr>
                <w:vertAlign w:val="superscript"/>
                <w:lang w:eastAsia="zh-CN"/>
              </w:rPr>
              <w:t>3</w:t>
            </w:r>
            <w:r>
              <w:rPr>
                <w:lang w:eastAsia="zh-CN"/>
              </w:rPr>
              <w:t xml:space="preserve"> </w:t>
            </w:r>
            <w:r>
              <w:rPr>
                <w:rFonts w:hint="eastAsia"/>
                <w:lang w:eastAsia="zh-CN"/>
              </w:rPr>
              <w:t>混凝土，需用水量</w:t>
            </w:r>
            <w:r>
              <w:rPr>
                <w:lang w:eastAsia="zh-CN"/>
              </w:rPr>
              <w:t>0.12m</w:t>
            </w:r>
            <w:r>
              <w:rPr>
                <w:vertAlign w:val="superscript"/>
                <w:lang w:eastAsia="zh-CN"/>
              </w:rPr>
              <w:t>3</w:t>
            </w:r>
            <w:r>
              <w:rPr>
                <w:rFonts w:hint="eastAsia"/>
                <w:lang w:eastAsia="zh-CN"/>
              </w:rPr>
              <w:t>，项目年产混凝土3</w:t>
            </w:r>
            <w:r>
              <w:rPr>
                <w:lang w:eastAsia="zh-CN"/>
              </w:rPr>
              <w:t>0</w:t>
            </w:r>
            <w:r>
              <w:rPr>
                <w:rFonts w:hint="eastAsia"/>
                <w:lang w:eastAsia="zh-CN"/>
              </w:rPr>
              <w:t>万</w:t>
            </w:r>
            <w:r>
              <w:rPr>
                <w:lang w:eastAsia="zh-CN"/>
              </w:rPr>
              <w:t>m</w:t>
            </w:r>
            <w:r>
              <w:rPr>
                <w:vertAlign w:val="superscript"/>
                <w:lang w:eastAsia="zh-CN"/>
              </w:rPr>
              <w:t>3</w:t>
            </w:r>
            <w:r>
              <w:rPr>
                <w:rFonts w:hint="eastAsia"/>
                <w:lang w:eastAsia="zh-CN"/>
              </w:rPr>
              <w:t>，用水量为3</w:t>
            </w:r>
            <w:r>
              <w:rPr>
                <w:lang w:eastAsia="zh-CN"/>
              </w:rPr>
              <w:t>.6</w:t>
            </w:r>
            <w:r>
              <w:rPr>
                <w:rFonts w:hint="eastAsia"/>
                <w:lang w:eastAsia="zh-CN"/>
              </w:rPr>
              <w:t>万</w:t>
            </w:r>
            <w:r>
              <w:rPr>
                <w:lang w:eastAsia="zh-CN"/>
              </w:rPr>
              <w:t>m</w:t>
            </w:r>
            <w:r>
              <w:rPr>
                <w:vertAlign w:val="superscript"/>
                <w:lang w:eastAsia="zh-CN"/>
              </w:rPr>
              <w:t>3</w:t>
            </w:r>
            <w:r>
              <w:rPr>
                <w:lang w:eastAsia="zh-CN"/>
              </w:rPr>
              <w:t>/a</w:t>
            </w:r>
            <w:r>
              <w:rPr>
                <w:rFonts w:hint="eastAsia"/>
                <w:lang w:eastAsia="zh-CN"/>
              </w:rPr>
              <w:t>。</w:t>
            </w:r>
          </w:p>
          <w:p>
            <w:pPr>
              <w:pStyle w:val="69"/>
              <w:ind w:left="48" w:right="48"/>
              <w:rPr>
                <w:lang w:eastAsia="zh-CN"/>
              </w:rPr>
            </w:pPr>
            <w:r>
              <w:rPr>
                <w:rFonts w:hint="eastAsia"/>
                <w:lang w:eastAsia="zh-CN"/>
              </w:rPr>
              <w:t>搅拌机、运输车辆冲洗用水：搅拌机和运输车辆需要定期冲洗，冲洗水经砂石分离机及沉淀池处理后循环使用。由于蒸发等损耗，沉淀池定期进行补水，补充水量为1</w:t>
            </w:r>
            <w:r>
              <w:rPr>
                <w:lang w:eastAsia="zh-CN"/>
              </w:rPr>
              <w:t>m</w:t>
            </w:r>
            <w:r>
              <w:rPr>
                <w:vertAlign w:val="superscript"/>
                <w:lang w:eastAsia="zh-CN"/>
              </w:rPr>
              <w:t>3</w:t>
            </w:r>
            <w:r>
              <w:rPr>
                <w:lang w:eastAsia="zh-CN"/>
              </w:rPr>
              <w:t>/d</w:t>
            </w:r>
            <w:r>
              <w:rPr>
                <w:rFonts w:hint="eastAsia"/>
                <w:lang w:eastAsia="zh-CN"/>
              </w:rPr>
              <w:t>，项目搅拌机、运输车辆冲洗补充用水量为3</w:t>
            </w:r>
            <w:r>
              <w:rPr>
                <w:lang w:eastAsia="zh-CN"/>
              </w:rPr>
              <w:t>00m</w:t>
            </w:r>
            <w:r>
              <w:rPr>
                <w:vertAlign w:val="superscript"/>
                <w:lang w:eastAsia="zh-CN"/>
              </w:rPr>
              <w:t>3</w:t>
            </w:r>
            <w:r>
              <w:rPr>
                <w:lang w:eastAsia="zh-CN"/>
              </w:rPr>
              <w:t>/a</w:t>
            </w:r>
            <w:r>
              <w:rPr>
                <w:rFonts w:hint="eastAsia"/>
                <w:lang w:eastAsia="zh-CN"/>
              </w:rPr>
              <w:t>。</w:t>
            </w:r>
          </w:p>
          <w:p>
            <w:pPr>
              <w:pStyle w:val="69"/>
              <w:ind w:left="48" w:right="48"/>
              <w:rPr>
                <w:lang w:eastAsia="zh-CN"/>
              </w:rPr>
            </w:pPr>
            <w:r>
              <w:rPr>
                <w:rFonts w:hint="eastAsia"/>
                <w:lang w:eastAsia="zh-CN"/>
              </w:rPr>
              <w:t>原料装卸、贮存喷淋用水：项目原料装卸、贮存时进行喷淋降尘，用水量约为1</w:t>
            </w:r>
            <w:r>
              <w:rPr>
                <w:lang w:eastAsia="zh-CN"/>
              </w:rPr>
              <w:t>.5m</w:t>
            </w:r>
            <w:r>
              <w:rPr>
                <w:vertAlign w:val="superscript"/>
                <w:lang w:eastAsia="zh-CN"/>
              </w:rPr>
              <w:t>3</w:t>
            </w:r>
            <w:r>
              <w:rPr>
                <w:lang w:eastAsia="zh-CN"/>
              </w:rPr>
              <w:t>/d</w:t>
            </w:r>
            <w:r>
              <w:rPr>
                <w:rFonts w:hint="eastAsia"/>
                <w:lang w:eastAsia="zh-CN"/>
              </w:rPr>
              <w:t>，4</w:t>
            </w:r>
            <w:r>
              <w:rPr>
                <w:lang w:eastAsia="zh-CN"/>
              </w:rPr>
              <w:t>50m</w:t>
            </w:r>
            <w:r>
              <w:rPr>
                <w:vertAlign w:val="superscript"/>
                <w:lang w:eastAsia="zh-CN"/>
              </w:rPr>
              <w:t>3</w:t>
            </w:r>
            <w:r>
              <w:rPr>
                <w:lang w:eastAsia="zh-CN"/>
              </w:rPr>
              <w:t>/a</w:t>
            </w:r>
            <w:r>
              <w:rPr>
                <w:rFonts w:hint="eastAsia"/>
                <w:lang w:eastAsia="zh-CN"/>
              </w:rPr>
              <w:t>。</w:t>
            </w:r>
          </w:p>
          <w:p>
            <w:pPr>
              <w:pStyle w:val="69"/>
              <w:ind w:left="48" w:right="48"/>
              <w:rPr>
                <w:lang w:eastAsia="zh-CN"/>
              </w:rPr>
            </w:pPr>
            <w:r>
              <w:rPr>
                <w:rFonts w:hint="eastAsia"/>
                <w:lang w:eastAsia="zh-CN"/>
              </w:rPr>
              <w:t>砂石投料工序喷淋用水：砂石投料工序采取雾化水喷淋降尘，用水量为1</w:t>
            </w:r>
            <w:r>
              <w:rPr>
                <w:lang w:eastAsia="zh-CN"/>
              </w:rPr>
              <w:t>.2m</w:t>
            </w:r>
            <w:r>
              <w:rPr>
                <w:vertAlign w:val="superscript"/>
                <w:lang w:eastAsia="zh-CN"/>
              </w:rPr>
              <w:t>3</w:t>
            </w:r>
            <w:r>
              <w:rPr>
                <w:lang w:eastAsia="zh-CN"/>
              </w:rPr>
              <w:t>/d</w:t>
            </w:r>
            <w:r>
              <w:rPr>
                <w:rFonts w:hint="eastAsia"/>
                <w:lang w:eastAsia="zh-CN"/>
              </w:rPr>
              <w:t>，3</w:t>
            </w:r>
            <w:r>
              <w:rPr>
                <w:lang w:eastAsia="zh-CN"/>
              </w:rPr>
              <w:t>60m</w:t>
            </w:r>
            <w:r>
              <w:rPr>
                <w:vertAlign w:val="superscript"/>
                <w:lang w:eastAsia="zh-CN"/>
              </w:rPr>
              <w:t>3</w:t>
            </w:r>
            <w:r>
              <w:rPr>
                <w:lang w:eastAsia="zh-CN"/>
              </w:rPr>
              <w:t>/a</w:t>
            </w:r>
            <w:r>
              <w:rPr>
                <w:rFonts w:hint="eastAsia"/>
                <w:lang w:eastAsia="zh-CN"/>
              </w:rPr>
              <w:t>。</w:t>
            </w:r>
          </w:p>
          <w:p>
            <w:pPr>
              <w:pStyle w:val="69"/>
              <w:ind w:left="48" w:right="48"/>
              <w:rPr>
                <w:lang w:eastAsia="zh-CN"/>
              </w:rPr>
            </w:pPr>
            <w:r>
              <w:rPr>
                <w:rFonts w:hint="eastAsia"/>
                <w:lang w:eastAsia="zh-CN"/>
              </w:rPr>
              <w:t>厂区道路抑尘用水：厂区内道路、场地采用洒水车洒水抑尘，用水量约为1</w:t>
            </w:r>
            <w:r>
              <w:rPr>
                <w:lang w:eastAsia="zh-CN"/>
              </w:rPr>
              <w:t>.8m</w:t>
            </w:r>
            <w:r>
              <w:rPr>
                <w:vertAlign w:val="superscript"/>
                <w:lang w:eastAsia="zh-CN"/>
              </w:rPr>
              <w:t>3</w:t>
            </w:r>
            <w:r>
              <w:rPr>
                <w:lang w:eastAsia="zh-CN"/>
              </w:rPr>
              <w:t>/d</w:t>
            </w:r>
            <w:r>
              <w:rPr>
                <w:rFonts w:hint="eastAsia"/>
                <w:lang w:eastAsia="zh-CN"/>
              </w:rPr>
              <w:t>，厂区道路抑尘用水5</w:t>
            </w:r>
            <w:r>
              <w:rPr>
                <w:lang w:eastAsia="zh-CN"/>
              </w:rPr>
              <w:t>40m</w:t>
            </w:r>
            <w:r>
              <w:rPr>
                <w:vertAlign w:val="superscript"/>
                <w:lang w:eastAsia="zh-CN"/>
              </w:rPr>
              <w:t>3</w:t>
            </w:r>
            <w:r>
              <w:rPr>
                <w:lang w:eastAsia="zh-CN"/>
              </w:rPr>
              <w:t>/a</w:t>
            </w:r>
            <w:r>
              <w:rPr>
                <w:rFonts w:hint="eastAsia"/>
                <w:lang w:eastAsia="zh-CN"/>
              </w:rPr>
              <w:t>。</w:t>
            </w:r>
          </w:p>
          <w:p>
            <w:pPr>
              <w:pStyle w:val="69"/>
              <w:ind w:left="48" w:right="48"/>
              <w:rPr>
                <w:lang w:eastAsia="zh-CN"/>
              </w:rPr>
            </w:pPr>
            <w:r>
              <w:rPr>
                <w:lang w:eastAsia="zh-CN"/>
              </w:rPr>
              <w:t>生活用水：</w:t>
            </w:r>
            <w:r>
              <w:rPr>
                <w:rFonts w:hint="eastAsia"/>
                <w:lang w:eastAsia="zh-CN"/>
              </w:rPr>
              <w:t>项目劳动定员2</w:t>
            </w:r>
            <w:r>
              <w:rPr>
                <w:lang w:eastAsia="zh-CN"/>
              </w:rPr>
              <w:t>0</w:t>
            </w:r>
            <w:r>
              <w:rPr>
                <w:rFonts w:hint="eastAsia"/>
                <w:lang w:eastAsia="zh-CN"/>
              </w:rPr>
              <w:t>人，职工</w:t>
            </w:r>
            <w:r>
              <w:rPr>
                <w:lang w:eastAsia="zh-CN"/>
              </w:rPr>
              <w:t>生活用水按照平均</w:t>
            </w:r>
            <w:r>
              <w:rPr>
                <w:rFonts w:hint="eastAsia"/>
                <w:lang w:eastAsia="zh-CN"/>
              </w:rPr>
              <w:t>50</w:t>
            </w:r>
            <w:r>
              <w:rPr>
                <w:lang w:eastAsia="zh-CN"/>
              </w:rPr>
              <w:t xml:space="preserve"> L/(人·d)计，</w:t>
            </w:r>
            <w:r>
              <w:rPr>
                <w:rFonts w:hint="eastAsia"/>
                <w:lang w:eastAsia="zh-CN"/>
              </w:rPr>
              <w:t>年工作3</w:t>
            </w:r>
            <w:r>
              <w:rPr>
                <w:lang w:eastAsia="zh-CN"/>
              </w:rPr>
              <w:t>00</w:t>
            </w:r>
            <w:r>
              <w:rPr>
                <w:rFonts w:hint="eastAsia"/>
                <w:lang w:eastAsia="zh-CN"/>
              </w:rPr>
              <w:t>天，生活用水量3</w:t>
            </w:r>
            <w:r>
              <w:rPr>
                <w:lang w:eastAsia="zh-CN"/>
              </w:rPr>
              <w:t>00</w:t>
            </w:r>
            <w:r>
              <w:rPr>
                <w:rFonts w:hint="eastAsia"/>
                <w:lang w:eastAsia="zh-CN"/>
              </w:rPr>
              <w:t>m</w:t>
            </w:r>
            <w:r>
              <w:rPr>
                <w:rFonts w:hint="eastAsia"/>
                <w:vertAlign w:val="superscript"/>
                <w:lang w:eastAsia="zh-CN"/>
              </w:rPr>
              <w:t>3</w:t>
            </w:r>
            <w:r>
              <w:rPr>
                <w:rFonts w:hint="eastAsia"/>
                <w:lang w:eastAsia="zh-CN"/>
              </w:rPr>
              <w:t>/a。</w:t>
            </w:r>
          </w:p>
          <w:p>
            <w:pPr>
              <w:pStyle w:val="63"/>
              <w:ind w:left="240" w:leftChars="100" w:firstLine="240" w:firstLineChars="100"/>
            </w:pPr>
            <w:r>
              <w:rPr>
                <w:rFonts w:hint="eastAsia"/>
              </w:rPr>
              <w:t>（2）排水</w:t>
            </w:r>
          </w:p>
          <w:p>
            <w:pPr>
              <w:pStyle w:val="69"/>
              <w:ind w:left="48" w:right="48"/>
              <w:rPr>
                <w:lang w:eastAsia="zh-CN"/>
              </w:rPr>
            </w:pPr>
            <w:r>
              <w:rPr>
                <w:rFonts w:hint="eastAsia"/>
                <w:lang w:eastAsia="zh-CN"/>
              </w:rPr>
              <w:t>厂区排污采取雨污分流制，室外雨水排入市政雨水管网。</w:t>
            </w:r>
          </w:p>
          <w:p>
            <w:pPr>
              <w:pStyle w:val="69"/>
              <w:ind w:left="48" w:right="48"/>
              <w:rPr>
                <w:lang w:eastAsia="zh-CN"/>
              </w:rPr>
            </w:pPr>
            <w:r>
              <w:rPr>
                <w:rFonts w:hint="eastAsia"/>
                <w:lang w:eastAsia="zh-CN"/>
              </w:rPr>
              <w:t>混凝土生产用水全部进入产品，不外排。搅拌机、运输车辆冲洗废水经砂石分离机及沉淀池处理后循环使用，定期补充，不外排。原料装卸、贮存喷淋用水，砂石投料喷淋用水及厂区道路抑尘用水，均蒸发损耗，不外排。</w:t>
            </w:r>
          </w:p>
          <w:p>
            <w:pPr>
              <w:pStyle w:val="69"/>
              <w:ind w:left="48" w:right="48"/>
              <w:rPr>
                <w:lang w:eastAsia="zh-CN"/>
              </w:rPr>
            </w:pPr>
            <w:r>
              <w:rPr>
                <w:rFonts w:hint="eastAsia"/>
                <w:lang w:eastAsia="zh-CN"/>
              </w:rPr>
              <w:t>项目生活污水产污系数按</w:t>
            </w:r>
            <w:r>
              <w:rPr>
                <w:lang w:eastAsia="zh-CN"/>
              </w:rPr>
              <w:t>80%</w:t>
            </w:r>
            <w:r>
              <w:rPr>
                <w:rFonts w:hint="eastAsia"/>
                <w:lang w:eastAsia="zh-CN"/>
              </w:rPr>
              <w:t>计，生活污水产生量2</w:t>
            </w:r>
            <w:r>
              <w:rPr>
                <w:lang w:eastAsia="zh-CN"/>
              </w:rPr>
              <w:t>40</w:t>
            </w:r>
            <w:r>
              <w:rPr>
                <w:rFonts w:hint="eastAsia"/>
                <w:lang w:eastAsia="zh-CN"/>
              </w:rPr>
              <w:t>m</w:t>
            </w:r>
            <w:r>
              <w:rPr>
                <w:vertAlign w:val="superscript"/>
                <w:lang w:eastAsia="zh-CN"/>
              </w:rPr>
              <w:t>3</w:t>
            </w:r>
            <w:r>
              <w:rPr>
                <w:lang w:eastAsia="zh-CN"/>
              </w:rPr>
              <w:t>/a</w:t>
            </w:r>
            <w:r>
              <w:rPr>
                <w:rFonts w:hint="eastAsia"/>
                <w:lang w:eastAsia="zh-CN"/>
              </w:rPr>
              <w:t>。生活污水经化粪池处理后委托环卫部门定期清运。</w:t>
            </w:r>
          </w:p>
          <w:p>
            <w:pPr>
              <w:pStyle w:val="69"/>
              <w:ind w:left="48" w:right="48"/>
              <w:rPr>
                <w:lang w:eastAsia="zh-CN"/>
              </w:rPr>
            </w:pPr>
          </w:p>
          <w:p>
            <w:pPr>
              <w:pStyle w:val="63"/>
              <w:ind w:left="240" w:leftChars="100" w:firstLine="240" w:firstLineChars="100"/>
            </w:pPr>
            <w:r>
              <w:rPr>
                <w:rFonts w:hint="eastAsia"/>
              </w:rPr>
              <w:t>（3）水平衡</w:t>
            </w:r>
          </w:p>
          <w:p>
            <w:pPr>
              <w:pStyle w:val="69"/>
              <w:ind w:left="48" w:right="48"/>
              <w:rPr>
                <w:lang w:eastAsia="zh-CN"/>
              </w:rPr>
            </w:pPr>
            <w:r>
              <w:rPr>
                <w:rFonts w:hint="eastAsia"/>
                <w:lang w:eastAsia="zh-CN"/>
              </w:rPr>
              <w:t>项目水平衡见</w:t>
            </w:r>
            <w:r>
              <w:rPr>
                <w:lang w:eastAsia="zh-CN"/>
              </w:rPr>
              <w:fldChar w:fldCharType="begin"/>
            </w:r>
            <w:r>
              <w:rPr>
                <w:lang w:eastAsia="zh-CN"/>
              </w:rPr>
              <w:instrText xml:space="preserve"> </w:instrText>
            </w:r>
            <w:r>
              <w:rPr>
                <w:rFonts w:hint="eastAsia"/>
                <w:lang w:eastAsia="zh-CN"/>
              </w:rPr>
              <w:instrText xml:space="preserve">REF _Ref128410628 \h</w:instrText>
            </w:r>
            <w:r>
              <w:rPr>
                <w:lang w:eastAsia="zh-CN"/>
              </w:rPr>
              <w:instrText xml:space="preserve"> </w:instrText>
            </w:r>
            <w:r>
              <w:rPr>
                <w:lang w:eastAsia="zh-CN"/>
              </w:rPr>
              <w:fldChar w:fldCharType="separate"/>
            </w:r>
            <w:r>
              <w:rPr>
                <w:lang w:eastAsia="zh-CN"/>
              </w:rPr>
              <w:t>图1</w:t>
            </w:r>
            <w:r>
              <w:rPr>
                <w:lang w:eastAsia="zh-CN"/>
              </w:rPr>
              <w:fldChar w:fldCharType="end"/>
            </w:r>
            <w:r>
              <w:rPr>
                <w:rFonts w:hint="eastAsia"/>
                <w:lang w:eastAsia="zh-CN"/>
              </w:rPr>
              <w:t>。</w:t>
            </w:r>
          </w:p>
          <w:p>
            <w:pPr>
              <w:pStyle w:val="69"/>
              <w:spacing w:before="120" w:beforeLines="50"/>
              <w:ind w:left="48" w:right="48" w:firstLine="0"/>
              <w:jc w:val="center"/>
              <w:rPr>
                <w:lang w:eastAsia="zh-CN"/>
              </w:rPr>
            </w:pPr>
            <w:r>
              <w:rPr>
                <w:lang w:eastAsia="zh-CN"/>
              </w:rPr>
              <w:drawing>
                <wp:inline distT="0" distB="0" distL="0" distR="0">
                  <wp:extent cx="4182110" cy="4497070"/>
                  <wp:effectExtent l="0" t="0" r="8890" b="0"/>
                  <wp:docPr id="165043155" name="图片 1" descr="截图里有图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3155" name="图片 1" descr="截图里有图片&#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6863" cy="4512944"/>
                          </a:xfrm>
                          <a:prstGeom prst="rect">
                            <a:avLst/>
                          </a:prstGeom>
                        </pic:spPr>
                      </pic:pic>
                    </a:graphicData>
                  </a:graphic>
                </wp:inline>
              </w:drawing>
            </w:r>
          </w:p>
          <w:p>
            <w:pPr>
              <w:pStyle w:val="70"/>
              <w:spacing w:before="120"/>
              <w:rPr>
                <w:rFonts w:ascii="Times New Roman" w:hAnsi="Times New Roman"/>
                <w:lang w:eastAsia="zh-CN"/>
              </w:rPr>
            </w:pPr>
            <w:bookmarkStart w:id="15" w:name="_Ref128410628"/>
            <w:r>
              <w:rPr>
                <w:rFonts w:ascii="Times New Roman" w:hAnsi="Times New Roman"/>
                <w:lang w:eastAsia="zh-CN"/>
              </w:rPr>
              <w:t>图</w:t>
            </w:r>
            <w:r>
              <w:rPr>
                <w:rFonts w:ascii="Times New Roman" w:hAnsi="Times New Roman"/>
              </w:rPr>
              <w:fldChar w:fldCharType="begin"/>
            </w:r>
            <w:r>
              <w:rPr>
                <w:rFonts w:ascii="Times New Roman" w:hAnsi="Times New Roman"/>
                <w:lang w:eastAsia="zh-CN"/>
              </w:rPr>
              <w:instrText xml:space="preserve"> SEQ 图表 \* ARABIC </w:instrText>
            </w:r>
            <w:r>
              <w:rPr>
                <w:rFonts w:ascii="Times New Roman" w:hAnsi="Times New Roman"/>
              </w:rPr>
              <w:fldChar w:fldCharType="separate"/>
            </w:r>
            <w:r>
              <w:rPr>
                <w:rFonts w:ascii="Times New Roman" w:hAnsi="Times New Roman"/>
                <w:lang w:eastAsia="zh-CN"/>
              </w:rPr>
              <w:t>1</w:t>
            </w:r>
            <w:r>
              <w:rPr>
                <w:rFonts w:ascii="Times New Roman" w:hAnsi="Times New Roman"/>
              </w:rPr>
              <w:fldChar w:fldCharType="end"/>
            </w:r>
            <w:bookmarkEnd w:id="15"/>
            <w:r>
              <w:rPr>
                <w:rFonts w:ascii="Times New Roman" w:hAnsi="Times New Roman"/>
                <w:lang w:eastAsia="zh-CN"/>
              </w:rPr>
              <w:t xml:space="preserve"> 项目水平衡图（m</w:t>
            </w:r>
            <w:r>
              <w:rPr>
                <w:rFonts w:ascii="Times New Roman" w:hAnsi="Times New Roman"/>
                <w:vertAlign w:val="superscript"/>
                <w:lang w:eastAsia="zh-CN"/>
              </w:rPr>
              <w:t>3</w:t>
            </w:r>
            <w:r>
              <w:rPr>
                <w:rFonts w:ascii="Times New Roman" w:hAnsi="Times New Roman"/>
                <w:lang w:eastAsia="zh-CN"/>
              </w:rPr>
              <w:t>/a）</w:t>
            </w:r>
          </w:p>
          <w:p>
            <w:pPr>
              <w:spacing w:line="360" w:lineRule="auto"/>
              <w:ind w:left="482"/>
              <w:jc w:val="left"/>
              <w:rPr>
                <w:rFonts w:eastAsia="新宋体" w:cs="Times New Roman"/>
              </w:rPr>
            </w:pPr>
            <w:r>
              <w:rPr>
                <w:rFonts w:eastAsia="新宋体" w:cs="Times New Roman"/>
                <w:b/>
                <w:bCs/>
              </w:rPr>
              <w:fldChar w:fldCharType="begin"/>
            </w:r>
            <w:r>
              <w:rPr>
                <w:rFonts w:eastAsia="新宋体" w:cs="Times New Roman"/>
                <w:b/>
                <w:bCs/>
              </w:rPr>
              <w:instrText xml:space="preserve"> </w:instrText>
            </w:r>
            <w:r>
              <w:rPr>
                <w:rFonts w:hint="eastAsia" w:eastAsia="新宋体" w:cs="Times New Roman"/>
                <w:b/>
                <w:bCs/>
              </w:rPr>
              <w:instrText xml:space="preserve">SEQ 建设内容编号 \* ARABIC</w:instrText>
            </w:r>
            <w:r>
              <w:rPr>
                <w:rFonts w:eastAsia="新宋体" w:cs="Times New Roman"/>
                <w:b/>
                <w:bCs/>
              </w:rPr>
              <w:instrText xml:space="preserve"> </w:instrText>
            </w:r>
            <w:r>
              <w:rPr>
                <w:rFonts w:eastAsia="新宋体" w:cs="Times New Roman"/>
                <w:b/>
                <w:bCs/>
              </w:rPr>
              <w:fldChar w:fldCharType="separate"/>
            </w:r>
            <w:r>
              <w:rPr>
                <w:rFonts w:eastAsia="新宋体" w:cs="Times New Roman"/>
                <w:b/>
                <w:bCs/>
              </w:rPr>
              <w:t>9</w:t>
            </w:r>
            <w:r>
              <w:rPr>
                <w:rFonts w:eastAsia="新宋体" w:cs="Times New Roman"/>
              </w:rPr>
              <w:fldChar w:fldCharType="end"/>
            </w:r>
            <w:r>
              <w:rPr>
                <w:rFonts w:hint="eastAsia" w:eastAsia="新宋体" w:cs="Times New Roman"/>
              </w:rPr>
              <w:t>、</w:t>
            </w:r>
            <w:r>
              <w:rPr>
                <w:rFonts w:hint="eastAsia" w:eastAsia="新宋体" w:cs="Times New Roman"/>
                <w:b/>
                <w:bCs/>
              </w:rPr>
              <w:t>环保投资情况</w:t>
            </w:r>
          </w:p>
          <w:p>
            <w:pPr>
              <w:spacing w:line="360" w:lineRule="auto"/>
              <w:ind w:firstLine="482"/>
              <w:jc w:val="left"/>
              <w:rPr>
                <w:rFonts w:eastAsia="新宋体" w:cs="Times New Roman"/>
                <w:b/>
                <w:bCs/>
              </w:rPr>
            </w:pPr>
            <w:r>
              <w:rPr>
                <w:rFonts w:hint="eastAsia" w:eastAsia="新宋体" w:cs="Times New Roman"/>
              </w:rPr>
              <w:t>项目总投资3</w:t>
            </w:r>
            <w:r>
              <w:rPr>
                <w:rFonts w:eastAsia="新宋体" w:cs="Times New Roman"/>
              </w:rPr>
              <w:t>00</w:t>
            </w:r>
            <w:r>
              <w:rPr>
                <w:rFonts w:hint="eastAsia" w:eastAsia="新宋体" w:cs="Times New Roman"/>
              </w:rPr>
              <w:t>万元，</w:t>
            </w:r>
            <w:r>
              <w:rPr>
                <w:rFonts w:eastAsia="新宋体" w:cs="Times New Roman"/>
              </w:rPr>
              <w:t>环保投资</w:t>
            </w:r>
            <w:r>
              <w:rPr>
                <w:rFonts w:hint="eastAsia" w:eastAsia="新宋体" w:cs="Times New Roman"/>
              </w:rPr>
              <w:t>3</w:t>
            </w:r>
            <w:r>
              <w:rPr>
                <w:rFonts w:eastAsia="新宋体" w:cs="Times New Roman"/>
              </w:rPr>
              <w:t>0万元，占工程总投资的</w:t>
            </w:r>
            <w:r>
              <w:rPr>
                <w:rFonts w:hint="eastAsia" w:eastAsia="新宋体" w:cs="Times New Roman"/>
              </w:rPr>
              <w:t>1</w:t>
            </w:r>
            <w:r>
              <w:rPr>
                <w:rFonts w:eastAsia="新宋体" w:cs="Times New Roman"/>
              </w:rPr>
              <w:t>0%，</w:t>
            </w:r>
            <w:r>
              <w:rPr>
                <w:rFonts w:hint="eastAsia" w:eastAsia="新宋体" w:cs="Times New Roman"/>
              </w:rPr>
              <w:t>资金全部为企业自筹资金。</w:t>
            </w:r>
            <w:r>
              <w:rPr>
                <w:rFonts w:eastAsia="新宋体" w:cs="Times New Roman"/>
              </w:rPr>
              <w:t>环保建设内容见</w:t>
            </w:r>
            <w:r>
              <w:rPr>
                <w:rFonts w:eastAsia="新宋体" w:cs="Times New Roman"/>
              </w:rPr>
              <w:fldChar w:fldCharType="begin"/>
            </w:r>
            <w:r>
              <w:rPr>
                <w:rFonts w:eastAsia="新宋体" w:cs="Times New Roman"/>
              </w:rPr>
              <w:instrText xml:space="preserve"> REF _Ref98509785 \h </w:instrText>
            </w:r>
            <w:r>
              <w:rPr>
                <w:rFonts w:eastAsia="新宋体" w:cs="Times New Roman"/>
              </w:rPr>
              <w:fldChar w:fldCharType="separate"/>
            </w:r>
            <w:r>
              <w:t>表13</w:t>
            </w:r>
            <w:r>
              <w:rPr>
                <w:rFonts w:eastAsia="新宋体" w:cs="Times New Roman"/>
              </w:rPr>
              <w:fldChar w:fldCharType="end"/>
            </w:r>
            <w:r>
              <w:rPr>
                <w:rFonts w:eastAsia="新宋体" w:cs="Times New Roman"/>
              </w:rPr>
              <w:t>。</w:t>
            </w:r>
          </w:p>
          <w:p>
            <w:pPr>
              <w:pStyle w:val="320"/>
            </w:pPr>
            <w:bookmarkStart w:id="16" w:name="_Ref98509785"/>
            <w:r>
              <w:t>表</w:t>
            </w:r>
            <w:r>
              <w:fldChar w:fldCharType="begin"/>
            </w:r>
            <w:r>
              <w:instrText xml:space="preserve"> SEQ 表格 \* ARABIC </w:instrText>
            </w:r>
            <w:r>
              <w:fldChar w:fldCharType="separate"/>
            </w:r>
            <w:r>
              <w:t>13</w:t>
            </w:r>
            <w:r>
              <w:fldChar w:fldCharType="end"/>
            </w:r>
            <w:bookmarkEnd w:id="16"/>
            <w:r>
              <w:t xml:space="preserve"> 工程环保设施（措施）及投资估算一览表</w:t>
            </w:r>
          </w:p>
          <w:tbl>
            <w:tblPr>
              <w:tblStyle w:val="4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21"/>
              <w:gridCol w:w="1134"/>
              <w:gridCol w:w="5648"/>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1" w:type="dxa"/>
                  <w:shd w:val="clear" w:color="auto" w:fill="auto"/>
                  <w:vAlign w:val="center"/>
                </w:tcPr>
                <w:p>
                  <w:pPr>
                    <w:pStyle w:val="68"/>
                    <w:spacing w:before="0" w:beforeLines="0" w:after="0" w:afterLines="0"/>
                    <w:ind w:left="24" w:right="24"/>
                  </w:pPr>
                  <w:r>
                    <w:t>序号</w:t>
                  </w:r>
                </w:p>
              </w:tc>
              <w:tc>
                <w:tcPr>
                  <w:tcW w:w="1134" w:type="dxa"/>
                  <w:shd w:val="clear" w:color="auto" w:fill="auto"/>
                  <w:vAlign w:val="center"/>
                </w:tcPr>
                <w:p>
                  <w:pPr>
                    <w:pStyle w:val="68"/>
                    <w:spacing w:before="0" w:beforeLines="0" w:after="0" w:afterLines="0"/>
                    <w:ind w:left="24" w:right="24"/>
                  </w:pPr>
                  <w:r>
                    <w:t>项目名称</w:t>
                  </w:r>
                </w:p>
              </w:tc>
              <w:tc>
                <w:tcPr>
                  <w:tcW w:w="5648" w:type="dxa"/>
                  <w:shd w:val="clear" w:color="auto" w:fill="auto"/>
                  <w:vAlign w:val="center"/>
                </w:tcPr>
                <w:p>
                  <w:pPr>
                    <w:pStyle w:val="68"/>
                    <w:spacing w:before="0" w:beforeLines="0" w:after="0" w:afterLines="0"/>
                    <w:ind w:left="24" w:right="24"/>
                  </w:pPr>
                  <w:r>
                    <w:rPr>
                      <w:rFonts w:hint="eastAsia"/>
                    </w:rPr>
                    <w:t>治理措施</w:t>
                  </w:r>
                </w:p>
              </w:tc>
              <w:tc>
                <w:tcPr>
                  <w:tcW w:w="1468" w:type="dxa"/>
                  <w:shd w:val="clear" w:color="auto" w:fill="auto"/>
                  <w:vAlign w:val="center"/>
                </w:tcPr>
                <w:p>
                  <w:pPr>
                    <w:pStyle w:val="68"/>
                    <w:spacing w:before="0" w:beforeLines="0" w:after="0" w:afterLines="0"/>
                    <w:ind w:left="24" w:right="24"/>
                  </w:pPr>
                  <w:r>
                    <w:t>投资（万元）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1" w:type="dxa"/>
                  <w:shd w:val="clear" w:color="auto" w:fill="auto"/>
                  <w:vAlign w:val="center"/>
                </w:tcPr>
                <w:p>
                  <w:pPr>
                    <w:pStyle w:val="68"/>
                    <w:spacing w:before="0" w:beforeLines="0" w:after="0" w:afterLines="0"/>
                    <w:ind w:left="24" w:right="24"/>
                  </w:pPr>
                  <w:r>
                    <w:t>1</w:t>
                  </w:r>
                </w:p>
              </w:tc>
              <w:tc>
                <w:tcPr>
                  <w:tcW w:w="1134" w:type="dxa"/>
                  <w:vMerge w:val="restart"/>
                  <w:shd w:val="clear" w:color="auto" w:fill="auto"/>
                  <w:vAlign w:val="center"/>
                </w:tcPr>
                <w:p>
                  <w:pPr>
                    <w:pStyle w:val="68"/>
                    <w:spacing w:before="0" w:beforeLines="0" w:after="0" w:afterLines="0"/>
                    <w:ind w:left="24" w:right="24"/>
                  </w:pPr>
                  <w:r>
                    <w:t>废气</w:t>
                  </w:r>
                </w:p>
              </w:tc>
              <w:tc>
                <w:tcPr>
                  <w:tcW w:w="5648" w:type="dxa"/>
                  <w:shd w:val="clear" w:color="auto" w:fill="auto"/>
                  <w:vAlign w:val="center"/>
                </w:tcPr>
                <w:p>
                  <w:pPr>
                    <w:pStyle w:val="68"/>
                    <w:spacing w:before="0" w:beforeLines="0" w:after="0" w:afterLines="0"/>
                    <w:ind w:left="24" w:right="24"/>
                  </w:pPr>
                  <w:r>
                    <w:rPr>
                      <w:rFonts w:hint="eastAsia"/>
                      <w:bCs/>
                    </w:rPr>
                    <w:t>搅拌机废气处理用布袋除尘器、排气筒等</w:t>
                  </w:r>
                </w:p>
              </w:tc>
              <w:tc>
                <w:tcPr>
                  <w:tcW w:w="1468" w:type="dxa"/>
                  <w:shd w:val="clear" w:color="auto" w:fill="auto"/>
                  <w:vAlign w:val="center"/>
                </w:tcPr>
                <w:p>
                  <w:pPr>
                    <w:pStyle w:val="68"/>
                    <w:spacing w:before="0" w:beforeLines="0" w:after="0" w:afterLines="0"/>
                    <w:ind w:left="24" w:right="24"/>
                  </w:pPr>
                  <w: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1" w:type="dxa"/>
                  <w:shd w:val="clear" w:color="auto" w:fill="auto"/>
                  <w:vAlign w:val="center"/>
                </w:tcPr>
                <w:p>
                  <w:pPr>
                    <w:pStyle w:val="68"/>
                    <w:spacing w:before="0" w:beforeLines="0" w:after="0" w:afterLines="0"/>
                    <w:ind w:left="24" w:right="24"/>
                  </w:pPr>
                  <w:r>
                    <w:rPr>
                      <w:rFonts w:hint="eastAsia"/>
                    </w:rPr>
                    <w:t>2</w:t>
                  </w:r>
                </w:p>
              </w:tc>
              <w:tc>
                <w:tcPr>
                  <w:tcW w:w="1134" w:type="dxa"/>
                  <w:vMerge w:val="continue"/>
                  <w:shd w:val="clear" w:color="auto" w:fill="auto"/>
                  <w:vAlign w:val="center"/>
                </w:tcPr>
                <w:p>
                  <w:pPr>
                    <w:pStyle w:val="68"/>
                    <w:spacing w:before="0" w:beforeLines="0" w:after="0" w:afterLines="0"/>
                    <w:ind w:left="24" w:right="24"/>
                  </w:pPr>
                </w:p>
              </w:tc>
              <w:tc>
                <w:tcPr>
                  <w:tcW w:w="5648" w:type="dxa"/>
                  <w:shd w:val="clear" w:color="auto" w:fill="auto"/>
                  <w:vAlign w:val="center"/>
                </w:tcPr>
                <w:p>
                  <w:pPr>
                    <w:pStyle w:val="68"/>
                    <w:spacing w:before="0" w:beforeLines="0" w:after="0" w:afterLines="0"/>
                    <w:ind w:left="24" w:right="24"/>
                    <w:rPr>
                      <w:bCs/>
                    </w:rPr>
                  </w:pPr>
                  <w:r>
                    <w:rPr>
                      <w:rFonts w:hint="eastAsia"/>
                      <w:bCs/>
                    </w:rPr>
                    <w:t>筒仓仓顶脉冲反吹式布袋除尘器</w:t>
                  </w:r>
                </w:p>
              </w:tc>
              <w:tc>
                <w:tcPr>
                  <w:tcW w:w="1468" w:type="dxa"/>
                  <w:shd w:val="clear" w:color="auto" w:fill="auto"/>
                  <w:vAlign w:val="center"/>
                </w:tcPr>
                <w:p>
                  <w:pPr>
                    <w:pStyle w:val="68"/>
                    <w:spacing w:before="0" w:beforeLines="0" w:after="0" w:afterLines="0"/>
                    <w:ind w:left="24" w:right="24"/>
                  </w:pPr>
                  <w:r>
                    <w:rPr>
                      <w:rFonts w:hint="eastAsia"/>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1" w:type="dxa"/>
                  <w:shd w:val="clear" w:color="auto" w:fill="auto"/>
                  <w:vAlign w:val="center"/>
                </w:tcPr>
                <w:p>
                  <w:pPr>
                    <w:pStyle w:val="68"/>
                    <w:spacing w:before="0" w:beforeLines="0" w:after="0" w:afterLines="0"/>
                    <w:ind w:left="24" w:right="24"/>
                  </w:pPr>
                  <w:r>
                    <w:rPr>
                      <w:rFonts w:hint="eastAsia"/>
                    </w:rPr>
                    <w:t>3</w:t>
                  </w:r>
                </w:p>
              </w:tc>
              <w:tc>
                <w:tcPr>
                  <w:tcW w:w="1134" w:type="dxa"/>
                  <w:vMerge w:val="continue"/>
                  <w:shd w:val="clear" w:color="auto" w:fill="auto"/>
                  <w:vAlign w:val="center"/>
                </w:tcPr>
                <w:p>
                  <w:pPr>
                    <w:pStyle w:val="68"/>
                    <w:spacing w:before="0" w:beforeLines="0" w:after="0" w:afterLines="0"/>
                    <w:ind w:left="24" w:right="24"/>
                  </w:pPr>
                </w:p>
              </w:tc>
              <w:tc>
                <w:tcPr>
                  <w:tcW w:w="5648" w:type="dxa"/>
                  <w:shd w:val="clear" w:color="auto" w:fill="auto"/>
                  <w:vAlign w:val="center"/>
                </w:tcPr>
                <w:p>
                  <w:pPr>
                    <w:pStyle w:val="68"/>
                    <w:spacing w:before="0" w:beforeLines="0" w:after="0" w:afterLines="0"/>
                    <w:ind w:left="24" w:right="24"/>
                    <w:rPr>
                      <w:bCs/>
                    </w:rPr>
                  </w:pPr>
                  <w:r>
                    <w:rPr>
                      <w:rFonts w:hint="eastAsia"/>
                      <w:bCs/>
                    </w:rPr>
                    <w:t>喷淋抑尘（降尘）设施</w:t>
                  </w:r>
                </w:p>
              </w:tc>
              <w:tc>
                <w:tcPr>
                  <w:tcW w:w="1468" w:type="dxa"/>
                  <w:shd w:val="clear" w:color="auto" w:fill="auto"/>
                  <w:vAlign w:val="center"/>
                </w:tcPr>
                <w:p>
                  <w:pPr>
                    <w:pStyle w:val="68"/>
                    <w:spacing w:before="0" w:beforeLines="0" w:after="0" w:afterLines="0"/>
                    <w:ind w:left="24" w:right="24"/>
                  </w:pPr>
                  <w:r>
                    <w:rPr>
                      <w:rFonts w:hint="eastAsia"/>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1" w:type="dxa"/>
                  <w:shd w:val="clear" w:color="auto" w:fill="auto"/>
                  <w:vAlign w:val="center"/>
                </w:tcPr>
                <w:p>
                  <w:pPr>
                    <w:pStyle w:val="68"/>
                    <w:spacing w:before="0" w:beforeLines="0" w:after="0" w:afterLines="0"/>
                    <w:ind w:left="24" w:right="24"/>
                  </w:pPr>
                  <w:r>
                    <w:rPr>
                      <w:rFonts w:hint="eastAsia"/>
                    </w:rPr>
                    <w:t>4</w:t>
                  </w:r>
                </w:p>
              </w:tc>
              <w:tc>
                <w:tcPr>
                  <w:tcW w:w="1134" w:type="dxa"/>
                  <w:vMerge w:val="continue"/>
                  <w:shd w:val="clear" w:color="auto" w:fill="auto"/>
                  <w:vAlign w:val="center"/>
                </w:tcPr>
                <w:p>
                  <w:pPr>
                    <w:pStyle w:val="68"/>
                    <w:spacing w:before="0" w:beforeLines="0" w:after="0" w:afterLines="0"/>
                    <w:ind w:left="24" w:right="24"/>
                  </w:pPr>
                </w:p>
              </w:tc>
              <w:tc>
                <w:tcPr>
                  <w:tcW w:w="5648" w:type="dxa"/>
                  <w:shd w:val="clear" w:color="auto" w:fill="auto"/>
                  <w:vAlign w:val="center"/>
                </w:tcPr>
                <w:p>
                  <w:pPr>
                    <w:pStyle w:val="68"/>
                    <w:spacing w:before="0" w:beforeLines="0" w:after="0" w:afterLines="0"/>
                    <w:ind w:left="24" w:right="24"/>
                    <w:rPr>
                      <w:bCs/>
                    </w:rPr>
                  </w:pPr>
                  <w:r>
                    <w:rPr>
                      <w:rFonts w:hint="eastAsia"/>
                      <w:bCs/>
                    </w:rPr>
                    <w:t>砂石分离机、沉淀池、收集管线、防渗措施等</w:t>
                  </w:r>
                </w:p>
              </w:tc>
              <w:tc>
                <w:tcPr>
                  <w:tcW w:w="1468" w:type="dxa"/>
                  <w:shd w:val="clear" w:color="auto" w:fill="auto"/>
                  <w:vAlign w:val="center"/>
                </w:tcPr>
                <w:p>
                  <w:pPr>
                    <w:pStyle w:val="68"/>
                    <w:spacing w:before="0" w:beforeLines="0" w:after="0" w:afterLines="0"/>
                    <w:ind w:left="24" w:right="24"/>
                  </w:pPr>
                  <w:r>
                    <w:rPr>
                      <w:rFonts w:hint="eastAsia"/>
                    </w:rPr>
                    <w:t>1</w:t>
                  </w:r>
                  <w: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1" w:type="dxa"/>
                  <w:shd w:val="clear" w:color="auto" w:fill="auto"/>
                  <w:vAlign w:val="center"/>
                </w:tcPr>
                <w:p>
                  <w:pPr>
                    <w:pStyle w:val="68"/>
                    <w:spacing w:before="0" w:beforeLines="0" w:after="0" w:afterLines="0"/>
                    <w:ind w:left="24" w:right="24"/>
                  </w:pPr>
                  <w:r>
                    <w:rPr>
                      <w:rFonts w:hint="eastAsia"/>
                    </w:rPr>
                    <w:t>5</w:t>
                  </w:r>
                </w:p>
              </w:tc>
              <w:tc>
                <w:tcPr>
                  <w:tcW w:w="1134" w:type="dxa"/>
                  <w:shd w:val="clear" w:color="auto" w:fill="auto"/>
                  <w:vAlign w:val="center"/>
                </w:tcPr>
                <w:p>
                  <w:pPr>
                    <w:pStyle w:val="68"/>
                    <w:spacing w:before="0" w:beforeLines="0" w:after="0" w:afterLines="0"/>
                    <w:ind w:left="24" w:right="24"/>
                  </w:pPr>
                  <w:r>
                    <w:rPr>
                      <w:rFonts w:hint="eastAsia"/>
                    </w:rPr>
                    <w:t>废水</w:t>
                  </w:r>
                </w:p>
              </w:tc>
              <w:tc>
                <w:tcPr>
                  <w:tcW w:w="5648" w:type="dxa"/>
                  <w:shd w:val="clear" w:color="auto" w:fill="auto"/>
                  <w:vAlign w:val="center"/>
                </w:tcPr>
                <w:p>
                  <w:pPr>
                    <w:pStyle w:val="68"/>
                    <w:spacing w:before="0" w:beforeLines="0" w:after="0" w:afterLines="0"/>
                    <w:ind w:left="24" w:right="24"/>
                    <w:rPr>
                      <w:bCs/>
                    </w:rPr>
                  </w:pPr>
                  <w:r>
                    <w:rPr>
                      <w:rFonts w:hint="eastAsia"/>
                      <w:bCs/>
                    </w:rPr>
                    <w:t>砂石分离机、压滤机、沉淀池、化粪池，防渗措施等</w:t>
                  </w:r>
                </w:p>
              </w:tc>
              <w:tc>
                <w:tcPr>
                  <w:tcW w:w="1468" w:type="dxa"/>
                  <w:shd w:val="clear" w:color="auto" w:fill="auto"/>
                  <w:vAlign w:val="center"/>
                </w:tcPr>
                <w:p>
                  <w:pPr>
                    <w:pStyle w:val="68"/>
                    <w:spacing w:before="0" w:beforeLines="0" w:after="0" w:afterLines="0"/>
                    <w:ind w:left="24" w:right="24"/>
                  </w:pPr>
                  <w: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1" w:type="dxa"/>
                  <w:shd w:val="clear" w:color="auto" w:fill="auto"/>
                  <w:vAlign w:val="center"/>
                </w:tcPr>
                <w:p>
                  <w:pPr>
                    <w:pStyle w:val="68"/>
                    <w:spacing w:before="0" w:beforeLines="0" w:after="0" w:afterLines="0"/>
                    <w:ind w:left="24" w:right="24"/>
                  </w:pPr>
                  <w:r>
                    <w:rPr>
                      <w:rFonts w:hint="eastAsia"/>
                    </w:rPr>
                    <w:t>6</w:t>
                  </w:r>
                </w:p>
              </w:tc>
              <w:tc>
                <w:tcPr>
                  <w:tcW w:w="1134" w:type="dxa"/>
                  <w:shd w:val="clear" w:color="auto" w:fill="auto"/>
                  <w:vAlign w:val="center"/>
                </w:tcPr>
                <w:p>
                  <w:pPr>
                    <w:pStyle w:val="68"/>
                    <w:spacing w:before="0" w:beforeLines="0" w:after="0" w:afterLines="0"/>
                    <w:ind w:left="24" w:right="24"/>
                  </w:pPr>
                  <w:r>
                    <w:t>噪声</w:t>
                  </w:r>
                </w:p>
              </w:tc>
              <w:tc>
                <w:tcPr>
                  <w:tcW w:w="5648" w:type="dxa"/>
                  <w:shd w:val="clear" w:color="auto" w:fill="auto"/>
                  <w:vAlign w:val="center"/>
                </w:tcPr>
                <w:p>
                  <w:pPr>
                    <w:pStyle w:val="68"/>
                    <w:spacing w:before="0" w:beforeLines="0" w:after="0" w:afterLines="0"/>
                    <w:ind w:left="24" w:right="24"/>
                  </w:pPr>
                  <w:r>
                    <w:t>隔音、</w:t>
                  </w:r>
                  <w:r>
                    <w:rPr>
                      <w:rFonts w:hint="eastAsia"/>
                    </w:rPr>
                    <w:t>减振</w:t>
                  </w:r>
                </w:p>
              </w:tc>
              <w:tc>
                <w:tcPr>
                  <w:tcW w:w="1468" w:type="dxa"/>
                  <w:shd w:val="clear" w:color="auto" w:fill="auto"/>
                  <w:vAlign w:val="center"/>
                </w:tcPr>
                <w:p>
                  <w:pPr>
                    <w:pStyle w:val="68"/>
                    <w:spacing w:before="0" w:beforeLines="0" w:after="0" w:afterLines="0"/>
                    <w:ind w:left="24" w:right="24"/>
                  </w:pPr>
                  <w: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721" w:type="dxa"/>
                  <w:shd w:val="clear" w:color="auto" w:fill="auto"/>
                  <w:vAlign w:val="center"/>
                </w:tcPr>
                <w:p>
                  <w:pPr>
                    <w:pStyle w:val="68"/>
                    <w:spacing w:before="0" w:beforeLines="0" w:after="0" w:afterLines="0"/>
                    <w:ind w:left="24" w:right="24"/>
                  </w:pPr>
                  <w:r>
                    <w:rPr>
                      <w:rFonts w:hint="eastAsia"/>
                    </w:rPr>
                    <w:t>7</w:t>
                  </w:r>
                </w:p>
              </w:tc>
              <w:tc>
                <w:tcPr>
                  <w:tcW w:w="1134" w:type="dxa"/>
                  <w:shd w:val="clear" w:color="auto" w:fill="auto"/>
                  <w:vAlign w:val="center"/>
                </w:tcPr>
                <w:p>
                  <w:pPr>
                    <w:pStyle w:val="68"/>
                    <w:spacing w:before="0" w:beforeLines="0" w:after="0" w:afterLines="0"/>
                    <w:ind w:left="24" w:right="24"/>
                  </w:pPr>
                  <w:r>
                    <w:t>固废</w:t>
                  </w:r>
                </w:p>
              </w:tc>
              <w:tc>
                <w:tcPr>
                  <w:tcW w:w="5648" w:type="dxa"/>
                  <w:shd w:val="clear" w:color="auto" w:fill="auto"/>
                  <w:vAlign w:val="center"/>
                </w:tcPr>
                <w:p>
                  <w:pPr>
                    <w:pStyle w:val="68"/>
                    <w:spacing w:before="0" w:beforeLines="0" w:after="0" w:afterLines="0"/>
                    <w:ind w:left="24" w:right="24"/>
                  </w:pPr>
                  <w:r>
                    <w:rPr>
                      <w:rFonts w:hint="eastAsia"/>
                    </w:rPr>
                    <w:t>一般固废收集设施、危废间、垃圾桶，危险废物委托处置等</w:t>
                  </w:r>
                </w:p>
              </w:tc>
              <w:tc>
                <w:tcPr>
                  <w:tcW w:w="1468" w:type="dxa"/>
                  <w:shd w:val="clear" w:color="auto" w:fill="auto"/>
                  <w:vAlign w:val="center"/>
                </w:tcPr>
                <w:p>
                  <w:pPr>
                    <w:pStyle w:val="68"/>
                    <w:spacing w:before="0" w:beforeLines="0" w:after="0" w:afterLines="0"/>
                    <w:ind w:left="24" w:right="24"/>
                  </w:pPr>
                  <w: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03" w:type="dxa"/>
                  <w:gridSpan w:val="3"/>
                  <w:shd w:val="clear" w:color="auto" w:fill="auto"/>
                  <w:vAlign w:val="center"/>
                </w:tcPr>
                <w:p>
                  <w:pPr>
                    <w:pStyle w:val="68"/>
                    <w:spacing w:before="0" w:beforeLines="0" w:after="0" w:afterLines="0"/>
                    <w:ind w:left="24" w:right="24"/>
                  </w:pPr>
                  <w:r>
                    <w:t>合计</w:t>
                  </w:r>
                </w:p>
              </w:tc>
              <w:tc>
                <w:tcPr>
                  <w:tcW w:w="1468" w:type="dxa"/>
                  <w:shd w:val="clear" w:color="auto" w:fill="auto"/>
                  <w:vAlign w:val="center"/>
                </w:tcPr>
                <w:p>
                  <w:pPr>
                    <w:pStyle w:val="68"/>
                    <w:spacing w:before="0" w:beforeLines="0" w:after="0" w:afterLines="0"/>
                    <w:ind w:left="24" w:right="24"/>
                  </w:pPr>
                  <w:r>
                    <w:fldChar w:fldCharType="begin"/>
                  </w:r>
                  <w:r>
                    <w:instrText xml:space="preserve"> =SUM(ABOVE) </w:instrText>
                  </w:r>
                  <w:r>
                    <w:fldChar w:fldCharType="separate"/>
                  </w:r>
                  <w:r>
                    <w:t>30</w:t>
                  </w:r>
                  <w:r>
                    <w:fldChar w:fldCharType="end"/>
                  </w:r>
                </w:p>
              </w:tc>
            </w:tr>
          </w:tbl>
          <w:p/>
        </w:tc>
      </w:tr>
      <w:bookmarkEnd w:id="6"/>
    </w:tbl>
    <w:p>
      <w:pPr>
        <w:sectPr>
          <w:footerReference r:id="rId3" w:type="default"/>
          <w:pgSz w:w="11906" w:h="16838"/>
          <w:pgMar w:top="1418" w:right="1247" w:bottom="1418" w:left="1247" w:header="851" w:footer="850" w:gutter="0"/>
          <w:pgNumType w:start="1"/>
          <w:cols w:space="425" w:num="1"/>
          <w:docGrid w:linePitch="326" w:charSpace="0"/>
        </w:sectPr>
      </w:pPr>
    </w:p>
    <w:bookmarkEnd w:id="7"/>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2"/>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4" w:type="pct"/>
            <w:vAlign w:val="center"/>
          </w:tcPr>
          <w:p>
            <w:pPr>
              <w:pStyle w:val="68"/>
              <w:spacing w:before="24" w:after="24"/>
              <w:rPr>
                <w:color w:val="000000" w:themeColor="text1"/>
                <w:spacing w:val="20"/>
                <w:sz w:val="24"/>
                <w:szCs w:val="24"/>
                <w14:textFill>
                  <w14:solidFill>
                    <w14:schemeClr w14:val="tx1"/>
                  </w14:solidFill>
                </w14:textFill>
              </w:rPr>
            </w:pPr>
            <w:r>
              <w:rPr>
                <w:rFonts w:hint="eastAsia"/>
                <w:color w:val="000000" w:themeColor="text1"/>
                <w:spacing w:val="20"/>
                <w:sz w:val="24"/>
                <w:szCs w:val="24"/>
                <w14:textFill>
                  <w14:solidFill>
                    <w14:schemeClr w14:val="tx1"/>
                  </w14:solidFill>
                </w14:textFill>
              </w:rPr>
              <w:t>工艺流程和产排污环节</w:t>
            </w:r>
          </w:p>
        </w:tc>
        <w:tc>
          <w:tcPr>
            <w:tcW w:w="4776" w:type="pct"/>
          </w:tcPr>
          <w:p>
            <w:pPr>
              <w:pStyle w:val="69"/>
              <w:spacing w:before="120" w:beforeLines="50"/>
              <w:ind w:left="48" w:right="48"/>
              <w:jc w:val="both"/>
              <w:rPr>
                <w:b/>
                <w:bCs/>
                <w:lang w:eastAsia="zh-CN"/>
              </w:rPr>
            </w:pPr>
            <w:r>
              <w:rPr>
                <w:rFonts w:hint="eastAsia"/>
                <w:b/>
                <w:bCs/>
                <w:lang w:eastAsia="zh-CN"/>
              </w:rPr>
              <w:t>一、营运期工艺流程及产污环节分析</w:t>
            </w:r>
          </w:p>
          <w:p>
            <w:pPr>
              <w:pStyle w:val="69"/>
              <w:ind w:left="48" w:right="48"/>
              <w:rPr>
                <w:lang w:eastAsia="zh-CN"/>
              </w:rPr>
            </w:pPr>
            <w:r>
              <w:rPr>
                <w:rFonts w:hint="eastAsia"/>
                <w:lang w:eastAsia="zh-CN"/>
              </w:rPr>
              <w:t>本项目以水泥、石子、砂子、粉煤灰及外加剂等为原料经混合搅拌生产商品混凝土，商品混凝土生产工艺流程及产污环节见</w:t>
            </w:r>
            <w:r>
              <w:fldChar w:fldCharType="begin"/>
            </w:r>
            <w:r>
              <w:rPr>
                <w:lang w:eastAsia="zh-CN"/>
              </w:rPr>
              <w:instrText xml:space="preserve"> </w:instrText>
            </w:r>
            <w:r>
              <w:rPr>
                <w:rFonts w:hint="eastAsia"/>
                <w:lang w:eastAsia="zh-CN"/>
              </w:rPr>
              <w:instrText xml:space="preserve">REF _Ref101047205 \h</w:instrText>
            </w:r>
            <w:r>
              <w:rPr>
                <w:lang w:eastAsia="zh-CN"/>
              </w:rPr>
              <w:instrText xml:space="preserve">  \* MERGEFORMAT </w:instrText>
            </w:r>
            <w:r>
              <w:fldChar w:fldCharType="separate"/>
            </w:r>
            <w:r>
              <w:rPr>
                <w:rFonts w:hint="eastAsia"/>
                <w:lang w:eastAsia="zh-CN"/>
              </w:rPr>
              <w:t xml:space="preserve">图 </w:t>
            </w:r>
            <w:r>
              <w:rPr>
                <w:lang w:eastAsia="zh-CN"/>
              </w:rPr>
              <w:t>4</w:t>
            </w:r>
            <w:r>
              <w:fldChar w:fldCharType="end"/>
            </w:r>
            <w:r>
              <w:rPr>
                <w:rFonts w:hint="eastAsia"/>
                <w:lang w:eastAsia="zh-CN"/>
              </w:rPr>
              <w:t>。</w:t>
            </w:r>
          </w:p>
          <w:p>
            <w:pPr>
              <w:pStyle w:val="63"/>
              <w:spacing w:before="120" w:beforeLines="50"/>
              <w:ind w:firstLine="480"/>
            </w:pPr>
            <w:r>
              <w:drawing>
                <wp:inline distT="0" distB="0" distL="0" distR="0">
                  <wp:extent cx="5129530" cy="6487795"/>
                  <wp:effectExtent l="0" t="0" r="0" b="0"/>
                  <wp:docPr id="3" name="图片 3" descr="屏幕上有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上有字&#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2976" cy="6492192"/>
                          </a:xfrm>
                          <a:prstGeom prst="rect">
                            <a:avLst/>
                          </a:prstGeom>
                        </pic:spPr>
                      </pic:pic>
                    </a:graphicData>
                  </a:graphic>
                </wp:inline>
              </w:drawing>
            </w:r>
          </w:p>
          <w:p>
            <w:pPr>
              <w:pStyle w:val="70"/>
              <w:spacing w:before="120"/>
              <w:rPr>
                <w:lang w:eastAsia="zh-CN"/>
              </w:rPr>
            </w:pPr>
            <w:bookmarkStart w:id="17" w:name="_Ref101047205"/>
            <w:r>
              <w:rPr>
                <w:rFonts w:hint="eastAsia"/>
                <w:lang w:eastAsia="zh-CN"/>
              </w:rPr>
              <w:t xml:space="preserve">图 </w:t>
            </w:r>
            <w:r>
              <w:fldChar w:fldCharType="begin"/>
            </w:r>
            <w:r>
              <w:rPr>
                <w:lang w:eastAsia="zh-CN"/>
              </w:rPr>
              <w:instrText xml:space="preserve"> </w:instrText>
            </w:r>
            <w:r>
              <w:rPr>
                <w:rFonts w:hint="eastAsia"/>
                <w:lang w:eastAsia="zh-CN"/>
              </w:rPr>
              <w:instrText xml:space="preserve">SEQ 图表 \* ARABIC</w:instrText>
            </w:r>
            <w:r>
              <w:rPr>
                <w:lang w:eastAsia="zh-CN"/>
              </w:rPr>
              <w:instrText xml:space="preserve"> </w:instrText>
            </w:r>
            <w:r>
              <w:fldChar w:fldCharType="separate"/>
            </w:r>
            <w:r>
              <w:rPr>
                <w:lang w:eastAsia="zh-CN"/>
              </w:rPr>
              <w:t>4</w:t>
            </w:r>
            <w:r>
              <w:fldChar w:fldCharType="end"/>
            </w:r>
            <w:bookmarkEnd w:id="17"/>
            <w:r>
              <w:rPr>
                <w:lang w:eastAsia="zh-CN"/>
              </w:rPr>
              <w:t xml:space="preserve"> </w:t>
            </w:r>
            <w:r>
              <w:rPr>
                <w:rFonts w:hint="eastAsia"/>
                <w:lang w:eastAsia="zh-CN"/>
              </w:rPr>
              <w:t>混凝土生产工艺流程及产污环节图</w:t>
            </w:r>
          </w:p>
          <w:p>
            <w:pPr>
              <w:pStyle w:val="70"/>
              <w:spacing w:before="120"/>
              <w:rPr>
                <w:lang w:eastAsia="zh-CN"/>
              </w:rPr>
            </w:pPr>
          </w:p>
          <w:p>
            <w:pPr>
              <w:pStyle w:val="70"/>
              <w:spacing w:before="120"/>
              <w:rPr>
                <w:lang w:eastAsia="zh-CN"/>
              </w:rPr>
            </w:pPr>
          </w:p>
          <w:p>
            <w:pPr>
              <w:pStyle w:val="69"/>
              <w:ind w:left="48" w:right="48"/>
              <w:rPr>
                <w:lang w:eastAsia="zh-CN"/>
              </w:rPr>
            </w:pPr>
            <w:r>
              <w:rPr>
                <w:rFonts w:hint="eastAsia"/>
                <w:lang w:eastAsia="zh-CN"/>
              </w:rPr>
              <w:t>生产工艺流程简述如下：</w:t>
            </w:r>
          </w:p>
          <w:p>
            <w:pPr>
              <w:pStyle w:val="69"/>
              <w:ind w:left="48" w:right="48"/>
              <w:rPr>
                <w:lang w:eastAsia="zh-CN"/>
              </w:rPr>
            </w:pPr>
            <w:r>
              <w:rPr>
                <w:rFonts w:hint="eastAsia"/>
                <w:lang w:eastAsia="zh-CN"/>
              </w:rPr>
              <w:t>（1）原辅材料运输储存：水泥、矿粉、粉煤灰等采用密闭罐车运输，采用全封闭式进料方式，用车载空气压缩机的压缩空气将水泥、矿粉、粉煤灰等粉状原料打入粉料筒仓储存；外购的石子、砂等原料采用加盖篷布的车辆运输，储存在密闭原料库内。液体外加剂采用桶装包装，储存于搅拌机下方储罐内，使用时通过计量泵和管道输送至搅拌机内。</w:t>
            </w:r>
          </w:p>
          <w:p>
            <w:pPr>
              <w:pStyle w:val="69"/>
              <w:ind w:left="48" w:right="48"/>
              <w:rPr>
                <w:lang w:eastAsia="zh-CN"/>
              </w:rPr>
            </w:pPr>
            <w:r>
              <w:rPr>
                <w:rFonts w:hint="eastAsia"/>
                <w:lang w:eastAsia="zh-CN"/>
              </w:rPr>
              <w:t>（2）投料：筒仓内的水泥、矿粉、粉煤灰通过计量器计量后，经密闭管道输送至搅拌机内，石子、砂通过装载机送入配料机，并通过计量装置称重后经密闭的皮带传送机将配比好的砂石料送入搅拌机内，减水剂和水均通过计量泵和管道输送至搅拌机内。配料机上方及砂石上料区顶部设置喷淋系统进行洒水抑尘，上料时水喷淋装置一直处于开启状态。</w:t>
            </w:r>
          </w:p>
          <w:p>
            <w:pPr>
              <w:pStyle w:val="69"/>
              <w:ind w:left="48" w:right="48"/>
              <w:rPr>
                <w:lang w:eastAsia="zh-CN"/>
              </w:rPr>
            </w:pPr>
            <w:r>
              <w:rPr>
                <w:rFonts w:hint="eastAsia"/>
                <w:lang w:eastAsia="zh-CN"/>
              </w:rPr>
              <w:t>（</w:t>
            </w:r>
            <w:r>
              <w:rPr>
                <w:lang w:eastAsia="zh-CN"/>
              </w:rPr>
              <w:t>3</w:t>
            </w:r>
            <w:r>
              <w:rPr>
                <w:rFonts w:hint="eastAsia"/>
                <w:lang w:eastAsia="zh-CN"/>
              </w:rPr>
              <w:t>）搅拌：所有原辅材料进入搅拌机搅拌，搅拌均匀后即为成品混凝土，成品混凝土通过出料口进入运输车辆外运。</w:t>
            </w:r>
          </w:p>
          <w:p>
            <w:pPr>
              <w:pStyle w:val="69"/>
              <w:tabs>
                <w:tab w:val="center" w:pos="4736"/>
              </w:tabs>
              <w:ind w:left="48" w:right="48"/>
              <w:rPr>
                <w:lang w:eastAsia="zh-CN"/>
              </w:rPr>
            </w:pPr>
            <w:r>
              <w:rPr>
                <w:rFonts w:hint="eastAsia"/>
                <w:lang w:eastAsia="zh-CN"/>
              </w:rPr>
              <w:t>二、营运期主要污染工序汇总</w:t>
            </w:r>
          </w:p>
          <w:p>
            <w:pPr>
              <w:pStyle w:val="69"/>
              <w:ind w:left="48" w:right="48"/>
              <w:rPr>
                <w:lang w:eastAsia="zh-CN"/>
              </w:rPr>
            </w:pPr>
            <w:r>
              <w:rPr>
                <w:rFonts w:hint="eastAsia"/>
                <w:lang w:eastAsia="zh-CN"/>
              </w:rPr>
              <w:t>（1）废气：项目营运期废气主要为混凝土搅拌产生的粉尘，砂石料卸料、贮存产生的粉尘，砂石料上料产生的粉尘，筒仓储存输送粉状原料产生的粉尘及车辆运输扬尘。</w:t>
            </w:r>
          </w:p>
          <w:p>
            <w:pPr>
              <w:pStyle w:val="69"/>
              <w:ind w:left="48" w:right="48"/>
              <w:rPr>
                <w:lang w:eastAsia="zh-CN"/>
              </w:rPr>
            </w:pPr>
            <w:r>
              <w:rPr>
                <w:rFonts w:hint="eastAsia"/>
                <w:lang w:eastAsia="zh-CN"/>
              </w:rPr>
              <w:t>（2）废水：混凝土生产用水全部进入产品，不外排。搅拌机、搅拌车冲洗废水经砂石分离及沉淀处理后循环使用，定期补充，不外排。原料装卸、贮存喷淋用水，砂石料上料喷淋用水及厂区道路抑尘用水均蒸发损耗，不外排。项目营运期无生产废水排放，废水主要为职工生活污水，生活污水经化粪池处理后委托环卫部门定期清运。</w:t>
            </w:r>
          </w:p>
          <w:p>
            <w:pPr>
              <w:pStyle w:val="69"/>
              <w:ind w:left="48" w:right="48"/>
              <w:rPr>
                <w:lang w:eastAsia="zh-CN"/>
              </w:rPr>
            </w:pPr>
            <w:r>
              <w:rPr>
                <w:rFonts w:hint="eastAsia"/>
                <w:lang w:eastAsia="zh-CN"/>
              </w:rPr>
              <w:t>（3）噪声：项目噪声源主要为主要为混凝土搅拌、原料卸料、上料、输送、环保风机、运输车辆等产生的噪声，声压级约在7</w:t>
            </w:r>
            <w:r>
              <w:rPr>
                <w:lang w:eastAsia="zh-CN"/>
              </w:rPr>
              <w:t>0</w:t>
            </w:r>
            <w:r>
              <w:rPr>
                <w:rFonts w:hint="eastAsia"/>
                <w:lang w:eastAsia="zh-CN"/>
              </w:rPr>
              <w:t>~90dB（A）之间。</w:t>
            </w:r>
          </w:p>
          <w:p>
            <w:pPr>
              <w:pStyle w:val="69"/>
              <w:ind w:left="48" w:right="48"/>
              <w:rPr>
                <w:lang w:eastAsia="zh-CN"/>
              </w:rPr>
            </w:pPr>
            <w:r>
              <w:rPr>
                <w:rFonts w:hint="eastAsia"/>
                <w:lang w:eastAsia="zh-CN"/>
              </w:rPr>
              <w:t>（4）固体废物：项目营运期固废主要为除尘器收集的粉尘、地面沉降粉尘、砂石分离机回收的砂石料、沉淀池沉渣、设备及车辆维护产生的废机油、废机油桶、生活垃圾等。</w:t>
            </w:r>
          </w:p>
          <w:p>
            <w:pPr>
              <w:pStyle w:val="69"/>
              <w:ind w:left="48" w:right="48"/>
              <w:rPr>
                <w:lang w:eastAsia="zh-CN"/>
              </w:rPr>
            </w:pPr>
          </w:p>
          <w:p>
            <w:pPr>
              <w:pStyle w:val="69"/>
              <w:ind w:left="48" w:right="48"/>
              <w:rPr>
                <w:lang w:eastAsia="zh-CN"/>
              </w:rPr>
            </w:pPr>
          </w:p>
          <w:p>
            <w:pPr>
              <w:pStyle w:val="69"/>
              <w:ind w:left="48" w:right="48"/>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4" w:type="pct"/>
            <w:vAlign w:val="center"/>
          </w:tcPr>
          <w:p>
            <w:pPr>
              <w:pStyle w:val="68"/>
              <w:spacing w:before="24" w:after="24"/>
              <w:rPr>
                <w:color w:val="000000" w:themeColor="text1"/>
                <w:sz w:val="24"/>
                <w:szCs w:val="24"/>
                <w14:textFill>
                  <w14:solidFill>
                    <w14:schemeClr w14:val="tx1"/>
                  </w14:solidFill>
                </w14:textFill>
              </w:rPr>
            </w:pPr>
            <w:bookmarkStart w:id="18" w:name="_Hlk127784905"/>
            <w:r>
              <w:rPr>
                <w:rFonts w:hint="eastAsia"/>
                <w:color w:val="000000" w:themeColor="text1"/>
                <w:sz w:val="24"/>
                <w14:textFill>
                  <w14:solidFill>
                    <w14:schemeClr w14:val="tx1"/>
                  </w14:solidFill>
                </w14:textFill>
              </w:rPr>
              <w:t>与项目有关的原有环境污染问题</w:t>
            </w:r>
          </w:p>
        </w:tc>
        <w:tc>
          <w:tcPr>
            <w:tcW w:w="4776" w:type="pct"/>
          </w:tcPr>
          <w:p>
            <w:pPr>
              <w:pStyle w:val="69"/>
              <w:ind w:left="48" w:right="48"/>
              <w:rPr>
                <w:lang w:eastAsia="zh-CN"/>
              </w:rPr>
            </w:pPr>
            <w:r>
              <w:rPr>
                <w:rFonts w:hint="eastAsia"/>
                <w:lang w:eastAsia="zh-CN"/>
              </w:rPr>
              <w:t>本项目为新建项目，依托现有厂区</w:t>
            </w:r>
            <w:r>
              <w:rPr>
                <w:rFonts w:hint="eastAsia"/>
                <w:color w:val="000000" w:themeColor="text1"/>
                <w:lang w:eastAsia="zh-CN"/>
                <w14:textFill>
                  <w14:solidFill>
                    <w14:schemeClr w14:val="tx1"/>
                  </w14:solidFill>
                </w14:textFill>
              </w:rPr>
              <w:t>建设</w:t>
            </w:r>
            <w:r>
              <w:rPr>
                <w:rFonts w:hint="eastAsia"/>
                <w:lang w:eastAsia="zh-CN"/>
              </w:rPr>
              <w:t>，不新征土地。经现场勘察及查阅资料，拟建项目所利用厂房处于闲置状态，无工业项目运行，无对环境有影响的废气、废水、噪声、固废等环境污染问题。</w:t>
            </w: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2"/>
              <w:ind w:left="480" w:firstLine="600"/>
            </w:pPr>
          </w:p>
        </w:tc>
      </w:tr>
      <w:bookmarkEnd w:id="5"/>
      <w:bookmarkEnd w:id="18"/>
    </w:tbl>
    <w:p>
      <w:pPr>
        <w:pStyle w:val="2"/>
        <w:ind w:left="480" w:firstLine="600"/>
        <w:rPr>
          <w:rFonts w:eastAsia="新宋体" w:cs="Times New Roman"/>
        </w:rPr>
      </w:pPr>
      <w:r>
        <w:br w:type="page"/>
      </w:r>
    </w:p>
    <w:p>
      <w:pPr>
        <w:outlineLvl w:val="0"/>
        <w:rPr>
          <w:rFonts w:eastAsia="黑体"/>
          <w:sz w:val="28"/>
          <w:szCs w:val="28"/>
        </w:rPr>
      </w:pPr>
      <w:r>
        <w:rPr>
          <w:rFonts w:hint="eastAsia" w:eastAsia="黑体"/>
          <w:sz w:val="28"/>
          <w:szCs w:val="28"/>
        </w:rPr>
        <w:t>三、区域环境质量现状、环境保护目标及评价标准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2"/>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4" w:type="pct"/>
            <w:vAlign w:val="center"/>
          </w:tcPr>
          <w:p>
            <w:pPr>
              <w:pStyle w:val="64"/>
              <w:rPr>
                <w:sz w:val="24"/>
              </w:rPr>
            </w:pPr>
            <w:r>
              <w:rPr>
                <w:rFonts w:hint="eastAsia"/>
                <w:color w:val="000000" w:themeColor="text1"/>
                <w:sz w:val="24"/>
                <w14:textFill>
                  <w14:solidFill>
                    <w14:schemeClr w14:val="tx1"/>
                  </w14:solidFill>
                </w14:textFill>
              </w:rPr>
              <w:t>区域环境质量现状</w:t>
            </w:r>
          </w:p>
        </w:tc>
        <w:tc>
          <w:tcPr>
            <w:tcW w:w="4776" w:type="pct"/>
          </w:tcPr>
          <w:p>
            <w:pPr>
              <w:pStyle w:val="69"/>
              <w:ind w:left="48" w:right="48"/>
              <w:rPr>
                <w:lang w:eastAsia="zh-CN"/>
              </w:rPr>
            </w:pPr>
            <w:r>
              <w:rPr>
                <w:lang w:eastAsia="zh-CN"/>
              </w:rPr>
              <w:t>1、</w:t>
            </w:r>
            <w:bookmarkStart w:id="19" w:name="_Hlk54616840"/>
            <w:bookmarkStart w:id="20" w:name="_Hlk60583903"/>
            <w:r>
              <w:rPr>
                <w:lang w:eastAsia="zh-CN"/>
              </w:rPr>
              <w:t>大气环境质量现状</w:t>
            </w:r>
          </w:p>
          <w:p>
            <w:pPr>
              <w:pStyle w:val="69"/>
              <w:ind w:left="48" w:right="48"/>
              <w:rPr>
                <w:lang w:eastAsia="zh-CN"/>
              </w:rPr>
            </w:pPr>
            <w:r>
              <w:rPr>
                <w:rFonts w:hint="eastAsia"/>
                <w:lang w:eastAsia="zh-CN"/>
              </w:rPr>
              <w:t>根据枣庄市生态环境局《枣庄市环境质量报告》（2</w:t>
            </w:r>
            <w:r>
              <w:rPr>
                <w:lang w:eastAsia="zh-CN"/>
              </w:rPr>
              <w:t>022</w:t>
            </w:r>
            <w:r>
              <w:rPr>
                <w:rFonts w:hint="eastAsia"/>
                <w:lang w:eastAsia="zh-CN"/>
              </w:rPr>
              <w:t>年简本），2022年山亭区环境质量监测结果见</w:t>
            </w:r>
            <w:r>
              <w:rPr>
                <w:lang w:eastAsia="zh-CN"/>
              </w:rPr>
              <w:fldChar w:fldCharType="begin"/>
            </w:r>
            <w:r>
              <w:rPr>
                <w:lang w:eastAsia="zh-CN"/>
              </w:rPr>
              <w:instrText xml:space="preserve"> </w:instrText>
            </w:r>
            <w:r>
              <w:rPr>
                <w:rFonts w:hint="eastAsia"/>
                <w:lang w:eastAsia="zh-CN"/>
              </w:rPr>
              <w:instrText xml:space="preserve">REF _Ref151310274 \h</w:instrText>
            </w:r>
            <w:r>
              <w:rPr>
                <w:lang w:eastAsia="zh-CN"/>
              </w:rPr>
              <w:instrText xml:space="preserve"> </w:instrText>
            </w:r>
            <w:r>
              <w:rPr>
                <w:lang w:eastAsia="zh-CN"/>
              </w:rPr>
              <w:fldChar w:fldCharType="separate"/>
            </w:r>
            <w:r>
              <w:rPr>
                <w:lang w:eastAsia="zh-CN"/>
              </w:rPr>
              <w:t>表14</w:t>
            </w:r>
            <w:r>
              <w:rPr>
                <w:lang w:eastAsia="zh-CN"/>
              </w:rPr>
              <w:fldChar w:fldCharType="end"/>
            </w:r>
            <w:r>
              <w:rPr>
                <w:rFonts w:hint="eastAsia"/>
                <w:lang w:eastAsia="zh-CN"/>
              </w:rPr>
              <w:t>。</w:t>
            </w:r>
          </w:p>
          <w:p>
            <w:pPr>
              <w:pStyle w:val="320"/>
            </w:pPr>
            <w:bookmarkStart w:id="21" w:name="_Ref151310274"/>
            <w:r>
              <w:t>表</w:t>
            </w:r>
            <w:r>
              <w:fldChar w:fldCharType="begin"/>
            </w:r>
            <w:r>
              <w:instrText xml:space="preserve"> SEQ 表格 \* ARABIC </w:instrText>
            </w:r>
            <w:r>
              <w:fldChar w:fldCharType="separate"/>
            </w:r>
            <w:r>
              <w:t>14</w:t>
            </w:r>
            <w:r>
              <w:fldChar w:fldCharType="end"/>
            </w:r>
            <w:bookmarkEnd w:id="21"/>
            <w:r>
              <w:t xml:space="preserve">  </w:t>
            </w:r>
            <w:r>
              <w:rPr>
                <w:rFonts w:hint="eastAsia"/>
              </w:rPr>
              <w:t>枣庄市</w:t>
            </w:r>
            <w:r>
              <w:rPr>
                <w:rFonts w:hint="eastAsia"/>
                <w:spacing w:val="-9"/>
              </w:rPr>
              <w:t>山亭区</w:t>
            </w:r>
            <w:r>
              <w:rPr>
                <w:spacing w:val="-9"/>
              </w:rPr>
              <w:t xml:space="preserve"> </w:t>
            </w:r>
            <w:r>
              <w:t xml:space="preserve">2022 </w:t>
            </w:r>
            <w:r>
              <w:rPr>
                <w:rFonts w:hint="eastAsia"/>
              </w:rPr>
              <w:t>年空气监测结果</w:t>
            </w:r>
            <w:r>
              <w:t xml:space="preserve"> </w:t>
            </w:r>
            <w:r>
              <w:rPr>
                <w:rFonts w:hint="eastAsia"/>
              </w:rPr>
              <w:t>单位：</w:t>
            </w:r>
            <w:r>
              <w:t>μg/m</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28"/>
              <w:gridCol w:w="1193"/>
              <w:gridCol w:w="1313"/>
              <w:gridCol w:w="1234"/>
              <w:gridCol w:w="1236"/>
              <w:gridCol w:w="1243"/>
              <w:gridCol w:w="12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850" w:type="pct"/>
                  <w:vAlign w:val="center"/>
                </w:tcPr>
                <w:p>
                  <w:pPr>
                    <w:pStyle w:val="68"/>
                    <w:spacing w:before="24" w:after="24"/>
                  </w:pPr>
                  <w:r>
                    <w:rPr>
                      <w:rFonts w:hint="eastAsia"/>
                    </w:rPr>
                    <w:t>项目</w:t>
                  </w:r>
                </w:p>
              </w:tc>
              <w:tc>
                <w:tcPr>
                  <w:tcW w:w="664" w:type="pct"/>
                  <w:vAlign w:val="center"/>
                </w:tcPr>
                <w:p>
                  <w:pPr>
                    <w:pStyle w:val="68"/>
                    <w:spacing w:before="24" w:after="24"/>
                    <w:rPr>
                      <w:rFonts w:eastAsiaTheme="minorEastAsia"/>
                      <w:spacing w:val="-4"/>
                      <w:sz w:val="11"/>
                      <w:szCs w:val="11"/>
                    </w:rPr>
                  </w:pPr>
                  <w:r>
                    <w:rPr>
                      <w:rFonts w:eastAsiaTheme="minorEastAsia"/>
                      <w:spacing w:val="-4"/>
                      <w:position w:val="1"/>
                    </w:rPr>
                    <w:t>SO</w:t>
                  </w:r>
                  <w:r>
                    <w:rPr>
                      <w:rFonts w:eastAsiaTheme="minorEastAsia"/>
                      <w:spacing w:val="-4"/>
                      <w:sz w:val="11"/>
                      <w:szCs w:val="11"/>
                    </w:rPr>
                    <w:t>2</w:t>
                  </w:r>
                </w:p>
              </w:tc>
              <w:tc>
                <w:tcPr>
                  <w:tcW w:w="730" w:type="pct"/>
                  <w:vAlign w:val="center"/>
                </w:tcPr>
                <w:p>
                  <w:pPr>
                    <w:pStyle w:val="68"/>
                    <w:spacing w:before="24" w:after="24"/>
                    <w:rPr>
                      <w:rFonts w:eastAsiaTheme="minorEastAsia"/>
                      <w:spacing w:val="-4"/>
                      <w:sz w:val="11"/>
                      <w:szCs w:val="11"/>
                    </w:rPr>
                  </w:pPr>
                  <w:r>
                    <w:rPr>
                      <w:rFonts w:eastAsiaTheme="minorEastAsia"/>
                      <w:spacing w:val="-4"/>
                      <w:position w:val="1"/>
                    </w:rPr>
                    <w:t>NO</w:t>
                  </w:r>
                  <w:r>
                    <w:rPr>
                      <w:rFonts w:eastAsiaTheme="minorEastAsia"/>
                      <w:spacing w:val="-4"/>
                      <w:sz w:val="11"/>
                      <w:szCs w:val="11"/>
                    </w:rPr>
                    <w:t>2</w:t>
                  </w:r>
                </w:p>
              </w:tc>
              <w:tc>
                <w:tcPr>
                  <w:tcW w:w="686" w:type="pct"/>
                  <w:vAlign w:val="center"/>
                </w:tcPr>
                <w:p>
                  <w:pPr>
                    <w:pStyle w:val="68"/>
                    <w:spacing w:before="24" w:after="24"/>
                    <w:rPr>
                      <w:rFonts w:eastAsiaTheme="minorEastAsia"/>
                      <w:spacing w:val="-4"/>
                      <w:sz w:val="11"/>
                      <w:szCs w:val="11"/>
                    </w:rPr>
                  </w:pPr>
                  <w:r>
                    <w:rPr>
                      <w:rFonts w:eastAsiaTheme="minorEastAsia"/>
                      <w:spacing w:val="-4"/>
                      <w:position w:val="1"/>
                    </w:rPr>
                    <w:t>PM</w:t>
                  </w:r>
                  <w:r>
                    <w:rPr>
                      <w:rFonts w:eastAsiaTheme="minorEastAsia"/>
                      <w:spacing w:val="-4"/>
                      <w:sz w:val="11"/>
                      <w:szCs w:val="11"/>
                    </w:rPr>
                    <w:t>10</w:t>
                  </w:r>
                </w:p>
              </w:tc>
              <w:tc>
                <w:tcPr>
                  <w:tcW w:w="687" w:type="pct"/>
                  <w:vAlign w:val="center"/>
                </w:tcPr>
                <w:p>
                  <w:pPr>
                    <w:pStyle w:val="68"/>
                    <w:spacing w:before="24" w:after="24"/>
                    <w:rPr>
                      <w:rFonts w:eastAsiaTheme="minorEastAsia"/>
                      <w:spacing w:val="-2"/>
                      <w:sz w:val="11"/>
                      <w:szCs w:val="11"/>
                    </w:rPr>
                  </w:pPr>
                  <w:r>
                    <w:rPr>
                      <w:rFonts w:eastAsiaTheme="minorEastAsia"/>
                      <w:spacing w:val="-2"/>
                      <w:position w:val="1"/>
                    </w:rPr>
                    <w:t>PM</w:t>
                  </w:r>
                  <w:r>
                    <w:rPr>
                      <w:rFonts w:eastAsiaTheme="minorEastAsia"/>
                      <w:spacing w:val="-2"/>
                      <w:sz w:val="11"/>
                      <w:szCs w:val="11"/>
                    </w:rPr>
                    <w:t>2.5</w:t>
                  </w:r>
                </w:p>
              </w:tc>
              <w:tc>
                <w:tcPr>
                  <w:tcW w:w="691" w:type="pct"/>
                  <w:vAlign w:val="center"/>
                </w:tcPr>
                <w:p>
                  <w:pPr>
                    <w:pStyle w:val="68"/>
                    <w:spacing w:before="24" w:after="24"/>
                    <w:rPr>
                      <w:rFonts w:eastAsiaTheme="minorEastAsia"/>
                    </w:rPr>
                  </w:pPr>
                  <w:r>
                    <w:rPr>
                      <w:rFonts w:eastAsiaTheme="minorEastAsia"/>
                    </w:rPr>
                    <w:t>CO</w:t>
                  </w:r>
                </w:p>
              </w:tc>
              <w:tc>
                <w:tcPr>
                  <w:tcW w:w="691" w:type="pct"/>
                  <w:vAlign w:val="center"/>
                </w:tcPr>
                <w:p>
                  <w:pPr>
                    <w:pStyle w:val="68"/>
                    <w:spacing w:before="24" w:after="24"/>
                    <w:rPr>
                      <w:rFonts w:eastAsiaTheme="minorEastAsia"/>
                      <w:sz w:val="11"/>
                      <w:szCs w:val="11"/>
                    </w:rPr>
                  </w:pPr>
                  <w:r>
                    <w:rPr>
                      <w:rFonts w:eastAsiaTheme="minorEastAsia"/>
                      <w:position w:val="1"/>
                    </w:rPr>
                    <w:t>O</w:t>
                  </w:r>
                  <w:r>
                    <w:rPr>
                      <w:rFonts w:eastAsiaTheme="minorEastAsia"/>
                      <w:sz w:val="11"/>
                      <w:szCs w:val="1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850" w:type="pct"/>
                  <w:vAlign w:val="center"/>
                </w:tcPr>
                <w:p>
                  <w:pPr>
                    <w:pStyle w:val="68"/>
                    <w:spacing w:before="24" w:after="24"/>
                  </w:pPr>
                  <w:r>
                    <w:rPr>
                      <w:rFonts w:hint="eastAsia"/>
                    </w:rPr>
                    <w:t>单位</w:t>
                  </w:r>
                </w:p>
              </w:tc>
              <w:tc>
                <w:tcPr>
                  <w:tcW w:w="664" w:type="pct"/>
                  <w:vAlign w:val="center"/>
                </w:tcPr>
                <w:p>
                  <w:pPr>
                    <w:pStyle w:val="68"/>
                    <w:spacing w:before="24" w:after="24"/>
                    <w:rPr>
                      <w:rFonts w:eastAsiaTheme="minorEastAsia"/>
                      <w:spacing w:val="-2"/>
                      <w:vertAlign w:val="superscript"/>
                    </w:rPr>
                  </w:pPr>
                  <w:r>
                    <w:rPr>
                      <w:rFonts w:eastAsiaTheme="minorEastAsia"/>
                      <w:spacing w:val="-2"/>
                    </w:rPr>
                    <w:t>ug/m</w:t>
                  </w:r>
                  <w:r>
                    <w:rPr>
                      <w:rFonts w:eastAsiaTheme="minorEastAsia"/>
                      <w:spacing w:val="-2"/>
                      <w:vertAlign w:val="superscript"/>
                    </w:rPr>
                    <w:t>3</w:t>
                  </w:r>
                </w:p>
              </w:tc>
              <w:tc>
                <w:tcPr>
                  <w:tcW w:w="730" w:type="pct"/>
                  <w:vAlign w:val="center"/>
                </w:tcPr>
                <w:p>
                  <w:pPr>
                    <w:pStyle w:val="68"/>
                    <w:spacing w:before="24" w:after="24"/>
                    <w:rPr>
                      <w:rFonts w:eastAsiaTheme="minorEastAsia"/>
                      <w:spacing w:val="-2"/>
                      <w:vertAlign w:val="superscript"/>
                    </w:rPr>
                  </w:pPr>
                  <w:r>
                    <w:rPr>
                      <w:rFonts w:eastAsiaTheme="minorEastAsia"/>
                      <w:spacing w:val="-2"/>
                    </w:rPr>
                    <w:t>ug/m</w:t>
                  </w:r>
                  <w:r>
                    <w:rPr>
                      <w:rFonts w:eastAsiaTheme="minorEastAsia"/>
                      <w:spacing w:val="-2"/>
                      <w:vertAlign w:val="superscript"/>
                    </w:rPr>
                    <w:t>3</w:t>
                  </w:r>
                </w:p>
              </w:tc>
              <w:tc>
                <w:tcPr>
                  <w:tcW w:w="686" w:type="pct"/>
                  <w:vAlign w:val="center"/>
                </w:tcPr>
                <w:p>
                  <w:pPr>
                    <w:pStyle w:val="68"/>
                    <w:spacing w:before="24" w:after="24"/>
                    <w:rPr>
                      <w:rFonts w:eastAsiaTheme="minorEastAsia"/>
                      <w:spacing w:val="-2"/>
                      <w:vertAlign w:val="superscript"/>
                    </w:rPr>
                  </w:pPr>
                  <w:r>
                    <w:rPr>
                      <w:rFonts w:eastAsiaTheme="minorEastAsia"/>
                      <w:spacing w:val="-2"/>
                    </w:rPr>
                    <w:t>ug/m</w:t>
                  </w:r>
                  <w:r>
                    <w:rPr>
                      <w:rFonts w:eastAsiaTheme="minorEastAsia"/>
                      <w:spacing w:val="-2"/>
                      <w:vertAlign w:val="superscript"/>
                    </w:rPr>
                    <w:t>3</w:t>
                  </w:r>
                </w:p>
              </w:tc>
              <w:tc>
                <w:tcPr>
                  <w:tcW w:w="687" w:type="pct"/>
                  <w:vAlign w:val="center"/>
                </w:tcPr>
                <w:p>
                  <w:pPr>
                    <w:pStyle w:val="68"/>
                    <w:spacing w:before="24" w:after="24"/>
                    <w:rPr>
                      <w:rFonts w:eastAsiaTheme="minorEastAsia"/>
                      <w:spacing w:val="-2"/>
                      <w:vertAlign w:val="superscript"/>
                    </w:rPr>
                  </w:pPr>
                  <w:r>
                    <w:rPr>
                      <w:rFonts w:eastAsiaTheme="minorEastAsia"/>
                      <w:spacing w:val="-2"/>
                    </w:rPr>
                    <w:t>ug/m</w:t>
                  </w:r>
                  <w:r>
                    <w:rPr>
                      <w:rFonts w:eastAsiaTheme="minorEastAsia"/>
                      <w:spacing w:val="-2"/>
                      <w:vertAlign w:val="superscript"/>
                    </w:rPr>
                    <w:t>3</w:t>
                  </w:r>
                </w:p>
              </w:tc>
              <w:tc>
                <w:tcPr>
                  <w:tcW w:w="691" w:type="pct"/>
                  <w:vAlign w:val="center"/>
                </w:tcPr>
                <w:p>
                  <w:pPr>
                    <w:pStyle w:val="68"/>
                    <w:spacing w:before="24" w:after="24"/>
                    <w:rPr>
                      <w:rFonts w:eastAsiaTheme="minorEastAsia"/>
                      <w:spacing w:val="-2"/>
                      <w:vertAlign w:val="superscript"/>
                    </w:rPr>
                  </w:pPr>
                  <w:r>
                    <w:rPr>
                      <w:rFonts w:eastAsiaTheme="minorEastAsia"/>
                      <w:spacing w:val="-2"/>
                    </w:rPr>
                    <w:t>mg/m</w:t>
                  </w:r>
                  <w:r>
                    <w:rPr>
                      <w:rFonts w:eastAsiaTheme="minorEastAsia"/>
                      <w:spacing w:val="-2"/>
                      <w:vertAlign w:val="superscript"/>
                    </w:rPr>
                    <w:t>3</w:t>
                  </w:r>
                </w:p>
              </w:tc>
              <w:tc>
                <w:tcPr>
                  <w:tcW w:w="691" w:type="pct"/>
                  <w:vAlign w:val="center"/>
                </w:tcPr>
                <w:p>
                  <w:pPr>
                    <w:pStyle w:val="68"/>
                    <w:spacing w:before="24" w:after="24"/>
                    <w:rPr>
                      <w:rFonts w:eastAsiaTheme="minorEastAsia"/>
                      <w:spacing w:val="-2"/>
                      <w:vertAlign w:val="superscript"/>
                    </w:rPr>
                  </w:pPr>
                  <w:r>
                    <w:rPr>
                      <w:rFonts w:eastAsiaTheme="minorEastAsia"/>
                      <w:spacing w:val="-2"/>
                    </w:rPr>
                    <w:t>ug/m</w:t>
                  </w:r>
                  <w:r>
                    <w:rPr>
                      <w:rFonts w:eastAsiaTheme="minorEastAsia"/>
                      <w:spacing w:val="-2"/>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850" w:type="pct"/>
                  <w:vAlign w:val="center"/>
                </w:tcPr>
                <w:p>
                  <w:pPr>
                    <w:pStyle w:val="68"/>
                    <w:spacing w:before="24" w:after="24"/>
                    <w:rPr>
                      <w:spacing w:val="-4"/>
                    </w:rPr>
                  </w:pPr>
                  <w:r>
                    <w:rPr>
                      <w:rFonts w:hint="eastAsia"/>
                      <w:spacing w:val="-4"/>
                    </w:rPr>
                    <w:t>年均值</w:t>
                  </w:r>
                </w:p>
              </w:tc>
              <w:tc>
                <w:tcPr>
                  <w:tcW w:w="664" w:type="pct"/>
                  <w:vAlign w:val="center"/>
                </w:tcPr>
                <w:p>
                  <w:pPr>
                    <w:pStyle w:val="68"/>
                    <w:spacing w:before="24" w:after="24"/>
                    <w:rPr>
                      <w:rFonts w:eastAsiaTheme="minorEastAsia"/>
                      <w:sz w:val="20"/>
                      <w:szCs w:val="20"/>
                    </w:rPr>
                  </w:pPr>
                  <w:r>
                    <w:rPr>
                      <w:rFonts w:eastAsiaTheme="minorEastAsia"/>
                      <w:sz w:val="20"/>
                      <w:szCs w:val="20"/>
                    </w:rPr>
                    <w:t>12</w:t>
                  </w:r>
                </w:p>
              </w:tc>
              <w:tc>
                <w:tcPr>
                  <w:tcW w:w="730" w:type="pct"/>
                  <w:vAlign w:val="center"/>
                </w:tcPr>
                <w:p>
                  <w:pPr>
                    <w:pStyle w:val="68"/>
                    <w:spacing w:before="24" w:after="24"/>
                    <w:rPr>
                      <w:rFonts w:eastAsiaTheme="minorEastAsia"/>
                      <w:sz w:val="20"/>
                      <w:szCs w:val="20"/>
                    </w:rPr>
                  </w:pPr>
                  <w:r>
                    <w:rPr>
                      <w:rFonts w:eastAsiaTheme="minorEastAsia"/>
                      <w:sz w:val="20"/>
                      <w:szCs w:val="20"/>
                    </w:rPr>
                    <w:t>20</w:t>
                  </w:r>
                </w:p>
              </w:tc>
              <w:tc>
                <w:tcPr>
                  <w:tcW w:w="686" w:type="pct"/>
                  <w:vAlign w:val="center"/>
                </w:tcPr>
                <w:p>
                  <w:pPr>
                    <w:pStyle w:val="68"/>
                    <w:spacing w:before="24" w:after="24"/>
                    <w:rPr>
                      <w:rFonts w:eastAsiaTheme="minorEastAsia"/>
                      <w:sz w:val="20"/>
                      <w:szCs w:val="20"/>
                    </w:rPr>
                  </w:pPr>
                  <w:r>
                    <w:rPr>
                      <w:rFonts w:eastAsiaTheme="minorEastAsia"/>
                      <w:sz w:val="20"/>
                      <w:szCs w:val="20"/>
                    </w:rPr>
                    <w:t>64</w:t>
                  </w:r>
                </w:p>
              </w:tc>
              <w:tc>
                <w:tcPr>
                  <w:tcW w:w="687" w:type="pct"/>
                  <w:vAlign w:val="center"/>
                </w:tcPr>
                <w:p>
                  <w:pPr>
                    <w:pStyle w:val="68"/>
                    <w:spacing w:before="24" w:after="24"/>
                    <w:rPr>
                      <w:rFonts w:eastAsiaTheme="minorEastAsia"/>
                      <w:sz w:val="20"/>
                      <w:szCs w:val="20"/>
                    </w:rPr>
                  </w:pPr>
                  <w:r>
                    <w:rPr>
                      <w:rFonts w:eastAsiaTheme="minorEastAsia"/>
                      <w:sz w:val="20"/>
                      <w:szCs w:val="20"/>
                    </w:rPr>
                    <w:t>40</w:t>
                  </w:r>
                </w:p>
              </w:tc>
              <w:tc>
                <w:tcPr>
                  <w:tcW w:w="691" w:type="pct"/>
                  <w:vAlign w:val="center"/>
                </w:tcPr>
                <w:p>
                  <w:pPr>
                    <w:pStyle w:val="68"/>
                    <w:spacing w:before="24" w:after="24"/>
                    <w:rPr>
                      <w:rFonts w:eastAsiaTheme="minorEastAsia"/>
                      <w:spacing w:val="-4"/>
                      <w:sz w:val="20"/>
                      <w:szCs w:val="20"/>
                    </w:rPr>
                  </w:pPr>
                  <w:r>
                    <w:rPr>
                      <w:rFonts w:eastAsiaTheme="minorEastAsia"/>
                      <w:spacing w:val="-4"/>
                      <w:sz w:val="20"/>
                      <w:szCs w:val="20"/>
                    </w:rPr>
                    <w:t>1.0</w:t>
                  </w:r>
                </w:p>
              </w:tc>
              <w:tc>
                <w:tcPr>
                  <w:tcW w:w="691" w:type="pct"/>
                  <w:vAlign w:val="center"/>
                </w:tcPr>
                <w:p>
                  <w:pPr>
                    <w:pStyle w:val="68"/>
                    <w:spacing w:before="24" w:after="24"/>
                    <w:rPr>
                      <w:rFonts w:eastAsiaTheme="minorEastAsia"/>
                      <w:spacing w:val="-4"/>
                      <w:sz w:val="20"/>
                      <w:szCs w:val="20"/>
                    </w:rPr>
                  </w:pPr>
                  <w:r>
                    <w:rPr>
                      <w:rFonts w:eastAsiaTheme="minorEastAsia"/>
                      <w:spacing w:val="-4"/>
                      <w:sz w:val="20"/>
                      <w:szCs w:val="20"/>
                    </w:rPr>
                    <w:t>156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850" w:type="pct"/>
                  <w:vAlign w:val="center"/>
                </w:tcPr>
                <w:p>
                  <w:pPr>
                    <w:pStyle w:val="68"/>
                    <w:spacing w:before="24" w:after="24"/>
                    <w:rPr>
                      <w:spacing w:val="-4"/>
                    </w:rPr>
                  </w:pPr>
                  <w:r>
                    <w:rPr>
                      <w:rFonts w:hint="eastAsia"/>
                      <w:spacing w:val="-4"/>
                    </w:rPr>
                    <w:t>标准值</w:t>
                  </w:r>
                </w:p>
              </w:tc>
              <w:tc>
                <w:tcPr>
                  <w:tcW w:w="664" w:type="pct"/>
                  <w:vAlign w:val="center"/>
                </w:tcPr>
                <w:p>
                  <w:pPr>
                    <w:pStyle w:val="68"/>
                    <w:spacing w:before="24" w:after="24"/>
                    <w:rPr>
                      <w:rFonts w:eastAsiaTheme="minorEastAsia"/>
                    </w:rPr>
                  </w:pPr>
                  <w:r>
                    <w:rPr>
                      <w:rFonts w:eastAsiaTheme="minorEastAsia"/>
                    </w:rPr>
                    <w:t>60</w:t>
                  </w:r>
                </w:p>
              </w:tc>
              <w:tc>
                <w:tcPr>
                  <w:tcW w:w="730" w:type="pct"/>
                  <w:vAlign w:val="center"/>
                </w:tcPr>
                <w:p>
                  <w:pPr>
                    <w:pStyle w:val="68"/>
                    <w:spacing w:before="24" w:after="24"/>
                    <w:rPr>
                      <w:rFonts w:eastAsiaTheme="minorEastAsia"/>
                    </w:rPr>
                  </w:pPr>
                  <w:r>
                    <w:rPr>
                      <w:rFonts w:eastAsiaTheme="minorEastAsia"/>
                    </w:rPr>
                    <w:t>40</w:t>
                  </w:r>
                </w:p>
              </w:tc>
              <w:tc>
                <w:tcPr>
                  <w:tcW w:w="686" w:type="pct"/>
                  <w:vAlign w:val="center"/>
                </w:tcPr>
                <w:p>
                  <w:pPr>
                    <w:pStyle w:val="68"/>
                    <w:spacing w:before="24" w:after="24"/>
                    <w:rPr>
                      <w:rFonts w:eastAsiaTheme="minorEastAsia"/>
                    </w:rPr>
                  </w:pPr>
                  <w:r>
                    <w:rPr>
                      <w:rFonts w:eastAsiaTheme="minorEastAsia"/>
                    </w:rPr>
                    <w:t>70</w:t>
                  </w:r>
                </w:p>
              </w:tc>
              <w:tc>
                <w:tcPr>
                  <w:tcW w:w="687" w:type="pct"/>
                  <w:vAlign w:val="center"/>
                </w:tcPr>
                <w:p>
                  <w:pPr>
                    <w:pStyle w:val="68"/>
                    <w:spacing w:before="24" w:after="24"/>
                    <w:rPr>
                      <w:rFonts w:eastAsiaTheme="minorEastAsia"/>
                    </w:rPr>
                  </w:pPr>
                  <w:r>
                    <w:rPr>
                      <w:rFonts w:eastAsiaTheme="minorEastAsia"/>
                    </w:rPr>
                    <w:t>35</w:t>
                  </w:r>
                </w:p>
              </w:tc>
              <w:tc>
                <w:tcPr>
                  <w:tcW w:w="691" w:type="pct"/>
                  <w:vAlign w:val="center"/>
                </w:tcPr>
                <w:p>
                  <w:pPr>
                    <w:pStyle w:val="68"/>
                    <w:spacing w:before="24" w:after="24"/>
                    <w:rPr>
                      <w:rFonts w:eastAsiaTheme="minorEastAsia"/>
                    </w:rPr>
                  </w:pPr>
                  <w:r>
                    <w:rPr>
                      <w:rFonts w:eastAsiaTheme="minorEastAsia"/>
                    </w:rPr>
                    <w:t>4</w:t>
                  </w:r>
                </w:p>
              </w:tc>
              <w:tc>
                <w:tcPr>
                  <w:tcW w:w="691" w:type="pct"/>
                  <w:vAlign w:val="center"/>
                </w:tcPr>
                <w:p>
                  <w:pPr>
                    <w:pStyle w:val="68"/>
                    <w:spacing w:before="24" w:after="24"/>
                    <w:rPr>
                      <w:rFonts w:eastAsiaTheme="minorEastAsia"/>
                      <w:spacing w:val="-4"/>
                    </w:rPr>
                  </w:pPr>
                  <w:r>
                    <w:rPr>
                      <w:rFonts w:eastAsiaTheme="minorEastAsia"/>
                      <w:spacing w:val="-4"/>
                    </w:rPr>
                    <w:t>160</w:t>
                  </w:r>
                </w:p>
              </w:tc>
            </w:tr>
          </w:tbl>
          <w:p>
            <w:pPr>
              <w:pStyle w:val="69"/>
              <w:ind w:left="48" w:right="48"/>
              <w:rPr>
                <w:lang w:eastAsia="zh-CN"/>
              </w:rPr>
            </w:pPr>
            <w:r>
              <w:rPr>
                <w:rFonts w:hint="eastAsia"/>
                <w:lang w:eastAsia="zh-CN"/>
              </w:rPr>
              <w:t>监测结果表明，2022 年山亭区环境空气中SO</w:t>
            </w:r>
            <w:r>
              <w:rPr>
                <w:rFonts w:hint="eastAsia"/>
                <w:vertAlign w:val="subscript"/>
                <w:lang w:eastAsia="zh-CN"/>
              </w:rPr>
              <w:t>2</w:t>
            </w:r>
            <w:r>
              <w:rPr>
                <w:rFonts w:hint="eastAsia"/>
                <w:lang w:eastAsia="zh-CN"/>
              </w:rPr>
              <w:t>、NO</w:t>
            </w:r>
            <w:r>
              <w:rPr>
                <w:rFonts w:hint="eastAsia"/>
                <w:vertAlign w:val="subscript"/>
                <w:lang w:eastAsia="zh-CN"/>
              </w:rPr>
              <w:t>2</w:t>
            </w:r>
            <w:r>
              <w:rPr>
                <w:rFonts w:hint="eastAsia"/>
                <w:lang w:eastAsia="zh-CN"/>
              </w:rPr>
              <w:t>、PM</w:t>
            </w:r>
            <w:r>
              <w:rPr>
                <w:rFonts w:hint="eastAsia"/>
                <w:vertAlign w:val="subscript"/>
                <w:lang w:eastAsia="zh-CN"/>
              </w:rPr>
              <w:t>10</w:t>
            </w:r>
            <w:r>
              <w:rPr>
                <w:rFonts w:hint="eastAsia"/>
                <w:lang w:eastAsia="zh-CN"/>
              </w:rPr>
              <w:t>、O</w:t>
            </w:r>
            <w:r>
              <w:rPr>
                <w:rFonts w:hint="eastAsia"/>
                <w:vertAlign w:val="subscript"/>
                <w:lang w:eastAsia="zh-CN"/>
              </w:rPr>
              <w:t>3</w:t>
            </w:r>
            <w:r>
              <w:rPr>
                <w:rFonts w:hint="eastAsia"/>
                <w:lang w:eastAsia="zh-CN"/>
              </w:rPr>
              <w:t>、CO 满足《环境空气质量标准》(GB3095-2012)中二级标准的要求，PM2.5不满足《环境空气质量标准》(GB3095-2012)中二级标准的要求。PM</w:t>
            </w:r>
            <w:r>
              <w:rPr>
                <w:rFonts w:hint="eastAsia"/>
                <w:vertAlign w:val="subscript"/>
                <w:lang w:eastAsia="zh-CN"/>
              </w:rPr>
              <w:t>2.5</w:t>
            </w:r>
            <w:r>
              <w:rPr>
                <w:rFonts w:hint="eastAsia"/>
                <w:lang w:eastAsia="zh-CN"/>
              </w:rPr>
              <w:t xml:space="preserve"> 超标主要是因为一是枣庄市的能源消耗仍然以煤炭为主，煤炭消耗量大，清洁能源比例较低，煤炭是枣庄市主要的工业和民用燃料。二是与区域内建筑扬尘、汽车尾气、北方气候干燥易起扬尘，及区域内工业污染源密集排放有关。</w:t>
            </w:r>
          </w:p>
          <w:p>
            <w:pPr>
              <w:pStyle w:val="69"/>
              <w:ind w:left="48" w:right="48"/>
              <w:rPr>
                <w:lang w:eastAsia="zh-CN"/>
              </w:rPr>
            </w:pPr>
            <w:r>
              <w:rPr>
                <w:rFonts w:hint="eastAsia"/>
                <w:lang w:eastAsia="zh-CN"/>
              </w:rPr>
              <w:t>为进一步改善当地环境质量，枣庄市政府制定了《枣庄市“十四五”生态环境保护规划》，根据该规划，当地将持续推进大气污染防治攻坚行动；在秋冬季以移动源、燃煤污染管控为主，重点监管不利扩散条件下颗粒物、氮氧化物、二氧化硫、氨排放。优化重污染天气应对体系，修订完善重污染天气应急预案，动态更新应急减排清单，组织企业制定“一厂一策”减排方案。积极开展焦化、水泥行业超低排放改造，推进玻璃、陶瓷、铸造、铁合金等行业污染深度治理。推进扬尘精细化管控，全面加强各类施工工地、道路、工业企业料场堆场、露天矿山和港口码头扬尘精细化管控。</w:t>
            </w:r>
          </w:p>
          <w:p>
            <w:pPr>
              <w:pStyle w:val="63"/>
              <w:ind w:firstLine="480"/>
              <w:rPr>
                <w:szCs w:val="28"/>
              </w:rPr>
            </w:pPr>
            <w:r>
              <w:rPr>
                <w:rFonts w:hint="eastAsia"/>
                <w:szCs w:val="28"/>
              </w:rPr>
              <w:t>2、地表水环境质量现状</w:t>
            </w:r>
          </w:p>
          <w:p>
            <w:pPr>
              <w:pStyle w:val="69"/>
              <w:ind w:left="48" w:right="48"/>
              <w:rPr>
                <w:lang w:eastAsia="zh-CN"/>
              </w:rPr>
            </w:pPr>
            <w:r>
              <w:rPr>
                <w:rFonts w:hint="eastAsia"/>
                <w:lang w:eastAsia="zh-CN"/>
              </w:rPr>
              <w:t>项目区域地表水系属淮河流域京杭运河水系，该项目所在区域的地表水系为新薛河。根据2022 年枣庄市质量简报中新薛河庄里坝断面水质监测情况，监测断面各水质因子满足《地表水环境质量标准》(GB3838-2002)中Ⅲ类标准。</w:t>
            </w:r>
          </w:p>
          <w:p>
            <w:pPr>
              <w:pStyle w:val="320"/>
            </w:pPr>
            <w:r>
              <w:t>表</w:t>
            </w:r>
            <w:r>
              <w:fldChar w:fldCharType="begin"/>
            </w:r>
            <w:r>
              <w:instrText xml:space="preserve"> SEQ 表格 \* ARABIC </w:instrText>
            </w:r>
            <w:r>
              <w:fldChar w:fldCharType="separate"/>
            </w:r>
            <w:r>
              <w:t>15</w:t>
            </w:r>
            <w:r>
              <w:fldChar w:fldCharType="end"/>
            </w:r>
            <w:r>
              <w:t xml:space="preserve">  </w:t>
            </w:r>
            <w:r>
              <w:rPr>
                <w:rFonts w:hint="eastAsia"/>
              </w:rPr>
              <w:t>新薛河庄里坝监测断面例行监测结果统计一览表 单位：mg/L</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81"/>
              <w:gridCol w:w="1453"/>
              <w:gridCol w:w="1546"/>
              <w:gridCol w:w="940"/>
              <w:gridCol w:w="940"/>
              <w:gridCol w:w="969"/>
              <w:gridCol w:w="987"/>
              <w:gridCol w:w="9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trPr>
              <w:tc>
                <w:tcPr>
                  <w:tcW w:w="657" w:type="pct"/>
                  <w:vAlign w:val="center"/>
                </w:tcPr>
                <w:p>
                  <w:pPr>
                    <w:pStyle w:val="68"/>
                    <w:spacing w:before="24" w:after="24"/>
                  </w:pPr>
                  <w:r>
                    <w:rPr>
                      <w:rFonts w:hint="eastAsia"/>
                    </w:rPr>
                    <w:t>监测项目</w:t>
                  </w:r>
                </w:p>
              </w:tc>
              <w:tc>
                <w:tcPr>
                  <w:tcW w:w="808" w:type="pct"/>
                  <w:vAlign w:val="center"/>
                </w:tcPr>
                <w:p>
                  <w:pPr>
                    <w:pStyle w:val="68"/>
                    <w:spacing w:before="24" w:after="24"/>
                    <w:rPr>
                      <w:spacing w:val="-2"/>
                    </w:rPr>
                  </w:pPr>
                  <w:r>
                    <w:rPr>
                      <w:rFonts w:eastAsiaTheme="minorEastAsia"/>
                      <w:spacing w:val="-2"/>
                    </w:rPr>
                    <w:t>pH(</w:t>
                  </w:r>
                  <w:r>
                    <w:rPr>
                      <w:rFonts w:hint="eastAsia"/>
                      <w:spacing w:val="-2"/>
                    </w:rPr>
                    <w:t>无量纲</w:t>
                  </w:r>
                  <w:r>
                    <w:rPr>
                      <w:spacing w:val="-2"/>
                    </w:rPr>
                    <w:t>)</w:t>
                  </w:r>
                </w:p>
              </w:tc>
              <w:tc>
                <w:tcPr>
                  <w:tcW w:w="860" w:type="pct"/>
                  <w:vAlign w:val="center"/>
                </w:tcPr>
                <w:p>
                  <w:pPr>
                    <w:pStyle w:val="68"/>
                    <w:spacing w:before="24" w:after="24"/>
                    <w:rPr>
                      <w:spacing w:val="-2"/>
                    </w:rPr>
                  </w:pPr>
                  <w:r>
                    <w:rPr>
                      <w:rFonts w:hint="eastAsia"/>
                      <w:spacing w:val="-2"/>
                    </w:rPr>
                    <w:t>高锰酸盐指数</w:t>
                  </w:r>
                </w:p>
              </w:tc>
              <w:tc>
                <w:tcPr>
                  <w:tcW w:w="523" w:type="pct"/>
                  <w:vAlign w:val="center"/>
                </w:tcPr>
                <w:p>
                  <w:pPr>
                    <w:pStyle w:val="68"/>
                    <w:spacing w:before="24" w:after="24"/>
                    <w:rPr>
                      <w:rFonts w:eastAsiaTheme="minorEastAsia"/>
                    </w:rPr>
                  </w:pPr>
                  <w:r>
                    <w:rPr>
                      <w:rFonts w:eastAsiaTheme="minorEastAsia"/>
                    </w:rPr>
                    <w:t>COD</w:t>
                  </w:r>
                </w:p>
              </w:tc>
              <w:tc>
                <w:tcPr>
                  <w:tcW w:w="523" w:type="pct"/>
                  <w:vAlign w:val="center"/>
                </w:tcPr>
                <w:p>
                  <w:pPr>
                    <w:pStyle w:val="68"/>
                    <w:spacing w:before="24" w:after="24"/>
                    <w:rPr>
                      <w:spacing w:val="-6"/>
                    </w:rPr>
                  </w:pPr>
                  <w:r>
                    <w:rPr>
                      <w:rFonts w:hint="eastAsia"/>
                      <w:spacing w:val="-6"/>
                    </w:rPr>
                    <w:t>氨氮</w:t>
                  </w:r>
                </w:p>
              </w:tc>
              <w:tc>
                <w:tcPr>
                  <w:tcW w:w="539" w:type="pct"/>
                  <w:vAlign w:val="center"/>
                </w:tcPr>
                <w:p>
                  <w:pPr>
                    <w:pStyle w:val="68"/>
                    <w:spacing w:before="24" w:after="24"/>
                    <w:rPr>
                      <w:spacing w:val="-6"/>
                    </w:rPr>
                  </w:pPr>
                  <w:r>
                    <w:rPr>
                      <w:rFonts w:hint="eastAsia"/>
                      <w:spacing w:val="-6"/>
                    </w:rPr>
                    <w:t>总磷</w:t>
                  </w:r>
                </w:p>
              </w:tc>
              <w:tc>
                <w:tcPr>
                  <w:tcW w:w="549" w:type="pct"/>
                  <w:vAlign w:val="center"/>
                </w:tcPr>
                <w:p>
                  <w:pPr>
                    <w:pStyle w:val="68"/>
                    <w:spacing w:before="24" w:after="24"/>
                  </w:pPr>
                  <w:r>
                    <w:rPr>
                      <w:rFonts w:hint="eastAsia"/>
                    </w:rPr>
                    <w:t>硫化物</w:t>
                  </w:r>
                </w:p>
              </w:tc>
              <w:tc>
                <w:tcPr>
                  <w:tcW w:w="541" w:type="pct"/>
                  <w:vAlign w:val="center"/>
                </w:tcPr>
                <w:p>
                  <w:pPr>
                    <w:pStyle w:val="68"/>
                    <w:spacing w:before="24" w:after="24"/>
                  </w:pPr>
                  <w:r>
                    <w:rPr>
                      <w:rFonts w:hint="eastAsia"/>
                    </w:rPr>
                    <w:t>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7" w:type="pct"/>
                  <w:vAlign w:val="center"/>
                </w:tcPr>
                <w:p>
                  <w:pPr>
                    <w:pStyle w:val="68"/>
                    <w:spacing w:before="24" w:after="24"/>
                  </w:pPr>
                  <w:r>
                    <w:rPr>
                      <w:rFonts w:hint="eastAsia"/>
                    </w:rPr>
                    <w:t>年均值</w:t>
                  </w:r>
                </w:p>
              </w:tc>
              <w:tc>
                <w:tcPr>
                  <w:tcW w:w="808" w:type="pct"/>
                  <w:vAlign w:val="center"/>
                </w:tcPr>
                <w:p>
                  <w:pPr>
                    <w:pStyle w:val="68"/>
                    <w:spacing w:before="24" w:after="24"/>
                    <w:rPr>
                      <w:rFonts w:eastAsiaTheme="minorEastAsia"/>
                    </w:rPr>
                  </w:pPr>
                  <w:r>
                    <w:rPr>
                      <w:rFonts w:eastAsiaTheme="minorEastAsia"/>
                    </w:rPr>
                    <w:t>7.9</w:t>
                  </w:r>
                </w:p>
              </w:tc>
              <w:tc>
                <w:tcPr>
                  <w:tcW w:w="860" w:type="pct"/>
                  <w:vAlign w:val="center"/>
                </w:tcPr>
                <w:p>
                  <w:pPr>
                    <w:pStyle w:val="68"/>
                    <w:spacing w:before="24" w:after="24"/>
                    <w:rPr>
                      <w:rFonts w:eastAsiaTheme="minorEastAsia"/>
                    </w:rPr>
                  </w:pPr>
                  <w:r>
                    <w:rPr>
                      <w:rFonts w:eastAsiaTheme="minorEastAsia"/>
                    </w:rPr>
                    <w:t>2.2</w:t>
                  </w:r>
                </w:p>
              </w:tc>
              <w:tc>
                <w:tcPr>
                  <w:tcW w:w="523" w:type="pct"/>
                  <w:vAlign w:val="center"/>
                </w:tcPr>
                <w:p>
                  <w:pPr>
                    <w:pStyle w:val="68"/>
                    <w:spacing w:before="24" w:after="24"/>
                    <w:rPr>
                      <w:rFonts w:eastAsiaTheme="minorEastAsia"/>
                    </w:rPr>
                  </w:pPr>
                  <w:r>
                    <w:rPr>
                      <w:rFonts w:eastAsiaTheme="minorEastAsia"/>
                    </w:rPr>
                    <w:t>6.3</w:t>
                  </w:r>
                </w:p>
              </w:tc>
              <w:tc>
                <w:tcPr>
                  <w:tcW w:w="523" w:type="pct"/>
                  <w:vAlign w:val="center"/>
                </w:tcPr>
                <w:p>
                  <w:pPr>
                    <w:pStyle w:val="68"/>
                    <w:spacing w:before="24" w:after="24"/>
                    <w:rPr>
                      <w:rFonts w:eastAsiaTheme="minorEastAsia"/>
                    </w:rPr>
                  </w:pPr>
                  <w:r>
                    <w:rPr>
                      <w:rFonts w:eastAsiaTheme="minorEastAsia"/>
                    </w:rPr>
                    <w:t>0.05</w:t>
                  </w:r>
                </w:p>
              </w:tc>
              <w:tc>
                <w:tcPr>
                  <w:tcW w:w="539" w:type="pct"/>
                  <w:vAlign w:val="center"/>
                </w:tcPr>
                <w:p>
                  <w:pPr>
                    <w:pStyle w:val="68"/>
                    <w:spacing w:before="24" w:after="24"/>
                    <w:rPr>
                      <w:rFonts w:eastAsiaTheme="minorEastAsia"/>
                    </w:rPr>
                  </w:pPr>
                  <w:r>
                    <w:rPr>
                      <w:rFonts w:eastAsiaTheme="minorEastAsia"/>
                    </w:rPr>
                    <w:t>0.02</w:t>
                  </w:r>
                </w:p>
              </w:tc>
              <w:tc>
                <w:tcPr>
                  <w:tcW w:w="549" w:type="pct"/>
                  <w:vAlign w:val="center"/>
                </w:tcPr>
                <w:p>
                  <w:pPr>
                    <w:pStyle w:val="68"/>
                    <w:spacing w:before="24" w:after="24"/>
                    <w:rPr>
                      <w:rFonts w:eastAsiaTheme="minorEastAsia"/>
                      <w:spacing w:val="-2"/>
                    </w:rPr>
                  </w:pPr>
                  <w:r>
                    <w:rPr>
                      <w:rFonts w:eastAsiaTheme="minorEastAsia"/>
                      <w:spacing w:val="-2"/>
                    </w:rPr>
                    <w:t>0.004</w:t>
                  </w:r>
                </w:p>
              </w:tc>
              <w:tc>
                <w:tcPr>
                  <w:tcW w:w="541" w:type="pct"/>
                  <w:vAlign w:val="center"/>
                </w:tcPr>
                <w:p>
                  <w:pPr>
                    <w:pStyle w:val="68"/>
                    <w:spacing w:before="24" w:after="24"/>
                    <w:rPr>
                      <w:rFonts w:eastAsiaTheme="minorEastAsia"/>
                    </w:rPr>
                  </w:pPr>
                  <w:r>
                    <w:rPr>
                      <w:rFonts w:eastAsiaTheme="minorEastAsia"/>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7" w:type="pct"/>
                  <w:vAlign w:val="center"/>
                </w:tcPr>
                <w:p>
                  <w:pPr>
                    <w:pStyle w:val="68"/>
                    <w:spacing w:before="24" w:after="24"/>
                  </w:pPr>
                  <w:r>
                    <w:rPr>
                      <w:rFonts w:hint="eastAsia"/>
                    </w:rPr>
                    <w:t>标</w:t>
                  </w:r>
                  <w:r>
                    <w:t xml:space="preserve"> </w:t>
                  </w:r>
                  <w:r>
                    <w:rPr>
                      <w:rFonts w:hint="eastAsia"/>
                    </w:rPr>
                    <w:t>准</w:t>
                  </w:r>
                </w:p>
              </w:tc>
              <w:tc>
                <w:tcPr>
                  <w:tcW w:w="808" w:type="pct"/>
                  <w:vAlign w:val="center"/>
                </w:tcPr>
                <w:p>
                  <w:pPr>
                    <w:pStyle w:val="68"/>
                    <w:spacing w:before="24" w:after="24"/>
                    <w:rPr>
                      <w:rFonts w:eastAsiaTheme="minorEastAsia"/>
                    </w:rPr>
                  </w:pPr>
                  <w:r>
                    <w:rPr>
                      <w:rFonts w:eastAsiaTheme="minorEastAsia"/>
                    </w:rPr>
                    <w:t>6-9</w:t>
                  </w:r>
                </w:p>
              </w:tc>
              <w:tc>
                <w:tcPr>
                  <w:tcW w:w="860" w:type="pct"/>
                  <w:vAlign w:val="center"/>
                </w:tcPr>
                <w:p>
                  <w:pPr>
                    <w:pStyle w:val="68"/>
                    <w:spacing w:before="24" w:after="24"/>
                    <w:rPr>
                      <w:rFonts w:eastAsiaTheme="minorEastAsia"/>
                      <w:spacing w:val="-6"/>
                    </w:rPr>
                  </w:pPr>
                  <w:r>
                    <w:rPr>
                      <w:rFonts w:eastAsiaTheme="minorEastAsia"/>
                      <w:spacing w:val="-6"/>
                    </w:rPr>
                    <w:t>≤6</w:t>
                  </w:r>
                </w:p>
              </w:tc>
              <w:tc>
                <w:tcPr>
                  <w:tcW w:w="523" w:type="pct"/>
                  <w:vAlign w:val="center"/>
                </w:tcPr>
                <w:p>
                  <w:pPr>
                    <w:pStyle w:val="68"/>
                    <w:spacing w:before="24" w:after="24"/>
                    <w:rPr>
                      <w:rFonts w:eastAsiaTheme="minorEastAsia"/>
                    </w:rPr>
                  </w:pPr>
                  <w:r>
                    <w:rPr>
                      <w:rFonts w:eastAsiaTheme="minorEastAsia"/>
                    </w:rPr>
                    <w:t>≤20</w:t>
                  </w:r>
                </w:p>
              </w:tc>
              <w:tc>
                <w:tcPr>
                  <w:tcW w:w="523" w:type="pct"/>
                  <w:vAlign w:val="center"/>
                </w:tcPr>
                <w:p>
                  <w:pPr>
                    <w:pStyle w:val="68"/>
                    <w:spacing w:before="24" w:after="24"/>
                    <w:rPr>
                      <w:rFonts w:eastAsiaTheme="minorEastAsia"/>
                      <w:spacing w:val="-6"/>
                    </w:rPr>
                  </w:pPr>
                  <w:r>
                    <w:rPr>
                      <w:rFonts w:eastAsiaTheme="minorEastAsia"/>
                      <w:spacing w:val="-6"/>
                    </w:rPr>
                    <w:t>≤1</w:t>
                  </w:r>
                </w:p>
              </w:tc>
              <w:tc>
                <w:tcPr>
                  <w:tcW w:w="539" w:type="pct"/>
                  <w:vAlign w:val="center"/>
                </w:tcPr>
                <w:p>
                  <w:pPr>
                    <w:pStyle w:val="68"/>
                    <w:spacing w:before="24" w:after="24"/>
                    <w:rPr>
                      <w:rFonts w:eastAsiaTheme="minorEastAsia"/>
                    </w:rPr>
                  </w:pPr>
                  <w:r>
                    <w:rPr>
                      <w:rFonts w:eastAsiaTheme="minorEastAsia"/>
                    </w:rPr>
                    <w:t>≤0.2</w:t>
                  </w:r>
                </w:p>
              </w:tc>
              <w:tc>
                <w:tcPr>
                  <w:tcW w:w="549" w:type="pct"/>
                  <w:vAlign w:val="center"/>
                </w:tcPr>
                <w:p>
                  <w:pPr>
                    <w:pStyle w:val="68"/>
                    <w:spacing w:before="24" w:after="24"/>
                    <w:rPr>
                      <w:rFonts w:eastAsiaTheme="minorEastAsia"/>
                    </w:rPr>
                  </w:pPr>
                  <w:r>
                    <w:rPr>
                      <w:rFonts w:eastAsiaTheme="minorEastAsia"/>
                    </w:rPr>
                    <w:t>≤0.2</w:t>
                  </w:r>
                </w:p>
              </w:tc>
              <w:tc>
                <w:tcPr>
                  <w:tcW w:w="541" w:type="pct"/>
                  <w:vAlign w:val="center"/>
                </w:tcPr>
                <w:p>
                  <w:pPr>
                    <w:pStyle w:val="68"/>
                    <w:spacing w:before="24" w:after="24"/>
                    <w:rPr>
                      <w:rFonts w:eastAsiaTheme="minorEastAsia"/>
                    </w:rPr>
                  </w:pPr>
                  <w:r>
                    <w:rPr>
                      <w:rFonts w:eastAsiaTheme="minorEastAsia"/>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7" w:type="pct"/>
                  <w:vAlign w:val="center"/>
                </w:tcPr>
                <w:p>
                  <w:pPr>
                    <w:pStyle w:val="68"/>
                    <w:spacing w:before="24" w:after="24"/>
                  </w:pPr>
                  <w:r>
                    <w:rPr>
                      <w:rFonts w:hint="eastAsia"/>
                    </w:rPr>
                    <w:t>监测项目</w:t>
                  </w:r>
                </w:p>
              </w:tc>
              <w:tc>
                <w:tcPr>
                  <w:tcW w:w="808" w:type="pct"/>
                  <w:vAlign w:val="center"/>
                </w:tcPr>
                <w:p>
                  <w:pPr>
                    <w:pStyle w:val="68"/>
                    <w:spacing w:before="24" w:after="24"/>
                    <w:rPr>
                      <w:w w:val="99"/>
                    </w:rPr>
                  </w:pPr>
                  <w:r>
                    <w:rPr>
                      <w:rFonts w:hint="eastAsia"/>
                      <w:w w:val="99"/>
                    </w:rPr>
                    <w:t>锌</w:t>
                  </w:r>
                </w:p>
              </w:tc>
              <w:tc>
                <w:tcPr>
                  <w:tcW w:w="860" w:type="pct"/>
                  <w:vAlign w:val="center"/>
                </w:tcPr>
                <w:p>
                  <w:pPr>
                    <w:pStyle w:val="68"/>
                    <w:spacing w:before="24" w:after="24"/>
                    <w:rPr>
                      <w:w w:val="99"/>
                    </w:rPr>
                  </w:pPr>
                  <w:r>
                    <w:rPr>
                      <w:rFonts w:hint="eastAsia"/>
                      <w:w w:val="99"/>
                    </w:rPr>
                    <w:t>镉</w:t>
                  </w:r>
                </w:p>
              </w:tc>
              <w:tc>
                <w:tcPr>
                  <w:tcW w:w="523" w:type="pct"/>
                  <w:vAlign w:val="center"/>
                </w:tcPr>
                <w:p>
                  <w:pPr>
                    <w:pStyle w:val="68"/>
                    <w:spacing w:before="24" w:after="24"/>
                    <w:rPr>
                      <w:rFonts w:eastAsiaTheme="minorEastAsia"/>
                      <w:sz w:val="13"/>
                      <w:szCs w:val="13"/>
                    </w:rPr>
                  </w:pPr>
                  <w:r>
                    <w:rPr>
                      <w:rFonts w:eastAsiaTheme="minorEastAsia"/>
                      <w:position w:val="2"/>
                    </w:rPr>
                    <w:t>BOD</w:t>
                  </w:r>
                  <w:r>
                    <w:rPr>
                      <w:rFonts w:eastAsiaTheme="minorEastAsia"/>
                      <w:sz w:val="13"/>
                      <w:szCs w:val="13"/>
                    </w:rPr>
                    <w:t>5</w:t>
                  </w:r>
                </w:p>
              </w:tc>
              <w:tc>
                <w:tcPr>
                  <w:tcW w:w="523" w:type="pct"/>
                  <w:vAlign w:val="center"/>
                </w:tcPr>
                <w:p>
                  <w:pPr>
                    <w:pStyle w:val="68"/>
                    <w:spacing w:before="24" w:after="24"/>
                    <w:rPr>
                      <w:w w:val="99"/>
                    </w:rPr>
                  </w:pPr>
                  <w:r>
                    <w:rPr>
                      <w:rFonts w:hint="eastAsia"/>
                      <w:w w:val="99"/>
                    </w:rPr>
                    <w:t>砷</w:t>
                  </w:r>
                </w:p>
              </w:tc>
              <w:tc>
                <w:tcPr>
                  <w:tcW w:w="539" w:type="pct"/>
                  <w:vAlign w:val="center"/>
                </w:tcPr>
                <w:p>
                  <w:pPr>
                    <w:pStyle w:val="68"/>
                    <w:spacing w:before="24" w:after="24"/>
                    <w:rPr>
                      <w:w w:val="99"/>
                    </w:rPr>
                  </w:pPr>
                  <w:r>
                    <w:rPr>
                      <w:rFonts w:hint="eastAsia"/>
                      <w:w w:val="99"/>
                    </w:rPr>
                    <w:t>硒</w:t>
                  </w:r>
                </w:p>
              </w:tc>
              <w:tc>
                <w:tcPr>
                  <w:tcW w:w="549" w:type="pct"/>
                  <w:vAlign w:val="center"/>
                </w:tcPr>
                <w:p>
                  <w:pPr>
                    <w:pStyle w:val="68"/>
                    <w:spacing w:before="24" w:after="24"/>
                    <w:rPr>
                      <w:w w:val="99"/>
                    </w:rPr>
                  </w:pPr>
                  <w:r>
                    <w:rPr>
                      <w:rFonts w:hint="eastAsia"/>
                      <w:w w:val="99"/>
                    </w:rPr>
                    <w:t>汞</w:t>
                  </w:r>
                </w:p>
              </w:tc>
              <w:tc>
                <w:tcPr>
                  <w:tcW w:w="541" w:type="pct"/>
                  <w:vAlign w:val="center"/>
                </w:tcPr>
                <w:p>
                  <w:pPr>
                    <w:pStyle w:val="68"/>
                    <w:spacing w:before="24" w:after="24"/>
                    <w:rPr>
                      <w:w w:val="99"/>
                    </w:rPr>
                  </w:pPr>
                  <w:r>
                    <w:rPr>
                      <w:rFonts w:hint="eastAsia"/>
                      <w:w w:val="99"/>
                    </w:rPr>
                    <w:t>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7" w:type="pct"/>
                  <w:vAlign w:val="center"/>
                </w:tcPr>
                <w:p>
                  <w:pPr>
                    <w:pStyle w:val="68"/>
                    <w:spacing w:before="24" w:after="24"/>
                  </w:pPr>
                  <w:r>
                    <w:rPr>
                      <w:rFonts w:hint="eastAsia"/>
                    </w:rPr>
                    <w:t>年均值</w:t>
                  </w:r>
                </w:p>
              </w:tc>
              <w:tc>
                <w:tcPr>
                  <w:tcW w:w="808" w:type="pct"/>
                  <w:vAlign w:val="center"/>
                </w:tcPr>
                <w:p>
                  <w:pPr>
                    <w:pStyle w:val="68"/>
                    <w:spacing w:before="24" w:after="24"/>
                    <w:rPr>
                      <w:rFonts w:eastAsiaTheme="minorEastAsia"/>
                    </w:rPr>
                  </w:pPr>
                  <w:r>
                    <w:rPr>
                      <w:rFonts w:eastAsiaTheme="minorEastAsia"/>
                    </w:rPr>
                    <w:t>0.01</w:t>
                  </w:r>
                </w:p>
              </w:tc>
              <w:tc>
                <w:tcPr>
                  <w:tcW w:w="860" w:type="pct"/>
                  <w:vAlign w:val="center"/>
                </w:tcPr>
                <w:p>
                  <w:pPr>
                    <w:pStyle w:val="68"/>
                    <w:spacing w:before="24" w:after="24"/>
                    <w:rPr>
                      <w:rFonts w:eastAsiaTheme="minorEastAsia"/>
                      <w:spacing w:val="-2"/>
                    </w:rPr>
                  </w:pPr>
                  <w:r>
                    <w:rPr>
                      <w:rFonts w:eastAsiaTheme="minorEastAsia"/>
                      <w:spacing w:val="-2"/>
                    </w:rPr>
                    <w:t>0.00002</w:t>
                  </w:r>
                </w:p>
              </w:tc>
              <w:tc>
                <w:tcPr>
                  <w:tcW w:w="523" w:type="pct"/>
                  <w:vAlign w:val="center"/>
                </w:tcPr>
                <w:p>
                  <w:pPr>
                    <w:pStyle w:val="68"/>
                    <w:spacing w:before="24" w:after="24"/>
                    <w:rPr>
                      <w:rFonts w:eastAsiaTheme="minorEastAsia"/>
                    </w:rPr>
                  </w:pPr>
                  <w:r>
                    <w:rPr>
                      <w:rFonts w:eastAsiaTheme="minorEastAsia"/>
                    </w:rPr>
                    <w:t>1.5</w:t>
                  </w:r>
                </w:p>
              </w:tc>
              <w:tc>
                <w:tcPr>
                  <w:tcW w:w="523" w:type="pct"/>
                  <w:vAlign w:val="center"/>
                </w:tcPr>
                <w:p>
                  <w:pPr>
                    <w:pStyle w:val="68"/>
                    <w:spacing w:before="24" w:after="24"/>
                    <w:rPr>
                      <w:rFonts w:eastAsiaTheme="minorEastAsia"/>
                      <w:spacing w:val="-2"/>
                    </w:rPr>
                  </w:pPr>
                  <w:r>
                    <w:rPr>
                      <w:rFonts w:eastAsiaTheme="minorEastAsia"/>
                      <w:spacing w:val="-2"/>
                    </w:rPr>
                    <w:t>0.0007</w:t>
                  </w:r>
                </w:p>
              </w:tc>
              <w:tc>
                <w:tcPr>
                  <w:tcW w:w="539" w:type="pct"/>
                  <w:vAlign w:val="center"/>
                </w:tcPr>
                <w:p>
                  <w:pPr>
                    <w:pStyle w:val="68"/>
                    <w:spacing w:before="24" w:after="24"/>
                    <w:rPr>
                      <w:rFonts w:eastAsiaTheme="minorEastAsia"/>
                      <w:spacing w:val="-2"/>
                    </w:rPr>
                  </w:pPr>
                  <w:r>
                    <w:rPr>
                      <w:rFonts w:eastAsiaTheme="minorEastAsia"/>
                      <w:spacing w:val="-2"/>
                    </w:rPr>
                    <w:t>0.0002</w:t>
                  </w:r>
                </w:p>
              </w:tc>
              <w:tc>
                <w:tcPr>
                  <w:tcW w:w="549" w:type="pct"/>
                  <w:vAlign w:val="center"/>
                </w:tcPr>
                <w:p>
                  <w:pPr>
                    <w:pStyle w:val="68"/>
                    <w:spacing w:before="24" w:after="24"/>
                    <w:rPr>
                      <w:rFonts w:eastAsiaTheme="minorEastAsia"/>
                      <w:spacing w:val="-2"/>
                    </w:rPr>
                  </w:pPr>
                  <w:r>
                    <w:rPr>
                      <w:rFonts w:eastAsiaTheme="minorEastAsia"/>
                      <w:spacing w:val="-2"/>
                    </w:rPr>
                    <w:t>0.00004</w:t>
                  </w:r>
                </w:p>
              </w:tc>
              <w:tc>
                <w:tcPr>
                  <w:tcW w:w="541" w:type="pct"/>
                  <w:vAlign w:val="center"/>
                </w:tcPr>
                <w:p>
                  <w:pPr>
                    <w:pStyle w:val="68"/>
                    <w:spacing w:before="24" w:after="24"/>
                    <w:rPr>
                      <w:rFonts w:eastAsiaTheme="minorEastAsia"/>
                      <w:spacing w:val="-2"/>
                    </w:rPr>
                  </w:pPr>
                  <w:r>
                    <w:rPr>
                      <w:rFonts w:eastAsiaTheme="minorEastAsia"/>
                      <w:spacing w:val="-2"/>
                    </w:rPr>
                    <w:t>0.00063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7" w:type="pct"/>
                  <w:vAlign w:val="center"/>
                </w:tcPr>
                <w:p>
                  <w:pPr>
                    <w:pStyle w:val="68"/>
                    <w:spacing w:before="24" w:after="24"/>
                  </w:pPr>
                  <w:r>
                    <w:rPr>
                      <w:rFonts w:hint="eastAsia"/>
                    </w:rPr>
                    <w:t>标</w:t>
                  </w:r>
                  <w:r>
                    <w:t xml:space="preserve"> </w:t>
                  </w:r>
                  <w:r>
                    <w:rPr>
                      <w:rFonts w:hint="eastAsia"/>
                    </w:rPr>
                    <w:t>准</w:t>
                  </w:r>
                </w:p>
              </w:tc>
              <w:tc>
                <w:tcPr>
                  <w:tcW w:w="808" w:type="pct"/>
                  <w:vAlign w:val="center"/>
                </w:tcPr>
                <w:p>
                  <w:pPr>
                    <w:pStyle w:val="68"/>
                    <w:spacing w:before="24" w:after="24"/>
                    <w:rPr>
                      <w:rFonts w:eastAsiaTheme="minorEastAsia"/>
                    </w:rPr>
                  </w:pPr>
                  <w:r>
                    <w:rPr>
                      <w:rFonts w:eastAsiaTheme="minorEastAsia"/>
                    </w:rPr>
                    <w:t>≤1.0</w:t>
                  </w:r>
                </w:p>
              </w:tc>
              <w:tc>
                <w:tcPr>
                  <w:tcW w:w="860" w:type="pct"/>
                  <w:vAlign w:val="center"/>
                </w:tcPr>
                <w:p>
                  <w:pPr>
                    <w:pStyle w:val="68"/>
                    <w:spacing w:before="24" w:after="24"/>
                    <w:rPr>
                      <w:rFonts w:eastAsiaTheme="minorEastAsia"/>
                      <w:spacing w:val="-2"/>
                    </w:rPr>
                  </w:pPr>
                  <w:r>
                    <w:rPr>
                      <w:rFonts w:eastAsiaTheme="minorEastAsia"/>
                      <w:spacing w:val="-2"/>
                    </w:rPr>
                    <w:t>≤0.005</w:t>
                  </w:r>
                </w:p>
              </w:tc>
              <w:tc>
                <w:tcPr>
                  <w:tcW w:w="523" w:type="pct"/>
                  <w:vAlign w:val="center"/>
                </w:tcPr>
                <w:p>
                  <w:pPr>
                    <w:pStyle w:val="68"/>
                    <w:spacing w:before="24" w:after="24"/>
                    <w:rPr>
                      <w:rFonts w:eastAsiaTheme="minorEastAsia"/>
                      <w:spacing w:val="-6"/>
                    </w:rPr>
                  </w:pPr>
                  <w:r>
                    <w:rPr>
                      <w:rFonts w:eastAsiaTheme="minorEastAsia"/>
                      <w:spacing w:val="-6"/>
                    </w:rPr>
                    <w:t>≤4</w:t>
                  </w:r>
                </w:p>
              </w:tc>
              <w:tc>
                <w:tcPr>
                  <w:tcW w:w="523" w:type="pct"/>
                  <w:vAlign w:val="center"/>
                </w:tcPr>
                <w:p>
                  <w:pPr>
                    <w:pStyle w:val="68"/>
                    <w:spacing w:before="24" w:after="24"/>
                    <w:rPr>
                      <w:rFonts w:eastAsiaTheme="minorEastAsia"/>
                      <w:spacing w:val="-2"/>
                    </w:rPr>
                  </w:pPr>
                  <w:r>
                    <w:rPr>
                      <w:rFonts w:eastAsiaTheme="minorEastAsia"/>
                      <w:spacing w:val="-2"/>
                    </w:rPr>
                    <w:t>≤0.05</w:t>
                  </w:r>
                </w:p>
              </w:tc>
              <w:tc>
                <w:tcPr>
                  <w:tcW w:w="539" w:type="pct"/>
                  <w:vAlign w:val="center"/>
                </w:tcPr>
                <w:p>
                  <w:pPr>
                    <w:pStyle w:val="68"/>
                    <w:spacing w:before="24" w:after="24"/>
                    <w:rPr>
                      <w:rFonts w:eastAsiaTheme="minorEastAsia"/>
                      <w:spacing w:val="-2"/>
                    </w:rPr>
                  </w:pPr>
                  <w:r>
                    <w:rPr>
                      <w:rFonts w:eastAsiaTheme="minorEastAsia"/>
                      <w:spacing w:val="-2"/>
                    </w:rPr>
                    <w:t>≤0.01</w:t>
                  </w:r>
                </w:p>
              </w:tc>
              <w:tc>
                <w:tcPr>
                  <w:tcW w:w="549" w:type="pct"/>
                  <w:vAlign w:val="center"/>
                </w:tcPr>
                <w:p>
                  <w:pPr>
                    <w:pStyle w:val="68"/>
                    <w:spacing w:before="24" w:after="24"/>
                    <w:rPr>
                      <w:rFonts w:eastAsiaTheme="minorEastAsia"/>
                      <w:spacing w:val="-2"/>
                    </w:rPr>
                  </w:pPr>
                  <w:r>
                    <w:rPr>
                      <w:rFonts w:eastAsiaTheme="minorEastAsia"/>
                      <w:spacing w:val="-2"/>
                    </w:rPr>
                    <w:t>≤0.0001</w:t>
                  </w:r>
                </w:p>
              </w:tc>
              <w:tc>
                <w:tcPr>
                  <w:tcW w:w="541" w:type="pct"/>
                  <w:vAlign w:val="center"/>
                </w:tcPr>
                <w:p>
                  <w:pPr>
                    <w:pStyle w:val="68"/>
                    <w:spacing w:before="24" w:after="24"/>
                    <w:rPr>
                      <w:rFonts w:eastAsiaTheme="minorEastAsia"/>
                      <w:spacing w:val="-2"/>
                    </w:rPr>
                  </w:pPr>
                  <w:r>
                    <w:rPr>
                      <w:rFonts w:eastAsiaTheme="minorEastAsia"/>
                      <w:spacing w:val="-2"/>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7" w:type="pct"/>
                  <w:vAlign w:val="center"/>
                </w:tcPr>
                <w:p>
                  <w:pPr>
                    <w:pStyle w:val="68"/>
                    <w:spacing w:before="24" w:after="24"/>
                  </w:pPr>
                  <w:r>
                    <w:rPr>
                      <w:rFonts w:hint="eastAsia"/>
                    </w:rPr>
                    <w:t>监测项目</w:t>
                  </w:r>
                </w:p>
              </w:tc>
              <w:tc>
                <w:tcPr>
                  <w:tcW w:w="808" w:type="pct"/>
                  <w:vAlign w:val="center"/>
                </w:tcPr>
                <w:p>
                  <w:pPr>
                    <w:pStyle w:val="68"/>
                    <w:spacing w:before="24" w:after="24"/>
                  </w:pPr>
                  <w:r>
                    <w:rPr>
                      <w:rFonts w:hint="eastAsia"/>
                    </w:rPr>
                    <w:t>氟化物</w:t>
                  </w:r>
                </w:p>
              </w:tc>
              <w:tc>
                <w:tcPr>
                  <w:tcW w:w="860" w:type="pct"/>
                  <w:vAlign w:val="center"/>
                </w:tcPr>
                <w:p>
                  <w:pPr>
                    <w:pStyle w:val="68"/>
                    <w:spacing w:before="24" w:after="24"/>
                  </w:pPr>
                  <w:r>
                    <w:rPr>
                      <w:rFonts w:hint="eastAsia"/>
                    </w:rPr>
                    <w:t>六价铬</w:t>
                  </w:r>
                </w:p>
              </w:tc>
              <w:tc>
                <w:tcPr>
                  <w:tcW w:w="523" w:type="pct"/>
                  <w:vAlign w:val="center"/>
                </w:tcPr>
                <w:p>
                  <w:pPr>
                    <w:pStyle w:val="68"/>
                    <w:spacing w:before="24" w:after="24"/>
                  </w:pPr>
                  <w:r>
                    <w:rPr>
                      <w:rFonts w:hint="eastAsia"/>
                    </w:rPr>
                    <w:t>氰化物</w:t>
                  </w:r>
                </w:p>
              </w:tc>
              <w:tc>
                <w:tcPr>
                  <w:tcW w:w="523" w:type="pct"/>
                  <w:vAlign w:val="center"/>
                </w:tcPr>
                <w:p>
                  <w:pPr>
                    <w:pStyle w:val="68"/>
                    <w:spacing w:before="24" w:after="24"/>
                  </w:pPr>
                  <w:r>
                    <w:rPr>
                      <w:rFonts w:hint="eastAsia"/>
                    </w:rPr>
                    <w:t>挥发酚</w:t>
                  </w:r>
                </w:p>
              </w:tc>
              <w:tc>
                <w:tcPr>
                  <w:tcW w:w="539" w:type="pct"/>
                  <w:vAlign w:val="center"/>
                </w:tcPr>
                <w:p>
                  <w:pPr>
                    <w:pStyle w:val="68"/>
                    <w:spacing w:before="24" w:after="24"/>
                  </w:pPr>
                  <w:r>
                    <w:rPr>
                      <w:rFonts w:hint="eastAsia"/>
                    </w:rPr>
                    <w:t>石油类</w:t>
                  </w:r>
                </w:p>
              </w:tc>
              <w:tc>
                <w:tcPr>
                  <w:tcW w:w="549" w:type="pct"/>
                  <w:vAlign w:val="center"/>
                </w:tcPr>
                <w:p>
                  <w:pPr>
                    <w:pStyle w:val="68"/>
                    <w:spacing w:before="24" w:after="24"/>
                    <w:rPr>
                      <w:rFonts w:eastAsiaTheme="minorEastAsia"/>
                    </w:rPr>
                  </w:pPr>
                  <w:r>
                    <w:rPr>
                      <w:rFonts w:eastAsiaTheme="minorEastAsia"/>
                    </w:rPr>
                    <w:t>LAS</w:t>
                  </w:r>
                </w:p>
              </w:tc>
              <w:tc>
                <w:tcPr>
                  <w:tcW w:w="541" w:type="pct"/>
                  <w:vAlign w:val="center"/>
                </w:tcPr>
                <w:p>
                  <w:pPr>
                    <w:pStyle w:val="68"/>
                    <w:spacing w:before="24" w:after="24"/>
                    <w:rPr>
                      <w:rFonts w:eastAsiaTheme="minorEastAsia"/>
                      <w:w w:val="99"/>
                    </w:rPr>
                  </w:pPr>
                  <w:r>
                    <w:rPr>
                      <w:rFonts w:eastAsiaTheme="minorEastAsia"/>
                      <w:w w:val="99"/>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7" w:type="pct"/>
                  <w:vAlign w:val="center"/>
                </w:tcPr>
                <w:p>
                  <w:pPr>
                    <w:pStyle w:val="68"/>
                    <w:spacing w:before="24" w:after="24"/>
                  </w:pPr>
                  <w:r>
                    <w:rPr>
                      <w:rFonts w:hint="eastAsia"/>
                    </w:rPr>
                    <w:t>年均值</w:t>
                  </w:r>
                </w:p>
              </w:tc>
              <w:tc>
                <w:tcPr>
                  <w:tcW w:w="808" w:type="pct"/>
                  <w:vAlign w:val="center"/>
                </w:tcPr>
                <w:p>
                  <w:pPr>
                    <w:pStyle w:val="68"/>
                    <w:spacing w:before="24" w:after="24"/>
                    <w:rPr>
                      <w:rFonts w:eastAsiaTheme="minorEastAsia"/>
                    </w:rPr>
                  </w:pPr>
                  <w:r>
                    <w:rPr>
                      <w:rFonts w:eastAsiaTheme="minorEastAsia"/>
                    </w:rPr>
                    <w:t>0.22</w:t>
                  </w:r>
                </w:p>
              </w:tc>
              <w:tc>
                <w:tcPr>
                  <w:tcW w:w="860" w:type="pct"/>
                  <w:vAlign w:val="center"/>
                </w:tcPr>
                <w:p>
                  <w:pPr>
                    <w:pStyle w:val="68"/>
                    <w:spacing w:before="24" w:after="24"/>
                    <w:rPr>
                      <w:rFonts w:eastAsiaTheme="minorEastAsia"/>
                      <w:spacing w:val="-2"/>
                    </w:rPr>
                  </w:pPr>
                  <w:r>
                    <w:rPr>
                      <w:rFonts w:eastAsiaTheme="minorEastAsia"/>
                      <w:spacing w:val="-2"/>
                    </w:rPr>
                    <w:t>0.0020</w:t>
                  </w:r>
                </w:p>
              </w:tc>
              <w:tc>
                <w:tcPr>
                  <w:tcW w:w="523" w:type="pct"/>
                  <w:vAlign w:val="center"/>
                </w:tcPr>
                <w:p>
                  <w:pPr>
                    <w:pStyle w:val="68"/>
                    <w:spacing w:before="24" w:after="24"/>
                    <w:rPr>
                      <w:rFonts w:eastAsiaTheme="minorEastAsia"/>
                      <w:spacing w:val="-2"/>
                    </w:rPr>
                  </w:pPr>
                  <w:r>
                    <w:rPr>
                      <w:rFonts w:eastAsiaTheme="minorEastAsia"/>
                      <w:spacing w:val="-2"/>
                    </w:rPr>
                    <w:t>0.00163</w:t>
                  </w:r>
                </w:p>
              </w:tc>
              <w:tc>
                <w:tcPr>
                  <w:tcW w:w="523" w:type="pct"/>
                  <w:vAlign w:val="center"/>
                </w:tcPr>
                <w:p>
                  <w:pPr>
                    <w:pStyle w:val="68"/>
                    <w:spacing w:before="24" w:after="24"/>
                    <w:rPr>
                      <w:rFonts w:eastAsiaTheme="minorEastAsia"/>
                      <w:spacing w:val="-2"/>
                    </w:rPr>
                  </w:pPr>
                  <w:r>
                    <w:rPr>
                      <w:rFonts w:eastAsiaTheme="minorEastAsia"/>
                      <w:spacing w:val="-2"/>
                    </w:rPr>
                    <w:t>0.0002</w:t>
                  </w:r>
                </w:p>
              </w:tc>
              <w:tc>
                <w:tcPr>
                  <w:tcW w:w="539" w:type="pct"/>
                  <w:vAlign w:val="center"/>
                </w:tcPr>
                <w:p>
                  <w:pPr>
                    <w:pStyle w:val="68"/>
                    <w:spacing w:before="24" w:after="24"/>
                    <w:rPr>
                      <w:rFonts w:eastAsiaTheme="minorEastAsia"/>
                      <w:spacing w:val="-2"/>
                    </w:rPr>
                  </w:pPr>
                  <w:r>
                    <w:rPr>
                      <w:rFonts w:eastAsiaTheme="minorEastAsia"/>
                      <w:spacing w:val="-2"/>
                    </w:rPr>
                    <w:t>0.01250</w:t>
                  </w:r>
                </w:p>
              </w:tc>
              <w:tc>
                <w:tcPr>
                  <w:tcW w:w="549" w:type="pct"/>
                  <w:vAlign w:val="center"/>
                </w:tcPr>
                <w:p>
                  <w:pPr>
                    <w:pStyle w:val="68"/>
                    <w:spacing w:before="24" w:after="24"/>
                    <w:rPr>
                      <w:rFonts w:eastAsiaTheme="minorEastAsia"/>
                      <w:spacing w:val="-2"/>
                    </w:rPr>
                  </w:pPr>
                  <w:r>
                    <w:rPr>
                      <w:rFonts w:eastAsiaTheme="minorEastAsia"/>
                      <w:spacing w:val="-2"/>
                    </w:rPr>
                    <w:t>0.020</w:t>
                  </w:r>
                </w:p>
              </w:tc>
              <w:tc>
                <w:tcPr>
                  <w:tcW w:w="541" w:type="pct"/>
                  <w:vAlign w:val="center"/>
                </w:tcPr>
                <w:p>
                  <w:pPr>
                    <w:pStyle w:val="68"/>
                    <w:spacing w:before="24" w:after="24"/>
                    <w:rPr>
                      <w:rFonts w:eastAsiaTheme="minorEastAsia"/>
                      <w:w w:val="99"/>
                    </w:rPr>
                  </w:pPr>
                  <w:r>
                    <w:rPr>
                      <w:rFonts w:eastAsiaTheme="minorEastAsia"/>
                      <w:w w:val="99"/>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57" w:type="pct"/>
                  <w:vAlign w:val="center"/>
                </w:tcPr>
                <w:p>
                  <w:pPr>
                    <w:pStyle w:val="68"/>
                    <w:spacing w:before="24" w:after="24"/>
                  </w:pPr>
                  <w:r>
                    <w:rPr>
                      <w:rFonts w:hint="eastAsia"/>
                    </w:rPr>
                    <w:t>标</w:t>
                  </w:r>
                  <w:r>
                    <w:t xml:space="preserve"> </w:t>
                  </w:r>
                  <w:r>
                    <w:rPr>
                      <w:rFonts w:hint="eastAsia"/>
                    </w:rPr>
                    <w:t>准</w:t>
                  </w:r>
                </w:p>
              </w:tc>
              <w:tc>
                <w:tcPr>
                  <w:tcW w:w="808" w:type="pct"/>
                  <w:vAlign w:val="center"/>
                </w:tcPr>
                <w:p>
                  <w:pPr>
                    <w:pStyle w:val="68"/>
                    <w:spacing w:before="24" w:after="24"/>
                    <w:rPr>
                      <w:rFonts w:eastAsiaTheme="minorEastAsia"/>
                    </w:rPr>
                  </w:pPr>
                  <w:r>
                    <w:rPr>
                      <w:rFonts w:eastAsiaTheme="minorEastAsia"/>
                    </w:rPr>
                    <w:t>≤1.0</w:t>
                  </w:r>
                </w:p>
              </w:tc>
              <w:tc>
                <w:tcPr>
                  <w:tcW w:w="860" w:type="pct"/>
                  <w:vAlign w:val="center"/>
                </w:tcPr>
                <w:p>
                  <w:pPr>
                    <w:pStyle w:val="68"/>
                    <w:spacing w:before="24" w:after="24"/>
                    <w:rPr>
                      <w:rFonts w:eastAsiaTheme="minorEastAsia"/>
                      <w:spacing w:val="-2"/>
                    </w:rPr>
                  </w:pPr>
                  <w:r>
                    <w:rPr>
                      <w:rFonts w:eastAsiaTheme="minorEastAsia"/>
                      <w:spacing w:val="-2"/>
                    </w:rPr>
                    <w:t>≤0.05</w:t>
                  </w:r>
                </w:p>
              </w:tc>
              <w:tc>
                <w:tcPr>
                  <w:tcW w:w="523" w:type="pct"/>
                  <w:vAlign w:val="center"/>
                </w:tcPr>
                <w:p>
                  <w:pPr>
                    <w:pStyle w:val="68"/>
                    <w:spacing w:before="24" w:after="24"/>
                    <w:rPr>
                      <w:rFonts w:eastAsiaTheme="minorEastAsia"/>
                    </w:rPr>
                  </w:pPr>
                  <w:r>
                    <w:rPr>
                      <w:rFonts w:eastAsiaTheme="minorEastAsia"/>
                    </w:rPr>
                    <w:t>≤0.2</w:t>
                  </w:r>
                </w:p>
              </w:tc>
              <w:tc>
                <w:tcPr>
                  <w:tcW w:w="523" w:type="pct"/>
                  <w:vAlign w:val="center"/>
                </w:tcPr>
                <w:p>
                  <w:pPr>
                    <w:pStyle w:val="68"/>
                    <w:spacing w:before="24" w:after="24"/>
                    <w:rPr>
                      <w:rFonts w:eastAsiaTheme="minorEastAsia"/>
                      <w:spacing w:val="-2"/>
                    </w:rPr>
                  </w:pPr>
                  <w:r>
                    <w:rPr>
                      <w:rFonts w:eastAsiaTheme="minorEastAsia"/>
                      <w:spacing w:val="-2"/>
                    </w:rPr>
                    <w:t>≤0.005</w:t>
                  </w:r>
                </w:p>
              </w:tc>
              <w:tc>
                <w:tcPr>
                  <w:tcW w:w="539" w:type="pct"/>
                  <w:vAlign w:val="center"/>
                </w:tcPr>
                <w:p>
                  <w:pPr>
                    <w:pStyle w:val="68"/>
                    <w:spacing w:before="24" w:after="24"/>
                    <w:rPr>
                      <w:rFonts w:eastAsiaTheme="minorEastAsia"/>
                      <w:spacing w:val="-2"/>
                    </w:rPr>
                  </w:pPr>
                  <w:r>
                    <w:rPr>
                      <w:rFonts w:eastAsiaTheme="minorEastAsia"/>
                      <w:spacing w:val="-2"/>
                    </w:rPr>
                    <w:t>≤0.05</w:t>
                  </w:r>
                </w:p>
              </w:tc>
              <w:tc>
                <w:tcPr>
                  <w:tcW w:w="549" w:type="pct"/>
                  <w:vAlign w:val="center"/>
                </w:tcPr>
                <w:p>
                  <w:pPr>
                    <w:pStyle w:val="68"/>
                    <w:spacing w:before="24" w:after="24"/>
                    <w:rPr>
                      <w:rFonts w:eastAsiaTheme="minorEastAsia"/>
                    </w:rPr>
                  </w:pPr>
                  <w:r>
                    <w:rPr>
                      <w:rFonts w:eastAsiaTheme="minorEastAsia"/>
                    </w:rPr>
                    <w:t>≤0.2</w:t>
                  </w:r>
                </w:p>
              </w:tc>
              <w:tc>
                <w:tcPr>
                  <w:tcW w:w="541" w:type="pct"/>
                  <w:vAlign w:val="center"/>
                </w:tcPr>
                <w:p>
                  <w:pPr>
                    <w:pStyle w:val="68"/>
                    <w:spacing w:before="24" w:after="24"/>
                    <w:rPr>
                      <w:rFonts w:eastAsiaTheme="minorEastAsia"/>
                      <w:w w:val="99"/>
                    </w:rPr>
                  </w:pPr>
                  <w:r>
                    <w:rPr>
                      <w:rFonts w:eastAsiaTheme="minorEastAsia"/>
                      <w:w w:val="99"/>
                    </w:rPr>
                    <w:t>/</w:t>
                  </w:r>
                </w:p>
              </w:tc>
            </w:tr>
          </w:tbl>
          <w:p>
            <w:pPr>
              <w:pStyle w:val="69"/>
              <w:ind w:left="48" w:right="48"/>
              <w:rPr>
                <w:szCs w:val="28"/>
                <w:lang w:eastAsia="zh-CN"/>
              </w:rPr>
            </w:pPr>
            <w:r>
              <w:rPr>
                <w:rFonts w:hint="eastAsia"/>
                <w:szCs w:val="28"/>
                <w:lang w:eastAsia="zh-CN"/>
              </w:rPr>
              <w:t>3、</w:t>
            </w:r>
            <w:r>
              <w:rPr>
                <w:szCs w:val="28"/>
                <w:lang w:eastAsia="zh-CN"/>
              </w:rPr>
              <w:t>声环境质量现状</w:t>
            </w:r>
          </w:p>
          <w:p>
            <w:pPr>
              <w:pStyle w:val="69"/>
              <w:ind w:left="48" w:right="48"/>
              <w:rPr>
                <w:lang w:eastAsia="zh-CN"/>
              </w:rPr>
            </w:pPr>
            <w:r>
              <w:rPr>
                <w:rFonts w:hint="eastAsia"/>
                <w:lang w:eastAsia="zh-CN"/>
              </w:rPr>
              <w:t>本项目厂界外50米范围内无声环境保护目标，根据建设项目环境影响报告表编制技术指南（污染影响类）（试行）环办环评〔2020〕33号，本项目不需要对区域声环境质量进行评价。</w:t>
            </w:r>
          </w:p>
          <w:p>
            <w:pPr>
              <w:pStyle w:val="69"/>
              <w:ind w:left="48" w:right="48"/>
              <w:rPr>
                <w:szCs w:val="28"/>
                <w:lang w:eastAsia="zh-CN"/>
              </w:rPr>
            </w:pPr>
            <w:r>
              <w:rPr>
                <w:szCs w:val="28"/>
                <w:lang w:eastAsia="zh-CN"/>
              </w:rPr>
              <w:t>4</w:t>
            </w:r>
            <w:r>
              <w:rPr>
                <w:rFonts w:hint="eastAsia"/>
                <w:szCs w:val="28"/>
                <w:lang w:eastAsia="zh-CN"/>
              </w:rPr>
              <w:t>、生态环境质量现状</w:t>
            </w:r>
          </w:p>
          <w:p>
            <w:pPr>
              <w:pStyle w:val="69"/>
              <w:ind w:left="48" w:right="48"/>
              <w:rPr>
                <w:spacing w:val="-3"/>
                <w:lang w:eastAsia="zh-CN"/>
              </w:rPr>
            </w:pPr>
            <w:r>
              <w:rPr>
                <w:rFonts w:hint="eastAsia"/>
                <w:lang w:eastAsia="zh-CN"/>
              </w:rPr>
              <w:t>本项目位于山亭区徐庄镇水城子村以北、S343线以西现有厂区内</w:t>
            </w:r>
            <w:r>
              <w:rPr>
                <w:rFonts w:hint="eastAsia"/>
                <w:color w:val="000000" w:themeColor="text1"/>
                <w:lang w:eastAsia="zh-CN"/>
                <w14:textFill>
                  <w14:solidFill>
                    <w14:schemeClr w14:val="tx1"/>
                  </w14:solidFill>
                </w14:textFill>
              </w:rPr>
              <w:t>，</w:t>
            </w:r>
            <w:r>
              <w:rPr>
                <w:rFonts w:hint="eastAsia"/>
                <w:spacing w:val="-3"/>
                <w:lang w:eastAsia="zh-CN"/>
              </w:rPr>
              <w:t>利用现有场地建设，不新增建设用地，不属于产业园外建设项目新增用地且用地范围内含有生态环境保护目标的项目，本项目不需要对区域生态环境质量进行评价。</w:t>
            </w:r>
          </w:p>
          <w:p>
            <w:pPr>
              <w:pStyle w:val="69"/>
              <w:ind w:left="48" w:right="48"/>
              <w:rPr>
                <w:spacing w:val="-3"/>
                <w:lang w:eastAsia="zh-CN"/>
              </w:rPr>
            </w:pPr>
            <w:r>
              <w:rPr>
                <w:spacing w:val="-3"/>
                <w:lang w:eastAsia="zh-CN"/>
              </w:rPr>
              <w:t>5</w:t>
            </w:r>
            <w:r>
              <w:rPr>
                <w:rFonts w:hint="eastAsia"/>
                <w:spacing w:val="-3"/>
                <w:lang w:eastAsia="zh-CN"/>
              </w:rPr>
              <w:t>、电磁辐射</w:t>
            </w:r>
          </w:p>
          <w:p>
            <w:pPr>
              <w:pStyle w:val="69"/>
              <w:ind w:left="48" w:right="48"/>
              <w:rPr>
                <w:spacing w:val="-3"/>
                <w:lang w:eastAsia="zh-CN"/>
              </w:rPr>
            </w:pPr>
            <w:r>
              <w:rPr>
                <w:rFonts w:hint="eastAsia"/>
                <w:spacing w:val="-3"/>
                <w:lang w:eastAsia="zh-CN"/>
              </w:rPr>
              <w:t>本项目不属于电磁辐射类项目，本项目不需要对区域电磁辐射现状进行评价。</w:t>
            </w:r>
          </w:p>
          <w:p>
            <w:pPr>
              <w:pStyle w:val="69"/>
              <w:ind w:left="48" w:right="48"/>
              <w:rPr>
                <w:color w:val="000000"/>
                <w:szCs w:val="28"/>
                <w:lang w:eastAsia="zh-CN"/>
              </w:rPr>
            </w:pPr>
            <w:r>
              <w:rPr>
                <w:rFonts w:hint="eastAsia"/>
                <w:color w:val="000000"/>
                <w:szCs w:val="28"/>
                <w:lang w:eastAsia="zh-CN"/>
              </w:rPr>
              <w:t>6、地下水、土壤环境质量状况</w:t>
            </w:r>
          </w:p>
          <w:p>
            <w:pPr>
              <w:pStyle w:val="63"/>
              <w:ind w:firstLine="480"/>
            </w:pPr>
            <w:r>
              <w:rPr>
                <w:rFonts w:hint="eastAsia"/>
                <w:szCs w:val="28"/>
              </w:rPr>
              <w:t>根据</w:t>
            </w:r>
            <w:r>
              <w:rPr>
                <w:szCs w:val="28"/>
              </w:rPr>
              <w:t>建设项目环境影响报告表编制技术指南（污染影响类）（试行）</w:t>
            </w:r>
            <w:r>
              <w:rPr>
                <w:rFonts w:hint="eastAsia"/>
                <w:szCs w:val="28"/>
              </w:rPr>
              <w:t>环办环评〔2020〕33号，原则上不开展地下水、土壤环境质量现状调查。建设项目存在地下水环境污染途径的，应结合污染源、保护目标分布情况开展现状调查以留作背景值。本项目无直接污染地下水、土壤途径，本次环评不对地下水、土壤环境质量状况进行评价。</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4" w:type="pct"/>
            <w:vAlign w:val="center"/>
          </w:tcPr>
          <w:p>
            <w:pPr>
              <w:pStyle w:val="6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环境保护目标</w:t>
            </w:r>
          </w:p>
        </w:tc>
        <w:tc>
          <w:tcPr>
            <w:tcW w:w="4776" w:type="pct"/>
            <w:vAlign w:val="center"/>
          </w:tcPr>
          <w:p>
            <w:pPr>
              <w:pStyle w:val="69"/>
              <w:ind w:left="48" w:right="48"/>
              <w:rPr>
                <w:lang w:eastAsia="zh-CN"/>
              </w:rPr>
            </w:pPr>
            <w:r>
              <w:rPr>
                <w:rFonts w:hint="eastAsia"/>
                <w:lang w:eastAsia="zh-CN"/>
              </w:rPr>
              <w:t>本项目主要环境保护目标情况见</w:t>
            </w:r>
            <w:r>
              <w:rPr>
                <w:lang w:eastAsia="zh-CN"/>
              </w:rPr>
              <w:fldChar w:fldCharType="begin"/>
            </w:r>
            <w:r>
              <w:rPr>
                <w:lang w:eastAsia="zh-CN"/>
              </w:rPr>
              <w:instrText xml:space="preserve"> </w:instrText>
            </w:r>
            <w:r>
              <w:rPr>
                <w:rFonts w:hint="eastAsia"/>
                <w:lang w:eastAsia="zh-CN"/>
              </w:rPr>
              <w:instrText xml:space="preserve">REF _Ref158565550 \h</w:instrText>
            </w:r>
            <w:r>
              <w:rPr>
                <w:lang w:eastAsia="zh-CN"/>
              </w:rPr>
              <w:instrText xml:space="preserve"> </w:instrText>
            </w:r>
            <w:r>
              <w:rPr>
                <w:lang w:eastAsia="zh-CN"/>
              </w:rPr>
              <w:fldChar w:fldCharType="separate"/>
            </w:r>
            <w:r>
              <w:rPr>
                <w:lang w:eastAsia="zh-CN"/>
              </w:rPr>
              <w:t>表14</w:t>
            </w:r>
            <w:r>
              <w:rPr>
                <w:lang w:eastAsia="zh-CN"/>
              </w:rPr>
              <w:fldChar w:fldCharType="end"/>
            </w:r>
            <w:r>
              <w:rPr>
                <w:rFonts w:hint="eastAsia"/>
                <w:lang w:eastAsia="zh-CN"/>
              </w:rPr>
              <w:t>。</w:t>
            </w:r>
          </w:p>
          <w:p>
            <w:pPr>
              <w:pStyle w:val="320"/>
            </w:pPr>
            <w:bookmarkStart w:id="22" w:name="_Ref158565550"/>
            <w:r>
              <w:t>表</w:t>
            </w:r>
            <w:r>
              <w:fldChar w:fldCharType="begin"/>
            </w:r>
            <w:r>
              <w:instrText xml:space="preserve"> SEQ 表格 \* ARABIC </w:instrText>
            </w:r>
            <w:r>
              <w:fldChar w:fldCharType="separate"/>
            </w:r>
            <w:r>
              <w:t>14</w:t>
            </w:r>
            <w:r>
              <w:fldChar w:fldCharType="end"/>
            </w:r>
            <w:bookmarkEnd w:id="22"/>
            <w:r>
              <w:t xml:space="preserve"> </w:t>
            </w:r>
            <w:r>
              <w:rPr>
                <w:rFonts w:hint="eastAsia"/>
              </w:rPr>
              <w:t>项目周围环境保护目标一览表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09"/>
              <w:gridCol w:w="1507"/>
              <w:gridCol w:w="2591"/>
              <w:gridCol w:w="654"/>
              <w:gridCol w:w="1111"/>
              <w:gridCol w:w="20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3" w:hRule="atLeast"/>
                <w:tblHeader/>
                <w:jc w:val="center"/>
              </w:trPr>
              <w:tc>
                <w:tcPr>
                  <w:tcW w:w="617" w:type="pct"/>
                  <w:vMerge w:val="restart"/>
                  <w:vAlign w:val="center"/>
                </w:tcPr>
                <w:p>
                  <w:pPr>
                    <w:pStyle w:val="68"/>
                    <w:spacing w:before="24" w:after="24"/>
                    <w:ind w:left="24" w:right="24"/>
                  </w:pPr>
                  <w:r>
                    <w:t>环境要</w:t>
                  </w:r>
                  <w:r>
                    <w:rPr>
                      <w:rFonts w:hint="eastAsia"/>
                    </w:rPr>
                    <w:t>素</w:t>
                  </w:r>
                </w:p>
              </w:tc>
              <w:tc>
                <w:tcPr>
                  <w:tcW w:w="2279" w:type="pct"/>
                  <w:gridSpan w:val="2"/>
                  <w:vAlign w:val="center"/>
                </w:tcPr>
                <w:p>
                  <w:pPr>
                    <w:pStyle w:val="68"/>
                    <w:spacing w:before="24" w:after="24"/>
                    <w:ind w:left="24" w:right="24"/>
                  </w:pPr>
                  <w:r>
                    <w:rPr>
                      <w:rFonts w:hint="eastAsia"/>
                    </w:rPr>
                    <w:t>保护</w:t>
                  </w:r>
                  <w:r>
                    <w:t>目</w:t>
                  </w:r>
                  <w:r>
                    <w:rPr>
                      <w:rFonts w:hint="eastAsia"/>
                    </w:rPr>
                    <w:t>标</w:t>
                  </w:r>
                </w:p>
              </w:tc>
              <w:tc>
                <w:tcPr>
                  <w:tcW w:w="364" w:type="pct"/>
                  <w:vMerge w:val="restart"/>
                  <w:vAlign w:val="center"/>
                </w:tcPr>
                <w:p>
                  <w:pPr>
                    <w:pStyle w:val="68"/>
                    <w:spacing w:before="24" w:after="24"/>
                    <w:ind w:left="24" w:right="24"/>
                  </w:pPr>
                  <w:r>
                    <w:t>方位</w:t>
                  </w:r>
                </w:p>
              </w:tc>
              <w:tc>
                <w:tcPr>
                  <w:tcW w:w="618" w:type="pct"/>
                  <w:vMerge w:val="restart"/>
                  <w:vAlign w:val="center"/>
                </w:tcPr>
                <w:p>
                  <w:pPr>
                    <w:pStyle w:val="68"/>
                    <w:spacing w:before="24" w:after="24"/>
                    <w:ind w:left="24" w:right="24"/>
                  </w:pPr>
                  <w:r>
                    <w:t>与</w:t>
                  </w:r>
                  <w:r>
                    <w:rPr>
                      <w:rFonts w:hint="eastAsia"/>
                    </w:rPr>
                    <w:t>厂界</w:t>
                  </w:r>
                  <w:r>
                    <w:t>距离（m）</w:t>
                  </w:r>
                </w:p>
              </w:tc>
              <w:tc>
                <w:tcPr>
                  <w:tcW w:w="1123" w:type="pct"/>
                  <w:vMerge w:val="restart"/>
                  <w:vAlign w:val="center"/>
                </w:tcPr>
                <w:p>
                  <w:pPr>
                    <w:pStyle w:val="68"/>
                    <w:spacing w:before="24" w:after="24"/>
                    <w:ind w:left="24" w:right="24"/>
                  </w:pPr>
                  <w:r>
                    <w:t>环境功能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95" w:hRule="atLeast"/>
                <w:tblHeader/>
                <w:jc w:val="center"/>
              </w:trPr>
              <w:tc>
                <w:tcPr>
                  <w:tcW w:w="617" w:type="pct"/>
                  <w:vMerge w:val="continue"/>
                  <w:vAlign w:val="center"/>
                </w:tcPr>
                <w:p>
                  <w:pPr>
                    <w:pStyle w:val="68"/>
                    <w:spacing w:before="24" w:after="24"/>
                    <w:ind w:left="24" w:right="24"/>
                  </w:pPr>
                </w:p>
              </w:tc>
              <w:tc>
                <w:tcPr>
                  <w:tcW w:w="838" w:type="pct"/>
                  <w:vAlign w:val="center"/>
                </w:tcPr>
                <w:p>
                  <w:pPr>
                    <w:pStyle w:val="68"/>
                    <w:spacing w:before="24" w:after="24"/>
                    <w:ind w:left="24" w:right="24"/>
                  </w:pPr>
                  <w:r>
                    <w:rPr>
                      <w:rFonts w:hint="eastAsia"/>
                    </w:rPr>
                    <w:t>范围</w:t>
                  </w:r>
                </w:p>
              </w:tc>
              <w:tc>
                <w:tcPr>
                  <w:tcW w:w="1441" w:type="pct"/>
                  <w:vAlign w:val="center"/>
                </w:tcPr>
                <w:p>
                  <w:pPr>
                    <w:pStyle w:val="68"/>
                    <w:spacing w:before="24" w:after="24"/>
                    <w:ind w:left="24" w:right="24"/>
                  </w:pPr>
                  <w:r>
                    <w:rPr>
                      <w:rFonts w:hint="eastAsia"/>
                    </w:rPr>
                    <w:t>保护目标</w:t>
                  </w:r>
                </w:p>
              </w:tc>
              <w:tc>
                <w:tcPr>
                  <w:tcW w:w="364" w:type="pct"/>
                  <w:vMerge w:val="continue"/>
                  <w:vAlign w:val="center"/>
                </w:tcPr>
                <w:p>
                  <w:pPr>
                    <w:pStyle w:val="68"/>
                    <w:spacing w:before="24" w:after="24"/>
                    <w:ind w:left="24" w:right="24"/>
                  </w:pPr>
                </w:p>
              </w:tc>
              <w:tc>
                <w:tcPr>
                  <w:tcW w:w="618" w:type="pct"/>
                  <w:vMerge w:val="continue"/>
                  <w:vAlign w:val="center"/>
                </w:tcPr>
                <w:p>
                  <w:pPr>
                    <w:pStyle w:val="68"/>
                    <w:spacing w:before="24" w:after="24"/>
                    <w:ind w:left="24" w:right="24"/>
                  </w:pPr>
                </w:p>
              </w:tc>
              <w:tc>
                <w:tcPr>
                  <w:tcW w:w="1123" w:type="pct"/>
                  <w:vMerge w:val="continue"/>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9" w:hRule="atLeast"/>
                <w:jc w:val="center"/>
              </w:trPr>
              <w:tc>
                <w:tcPr>
                  <w:tcW w:w="617" w:type="pct"/>
                  <w:vMerge w:val="restart"/>
                  <w:vAlign w:val="center"/>
                </w:tcPr>
                <w:p>
                  <w:pPr>
                    <w:pStyle w:val="68"/>
                    <w:spacing w:before="24" w:after="24"/>
                    <w:ind w:left="24" w:right="24"/>
                  </w:pPr>
                  <w:r>
                    <w:t>大气环境</w:t>
                  </w:r>
                </w:p>
              </w:tc>
              <w:tc>
                <w:tcPr>
                  <w:tcW w:w="838" w:type="pct"/>
                  <w:vMerge w:val="restart"/>
                  <w:vAlign w:val="center"/>
                </w:tcPr>
                <w:p>
                  <w:pPr>
                    <w:pStyle w:val="68"/>
                    <w:spacing w:before="24" w:after="24"/>
                    <w:ind w:left="24" w:right="24"/>
                  </w:pPr>
                  <w:r>
                    <w:rPr>
                      <w:rFonts w:hint="eastAsia"/>
                    </w:rPr>
                    <w:t>厂界外5</w:t>
                  </w:r>
                  <w:r>
                    <w:t>00</w:t>
                  </w:r>
                  <w:r>
                    <w:rPr>
                      <w:rFonts w:hint="eastAsia"/>
                    </w:rPr>
                    <w:t>米</w:t>
                  </w:r>
                </w:p>
              </w:tc>
              <w:tc>
                <w:tcPr>
                  <w:tcW w:w="1441" w:type="pct"/>
                  <w:vAlign w:val="center"/>
                </w:tcPr>
                <w:p>
                  <w:pPr>
                    <w:pStyle w:val="68"/>
                    <w:spacing w:before="24" w:after="24"/>
                    <w:ind w:left="24" w:right="24"/>
                  </w:pPr>
                  <w:r>
                    <w:rPr>
                      <w:rFonts w:hint="eastAsia"/>
                    </w:rPr>
                    <w:t>水城子村</w:t>
                  </w:r>
                </w:p>
              </w:tc>
              <w:tc>
                <w:tcPr>
                  <w:tcW w:w="364" w:type="pct"/>
                  <w:vAlign w:val="center"/>
                </w:tcPr>
                <w:p>
                  <w:pPr>
                    <w:pStyle w:val="68"/>
                    <w:spacing w:before="24" w:after="24"/>
                    <w:ind w:left="24" w:right="24"/>
                  </w:pPr>
                  <w:r>
                    <w:t>SW</w:t>
                  </w:r>
                </w:p>
              </w:tc>
              <w:tc>
                <w:tcPr>
                  <w:tcW w:w="618" w:type="pct"/>
                  <w:vAlign w:val="center"/>
                </w:tcPr>
                <w:p>
                  <w:pPr>
                    <w:pStyle w:val="68"/>
                    <w:spacing w:before="24" w:after="24"/>
                    <w:ind w:left="24" w:right="24"/>
                  </w:pPr>
                  <w:r>
                    <w:rPr>
                      <w:rFonts w:hint="eastAsia"/>
                    </w:rPr>
                    <w:t>3</w:t>
                  </w:r>
                  <w:r>
                    <w:t>03</w:t>
                  </w:r>
                </w:p>
              </w:tc>
              <w:tc>
                <w:tcPr>
                  <w:tcW w:w="1123" w:type="pct"/>
                  <w:vMerge w:val="restart"/>
                  <w:vAlign w:val="center"/>
                </w:tcPr>
                <w:p>
                  <w:pPr>
                    <w:pStyle w:val="68"/>
                    <w:spacing w:before="24" w:after="24"/>
                    <w:ind w:left="24" w:right="24"/>
                  </w:pPr>
                  <w:r>
                    <w:t>（GB3095-2012）二级标准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9" w:hRule="atLeast"/>
                <w:jc w:val="center"/>
              </w:trPr>
              <w:tc>
                <w:tcPr>
                  <w:tcW w:w="617" w:type="pct"/>
                  <w:vMerge w:val="continue"/>
                  <w:vAlign w:val="center"/>
                </w:tcPr>
                <w:p>
                  <w:pPr>
                    <w:pStyle w:val="68"/>
                    <w:spacing w:before="24" w:after="24"/>
                    <w:ind w:left="24" w:right="24"/>
                  </w:pPr>
                </w:p>
              </w:tc>
              <w:tc>
                <w:tcPr>
                  <w:tcW w:w="838" w:type="pct"/>
                  <w:vMerge w:val="continue"/>
                  <w:vAlign w:val="center"/>
                </w:tcPr>
                <w:p>
                  <w:pPr>
                    <w:pStyle w:val="68"/>
                    <w:spacing w:before="24" w:after="24"/>
                    <w:ind w:left="24" w:right="24"/>
                  </w:pPr>
                </w:p>
              </w:tc>
              <w:tc>
                <w:tcPr>
                  <w:tcW w:w="1441" w:type="pct"/>
                  <w:vAlign w:val="center"/>
                </w:tcPr>
                <w:p>
                  <w:pPr>
                    <w:pStyle w:val="68"/>
                    <w:spacing w:before="24" w:after="24"/>
                    <w:ind w:left="24" w:right="24"/>
                  </w:pPr>
                  <w:r>
                    <w:rPr>
                      <w:rFonts w:hint="eastAsia"/>
                    </w:rPr>
                    <w:t>水门口村</w:t>
                  </w:r>
                </w:p>
              </w:tc>
              <w:tc>
                <w:tcPr>
                  <w:tcW w:w="364" w:type="pct"/>
                  <w:vAlign w:val="center"/>
                </w:tcPr>
                <w:p>
                  <w:pPr>
                    <w:pStyle w:val="68"/>
                    <w:spacing w:before="24" w:after="24"/>
                    <w:ind w:left="24" w:right="24"/>
                  </w:pPr>
                  <w:r>
                    <w:t>SSE</w:t>
                  </w:r>
                </w:p>
              </w:tc>
              <w:tc>
                <w:tcPr>
                  <w:tcW w:w="618" w:type="pct"/>
                  <w:vAlign w:val="center"/>
                </w:tcPr>
                <w:p>
                  <w:pPr>
                    <w:pStyle w:val="68"/>
                    <w:spacing w:before="24" w:after="24"/>
                    <w:ind w:left="24" w:right="24"/>
                  </w:pPr>
                  <w:r>
                    <w:rPr>
                      <w:rFonts w:hint="eastAsia"/>
                    </w:rPr>
                    <w:t>4</w:t>
                  </w:r>
                  <w:r>
                    <w:t>81</w:t>
                  </w:r>
                </w:p>
              </w:tc>
              <w:tc>
                <w:tcPr>
                  <w:tcW w:w="1123" w:type="pct"/>
                  <w:vMerge w:val="continue"/>
                  <w:vAlign w:val="center"/>
                </w:tcPr>
                <w:p>
                  <w:pPr>
                    <w:pStyle w:val="68"/>
                    <w:spacing w:before="24" w:after="24"/>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617" w:type="pct"/>
                  <w:vAlign w:val="center"/>
                </w:tcPr>
                <w:p>
                  <w:pPr>
                    <w:pStyle w:val="68"/>
                    <w:spacing w:before="24" w:after="24"/>
                    <w:ind w:left="24" w:right="24"/>
                  </w:pPr>
                  <w:r>
                    <w:rPr>
                      <w:rFonts w:hint="eastAsia"/>
                    </w:rPr>
                    <w:t>声环境</w:t>
                  </w:r>
                </w:p>
              </w:tc>
              <w:tc>
                <w:tcPr>
                  <w:tcW w:w="838" w:type="pct"/>
                  <w:vAlign w:val="center"/>
                </w:tcPr>
                <w:p>
                  <w:pPr>
                    <w:pStyle w:val="68"/>
                    <w:spacing w:before="24" w:after="24"/>
                    <w:ind w:left="24" w:right="24"/>
                  </w:pPr>
                  <w:r>
                    <w:rPr>
                      <w:rFonts w:hint="eastAsia"/>
                    </w:rPr>
                    <w:t>厂界外5</w:t>
                  </w:r>
                  <w:r>
                    <w:t>0</w:t>
                  </w:r>
                  <w:r>
                    <w:rPr>
                      <w:rFonts w:hint="eastAsia"/>
                    </w:rPr>
                    <w:t>米</w:t>
                  </w:r>
                </w:p>
              </w:tc>
              <w:tc>
                <w:tcPr>
                  <w:tcW w:w="1441" w:type="pct"/>
                  <w:vAlign w:val="center"/>
                </w:tcPr>
                <w:p>
                  <w:pPr>
                    <w:pStyle w:val="68"/>
                    <w:spacing w:before="24" w:after="24"/>
                    <w:ind w:left="24" w:right="24"/>
                  </w:pPr>
                  <w:r>
                    <w:rPr>
                      <w:rFonts w:hint="eastAsia"/>
                    </w:rPr>
                    <w:t>无</w:t>
                  </w:r>
                </w:p>
              </w:tc>
              <w:tc>
                <w:tcPr>
                  <w:tcW w:w="364" w:type="pct"/>
                  <w:vAlign w:val="center"/>
                </w:tcPr>
                <w:p>
                  <w:pPr>
                    <w:pStyle w:val="68"/>
                    <w:spacing w:before="24" w:after="24"/>
                    <w:ind w:left="24" w:right="24"/>
                  </w:pPr>
                  <w:r>
                    <w:rPr>
                      <w:rFonts w:hint="eastAsia"/>
                    </w:rPr>
                    <w:t>/</w:t>
                  </w:r>
                </w:p>
              </w:tc>
              <w:tc>
                <w:tcPr>
                  <w:tcW w:w="618" w:type="pct"/>
                  <w:vAlign w:val="center"/>
                </w:tcPr>
                <w:p>
                  <w:pPr>
                    <w:pStyle w:val="68"/>
                    <w:spacing w:before="24" w:after="24"/>
                    <w:ind w:left="24" w:right="24"/>
                  </w:pPr>
                  <w:r>
                    <w:rPr>
                      <w:rFonts w:hint="eastAsia"/>
                    </w:rPr>
                    <w:t>/</w:t>
                  </w:r>
                </w:p>
              </w:tc>
              <w:tc>
                <w:tcPr>
                  <w:tcW w:w="1123" w:type="pct"/>
                  <w:vAlign w:val="center"/>
                </w:tcPr>
                <w:p>
                  <w:pPr>
                    <w:pStyle w:val="68"/>
                    <w:spacing w:before="24" w:after="24"/>
                    <w:ind w:left="24" w:right="24"/>
                  </w:pPr>
                  <w:r>
                    <w:t>（GB 3096-2008）</w:t>
                  </w:r>
                  <w:r>
                    <w:rPr>
                      <w:rFonts w:hint="eastAsia"/>
                    </w:rPr>
                    <w:t>2</w:t>
                  </w:r>
                  <w:r>
                    <w:t>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617" w:type="pct"/>
                  <w:vAlign w:val="center"/>
                </w:tcPr>
                <w:p>
                  <w:pPr>
                    <w:pStyle w:val="68"/>
                    <w:spacing w:before="24" w:after="24"/>
                    <w:ind w:left="24" w:right="24"/>
                  </w:pPr>
                  <w:r>
                    <w:rPr>
                      <w:rFonts w:hint="eastAsia"/>
                    </w:rPr>
                    <w:t>地表水</w:t>
                  </w:r>
                </w:p>
              </w:tc>
              <w:tc>
                <w:tcPr>
                  <w:tcW w:w="838" w:type="pct"/>
                  <w:vAlign w:val="center"/>
                </w:tcPr>
                <w:p>
                  <w:pPr>
                    <w:pStyle w:val="68"/>
                    <w:spacing w:before="24" w:after="24"/>
                    <w:ind w:left="24" w:right="24"/>
                  </w:pPr>
                  <w:r>
                    <w:rPr>
                      <w:rFonts w:hint="eastAsia"/>
                    </w:rPr>
                    <w:t>项目区域</w:t>
                  </w:r>
                </w:p>
              </w:tc>
              <w:tc>
                <w:tcPr>
                  <w:tcW w:w="1441" w:type="pct"/>
                  <w:vAlign w:val="center"/>
                </w:tcPr>
                <w:p>
                  <w:pPr>
                    <w:pStyle w:val="68"/>
                    <w:spacing w:before="24" w:after="24"/>
                    <w:ind w:left="24" w:right="24"/>
                  </w:pPr>
                  <w:r>
                    <w:rPr>
                      <w:rFonts w:hint="eastAsia"/>
                    </w:rPr>
                    <w:t>新薛河</w:t>
                  </w:r>
                </w:p>
              </w:tc>
              <w:tc>
                <w:tcPr>
                  <w:tcW w:w="364" w:type="pct"/>
                  <w:vAlign w:val="center"/>
                </w:tcPr>
                <w:p>
                  <w:pPr>
                    <w:pStyle w:val="68"/>
                    <w:spacing w:before="24" w:after="24"/>
                    <w:ind w:left="24" w:right="24"/>
                  </w:pPr>
                  <w:r>
                    <w:t>WNW</w:t>
                  </w:r>
                </w:p>
              </w:tc>
              <w:tc>
                <w:tcPr>
                  <w:tcW w:w="618" w:type="pct"/>
                  <w:vAlign w:val="center"/>
                </w:tcPr>
                <w:p>
                  <w:pPr>
                    <w:pStyle w:val="68"/>
                    <w:spacing w:before="24" w:after="24"/>
                    <w:ind w:left="24" w:right="24"/>
                  </w:pPr>
                  <w:r>
                    <w:rPr>
                      <w:rFonts w:ascii="宋体" w:hAnsi="宋体"/>
                    </w:rPr>
                    <w:t>1410</w:t>
                  </w:r>
                </w:p>
              </w:tc>
              <w:tc>
                <w:tcPr>
                  <w:tcW w:w="1123" w:type="pct"/>
                  <w:vAlign w:val="center"/>
                </w:tcPr>
                <w:p>
                  <w:pPr>
                    <w:pStyle w:val="68"/>
                    <w:spacing w:before="24" w:after="24"/>
                    <w:ind w:left="24" w:right="24"/>
                  </w:pPr>
                  <w:r>
                    <w:t>（GB3838-2002）</w:t>
                  </w:r>
                  <w:r>
                    <w:rPr>
                      <w:rFonts w:hint="eastAsia"/>
                    </w:rPr>
                    <w:t>Ⅲ类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617" w:type="pct"/>
                  <w:vAlign w:val="center"/>
                </w:tcPr>
                <w:p>
                  <w:pPr>
                    <w:pStyle w:val="68"/>
                    <w:spacing w:before="24" w:after="24"/>
                    <w:ind w:left="24" w:right="24"/>
                  </w:pPr>
                  <w:r>
                    <w:rPr>
                      <w:rFonts w:hint="eastAsia"/>
                    </w:rPr>
                    <w:t>地下水环境</w:t>
                  </w:r>
                </w:p>
              </w:tc>
              <w:tc>
                <w:tcPr>
                  <w:tcW w:w="838" w:type="pct"/>
                  <w:vAlign w:val="center"/>
                </w:tcPr>
                <w:p>
                  <w:pPr>
                    <w:pStyle w:val="68"/>
                    <w:spacing w:before="24" w:after="24"/>
                    <w:ind w:left="24" w:right="24"/>
                  </w:pPr>
                  <w:r>
                    <w:rPr>
                      <w:rFonts w:hint="eastAsia"/>
                    </w:rPr>
                    <w:t>厂界外5</w:t>
                  </w:r>
                  <w:r>
                    <w:t>00</w:t>
                  </w:r>
                  <w:r>
                    <w:rPr>
                      <w:rFonts w:hint="eastAsia"/>
                    </w:rPr>
                    <w:t>米</w:t>
                  </w:r>
                </w:p>
              </w:tc>
              <w:tc>
                <w:tcPr>
                  <w:tcW w:w="1441" w:type="pct"/>
                  <w:vAlign w:val="center"/>
                </w:tcPr>
                <w:p>
                  <w:pPr>
                    <w:pStyle w:val="68"/>
                    <w:spacing w:before="24" w:after="24"/>
                    <w:ind w:left="24" w:right="24"/>
                  </w:pPr>
                  <w:r>
                    <w:rPr>
                      <w:rFonts w:hint="eastAsia"/>
                    </w:rPr>
                    <w:t>无地下水集中式饮用水水源和热水、矿泉水、温泉等特殊地下水资源。</w:t>
                  </w:r>
                </w:p>
              </w:tc>
              <w:tc>
                <w:tcPr>
                  <w:tcW w:w="364" w:type="pct"/>
                  <w:vAlign w:val="center"/>
                </w:tcPr>
                <w:p>
                  <w:pPr>
                    <w:pStyle w:val="68"/>
                    <w:spacing w:before="24" w:after="24"/>
                    <w:ind w:left="24" w:right="24"/>
                  </w:pPr>
                  <w:r>
                    <w:rPr>
                      <w:rFonts w:hint="eastAsia"/>
                    </w:rPr>
                    <w:t>/</w:t>
                  </w:r>
                </w:p>
              </w:tc>
              <w:tc>
                <w:tcPr>
                  <w:tcW w:w="618" w:type="pct"/>
                  <w:vAlign w:val="center"/>
                </w:tcPr>
                <w:p>
                  <w:pPr>
                    <w:pStyle w:val="68"/>
                    <w:spacing w:before="24" w:after="24"/>
                    <w:ind w:left="24" w:right="24"/>
                  </w:pPr>
                  <w:r>
                    <w:rPr>
                      <w:rFonts w:hint="eastAsia"/>
                    </w:rPr>
                    <w:t>/</w:t>
                  </w:r>
                </w:p>
              </w:tc>
              <w:tc>
                <w:tcPr>
                  <w:tcW w:w="1123" w:type="pct"/>
                  <w:vAlign w:val="center"/>
                </w:tcPr>
                <w:p>
                  <w:pPr>
                    <w:pStyle w:val="68"/>
                    <w:spacing w:before="24" w:after="24"/>
                    <w:ind w:left="24" w:right="24"/>
                  </w:pPr>
                  <w: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617" w:type="pct"/>
                  <w:vAlign w:val="center"/>
                </w:tcPr>
                <w:p>
                  <w:pPr>
                    <w:pStyle w:val="68"/>
                    <w:spacing w:before="24" w:after="24"/>
                    <w:ind w:left="24" w:right="24"/>
                  </w:pPr>
                  <w:r>
                    <w:rPr>
                      <w:rFonts w:hint="eastAsia"/>
                    </w:rPr>
                    <w:t>生态环境</w:t>
                  </w:r>
                </w:p>
              </w:tc>
              <w:tc>
                <w:tcPr>
                  <w:tcW w:w="838" w:type="pct"/>
                  <w:vAlign w:val="center"/>
                </w:tcPr>
                <w:p>
                  <w:pPr>
                    <w:pStyle w:val="68"/>
                    <w:spacing w:before="24" w:after="24"/>
                    <w:ind w:left="24" w:right="24"/>
                  </w:pPr>
                  <w:r>
                    <w:rPr>
                      <w:rFonts w:hint="eastAsia"/>
                    </w:rPr>
                    <w:t>项目用地范围</w:t>
                  </w:r>
                </w:p>
              </w:tc>
              <w:tc>
                <w:tcPr>
                  <w:tcW w:w="3545" w:type="pct"/>
                  <w:gridSpan w:val="4"/>
                  <w:vAlign w:val="center"/>
                </w:tcPr>
                <w:p>
                  <w:pPr>
                    <w:pStyle w:val="68"/>
                    <w:spacing w:before="24" w:after="24"/>
                    <w:ind w:left="24" w:right="24"/>
                  </w:pPr>
                  <w:r>
                    <w:rPr>
                      <w:rFonts w:hint="eastAsia"/>
                    </w:rPr>
                    <w:t>本项目用地范围内不涉及生态环境保护目标</w:t>
                  </w:r>
                </w:p>
              </w:tc>
            </w:tr>
          </w:tbl>
          <w:p>
            <w:pPr>
              <w:pStyle w:val="69"/>
              <w:ind w:left="48" w:right="48"/>
              <w:rPr>
                <w:color w:val="FFFFFF" w:themeColor="background1"/>
                <w:lang w:eastAsia="zh-CN"/>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4" w:type="pct"/>
            <w:vAlign w:val="center"/>
          </w:tcPr>
          <w:p>
            <w:pPr>
              <w:pStyle w:val="64"/>
              <w:rPr>
                <w:color w:val="4472C4" w:themeColor="accent1"/>
                <w:sz w:val="24"/>
                <w14:textFill>
                  <w14:solidFill>
                    <w14:schemeClr w14:val="accent1"/>
                  </w14:solidFill>
                </w14:textFill>
              </w:rPr>
            </w:pPr>
            <w:r>
              <w:rPr>
                <w:rFonts w:hint="eastAsia"/>
                <w:color w:val="000000" w:themeColor="text1"/>
                <w:sz w:val="24"/>
                <w14:textFill>
                  <w14:solidFill>
                    <w14:schemeClr w14:val="tx1"/>
                  </w14:solidFill>
                </w14:textFill>
              </w:rPr>
              <w:t>污染物排放控制标准</w:t>
            </w:r>
          </w:p>
        </w:tc>
        <w:tc>
          <w:tcPr>
            <w:tcW w:w="4776" w:type="pct"/>
          </w:tcPr>
          <w:p>
            <w:pPr>
              <w:adjustRightInd w:val="0"/>
              <w:snapToGrid w:val="0"/>
              <w:spacing w:line="312" w:lineRule="auto"/>
              <w:ind w:firstLine="436" w:firstLineChars="182"/>
              <w:rPr>
                <w:color w:val="000000"/>
                <w:szCs w:val="28"/>
              </w:rPr>
            </w:pPr>
            <w:r>
              <w:rPr>
                <w:rFonts w:hint="eastAsia"/>
                <w:color w:val="000000"/>
                <w:szCs w:val="28"/>
              </w:rPr>
              <w:t>1、废气</w:t>
            </w:r>
          </w:p>
          <w:p>
            <w:pPr>
              <w:pStyle w:val="69"/>
              <w:ind w:left="48" w:right="48"/>
              <w:jc w:val="both"/>
              <w:rPr>
                <w:lang w:eastAsia="zh-CN"/>
              </w:rPr>
            </w:pPr>
            <w:r>
              <w:rPr>
                <w:rFonts w:hint="eastAsia"/>
                <w:lang w:eastAsia="zh-CN"/>
              </w:rPr>
              <w:t>颗粒物有组织排放执行《建材工业大气污染物排放标准》（</w:t>
            </w:r>
            <w:r>
              <w:rPr>
                <w:lang w:eastAsia="zh-CN"/>
              </w:rPr>
              <w:t>DB37/2373-2018</w:t>
            </w:r>
            <w:r>
              <w:rPr>
                <w:rFonts w:hint="eastAsia"/>
                <w:lang w:eastAsia="zh-CN"/>
              </w:rPr>
              <w:t>）表2重点控制区排放限值</w:t>
            </w:r>
            <w:r>
              <w:rPr>
                <w:lang w:eastAsia="zh-CN"/>
              </w:rPr>
              <w:t>(</w:t>
            </w:r>
            <w:r>
              <w:rPr>
                <w:rFonts w:hint="eastAsia"/>
                <w:lang w:eastAsia="zh-CN"/>
              </w:rPr>
              <w:t>颗粒物≦1</w:t>
            </w:r>
            <w:r>
              <w:rPr>
                <w:lang w:eastAsia="zh-CN"/>
              </w:rPr>
              <w:t>0mg/m</w:t>
            </w:r>
            <w:r>
              <w:rPr>
                <w:vertAlign w:val="superscript"/>
                <w:lang w:eastAsia="zh-CN"/>
              </w:rPr>
              <w:t>3</w:t>
            </w:r>
            <w:r>
              <w:rPr>
                <w:lang w:eastAsia="zh-CN"/>
              </w:rPr>
              <w:t>）</w:t>
            </w:r>
            <w:r>
              <w:rPr>
                <w:rFonts w:hint="eastAsia"/>
                <w:lang w:eastAsia="zh-CN"/>
              </w:rPr>
              <w:t>；无组织排放执行《建材工业大气污染物排放标准》（</w:t>
            </w:r>
            <w:r>
              <w:rPr>
                <w:lang w:eastAsia="zh-CN"/>
              </w:rPr>
              <w:t>DB37/2373-2018</w:t>
            </w:r>
            <w:r>
              <w:rPr>
                <w:rFonts w:hint="eastAsia"/>
                <w:lang w:eastAsia="zh-CN"/>
              </w:rPr>
              <w:t>）表</w:t>
            </w:r>
            <w:r>
              <w:rPr>
                <w:lang w:eastAsia="zh-CN"/>
              </w:rPr>
              <w:t xml:space="preserve">3 </w:t>
            </w:r>
            <w:r>
              <w:rPr>
                <w:rFonts w:hint="eastAsia"/>
                <w:lang w:eastAsia="zh-CN"/>
              </w:rPr>
              <w:t>无组织排放限值</w:t>
            </w:r>
            <w:r>
              <w:rPr>
                <w:lang w:eastAsia="zh-CN"/>
              </w:rPr>
              <w:t>(</w:t>
            </w:r>
            <w:r>
              <w:rPr>
                <w:rFonts w:hint="eastAsia"/>
                <w:lang w:eastAsia="zh-CN"/>
              </w:rPr>
              <w:t>颗粒物≦1</w:t>
            </w:r>
            <w:r>
              <w:rPr>
                <w:lang w:eastAsia="zh-CN"/>
              </w:rPr>
              <w:t>.0mg/m</w:t>
            </w:r>
            <w:r>
              <w:rPr>
                <w:vertAlign w:val="superscript"/>
                <w:lang w:eastAsia="zh-CN"/>
              </w:rPr>
              <w:t>3</w:t>
            </w:r>
            <w:r>
              <w:rPr>
                <w:lang w:eastAsia="zh-CN"/>
              </w:rPr>
              <w:t>）</w:t>
            </w:r>
            <w:r>
              <w:rPr>
                <w:rFonts w:hint="eastAsia"/>
                <w:lang w:eastAsia="zh-CN"/>
              </w:rPr>
              <w:t>。</w:t>
            </w:r>
          </w:p>
          <w:p>
            <w:pPr>
              <w:pStyle w:val="70"/>
              <w:spacing w:before="120"/>
              <w:rPr>
                <w:szCs w:val="28"/>
                <w:lang w:eastAsia="zh-CN"/>
              </w:rPr>
            </w:pPr>
            <w:r>
              <w:rPr>
                <w:rFonts w:hint="eastAsia"/>
                <w:szCs w:val="28"/>
                <w:lang w:eastAsia="zh-CN"/>
              </w:rPr>
              <w:t>表</w:t>
            </w:r>
            <w:r>
              <w:rPr>
                <w:szCs w:val="28"/>
              </w:rPr>
              <w:fldChar w:fldCharType="begin"/>
            </w:r>
            <w:r>
              <w:rPr>
                <w:szCs w:val="28"/>
                <w:lang w:eastAsia="zh-CN"/>
              </w:rPr>
              <w:instrText xml:space="preserve"> SEQ </w:instrText>
            </w:r>
            <w:r>
              <w:rPr>
                <w:rFonts w:hint="eastAsia"/>
                <w:szCs w:val="28"/>
                <w:lang w:eastAsia="zh-CN"/>
              </w:rPr>
              <w:instrText xml:space="preserve">表格</w:instrText>
            </w:r>
            <w:r>
              <w:rPr>
                <w:szCs w:val="28"/>
                <w:lang w:eastAsia="zh-CN"/>
              </w:rPr>
              <w:instrText xml:space="preserve"> \* ARABIC </w:instrText>
            </w:r>
            <w:r>
              <w:rPr>
                <w:szCs w:val="28"/>
              </w:rPr>
              <w:fldChar w:fldCharType="separate"/>
            </w:r>
            <w:r>
              <w:rPr>
                <w:szCs w:val="28"/>
                <w:lang w:eastAsia="zh-CN"/>
              </w:rPr>
              <w:t>18</w:t>
            </w:r>
            <w:r>
              <w:rPr>
                <w:szCs w:val="28"/>
              </w:rPr>
              <w:fldChar w:fldCharType="end"/>
            </w:r>
            <w:r>
              <w:rPr>
                <w:szCs w:val="28"/>
                <w:lang w:eastAsia="zh-CN"/>
              </w:rPr>
              <w:t xml:space="preserve"> 大气污染物</w:t>
            </w:r>
            <w:r>
              <w:rPr>
                <w:rFonts w:hint="eastAsia"/>
                <w:szCs w:val="28"/>
                <w:lang w:eastAsia="zh-CN"/>
              </w:rPr>
              <w:t>排放标准一览表</w:t>
            </w:r>
          </w:p>
          <w:tbl>
            <w:tblPr>
              <w:tblStyle w:val="7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32"/>
              <w:gridCol w:w="883"/>
              <w:gridCol w:w="883"/>
              <w:gridCol w:w="996"/>
              <w:gridCol w:w="50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vMerge w:val="restart"/>
                  <w:tcBorders>
                    <w:top w:val="single" w:color="auto" w:sz="4" w:space="0"/>
                    <w:left w:val="nil"/>
                    <w:bottom w:val="single" w:color="auto" w:sz="4" w:space="0"/>
                    <w:right w:val="single" w:color="auto" w:sz="4" w:space="0"/>
                    <w:insideH w:val="single" w:sz="4" w:space="0"/>
                    <w:insideV w:val="single" w:sz="4" w:space="0"/>
                    <w:tl2br w:val="nil"/>
                    <w:tr2bl w:val="nil"/>
                  </w:tcBorders>
                  <w:shd w:val="clear" w:color="auto" w:fill="auto"/>
                  <w:vAlign w:val="center"/>
                </w:tcPr>
                <w:p>
                  <w:pPr>
                    <w:pStyle w:val="68"/>
                    <w:spacing w:before="24" w:after="24" w:line="245" w:lineRule="auto"/>
                    <w:ind w:left="24" w:right="24"/>
                  </w:pPr>
                  <w:r>
                    <w:rPr>
                      <w:rFonts w:hint="eastAsia"/>
                    </w:rPr>
                    <w:t>排放源</w:t>
                  </w:r>
                </w:p>
              </w:tc>
              <w:tc>
                <w:tcPr>
                  <w:tcW w:w="491" w:type="pct"/>
                  <w:vMerge w:val="restar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68"/>
                    <w:spacing w:before="24" w:after="24" w:line="245" w:lineRule="auto"/>
                    <w:ind w:left="24" w:right="24"/>
                  </w:pPr>
                  <w:r>
                    <w:t>污染物</w:t>
                  </w:r>
                </w:p>
              </w:tc>
              <w:tc>
                <w:tcPr>
                  <w:tcW w:w="1045" w:type="pct"/>
                  <w:gridSpan w:val="2"/>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68"/>
                    <w:spacing w:before="24" w:after="24" w:line="245" w:lineRule="auto"/>
                    <w:ind w:left="24" w:right="24"/>
                  </w:pPr>
                  <w:r>
                    <w:t>排放限值</w:t>
                  </w:r>
                </w:p>
                <w:p>
                  <w:pPr>
                    <w:pStyle w:val="68"/>
                    <w:spacing w:before="24" w:after="24" w:line="245" w:lineRule="auto"/>
                    <w:ind w:left="24" w:right="24"/>
                  </w:pPr>
                  <w:r>
                    <w:rPr>
                      <w:rFonts w:hint="eastAsia"/>
                    </w:rPr>
                    <w:t>(速率、浓度)</w:t>
                  </w:r>
                </w:p>
              </w:tc>
              <w:tc>
                <w:tcPr>
                  <w:tcW w:w="2834" w:type="pct"/>
                  <w:vMerge w:val="restart"/>
                  <w:tcBorders>
                    <w:top w:val="single" w:color="auto" w:sz="4" w:space="0"/>
                    <w:bottom w:val="single" w:color="auto" w:sz="4" w:space="0"/>
                    <w:right w:val="nil"/>
                    <w:insideH w:val="single" w:sz="4" w:space="0"/>
                    <w:insideV w:val="single" w:sz="4" w:space="0"/>
                    <w:tl2br w:val="nil"/>
                    <w:tr2bl w:val="nil"/>
                  </w:tcBorders>
                  <w:shd w:val="clear" w:color="auto" w:fill="auto"/>
                  <w:vAlign w:val="center"/>
                </w:tcPr>
                <w:p>
                  <w:pPr>
                    <w:pStyle w:val="68"/>
                    <w:spacing w:before="24" w:after="24" w:line="245" w:lineRule="auto"/>
                    <w:ind w:left="24" w:right="24"/>
                  </w:pPr>
                  <w: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vMerge w:val="continue"/>
                  <w:shd w:val="clear" w:color="auto" w:fill="auto"/>
                  <w:vAlign w:val="center"/>
                </w:tcPr>
                <w:p>
                  <w:pPr>
                    <w:pStyle w:val="68"/>
                    <w:spacing w:before="24" w:after="24" w:line="245" w:lineRule="auto"/>
                    <w:ind w:left="24" w:right="24"/>
                  </w:pPr>
                </w:p>
              </w:tc>
              <w:tc>
                <w:tcPr>
                  <w:tcW w:w="491" w:type="pct"/>
                  <w:vMerge w:val="continue"/>
                  <w:shd w:val="clear" w:color="auto" w:fill="auto"/>
                  <w:vAlign w:val="center"/>
                </w:tcPr>
                <w:p>
                  <w:pPr>
                    <w:pStyle w:val="68"/>
                    <w:spacing w:before="24" w:after="24" w:line="245" w:lineRule="auto"/>
                    <w:ind w:left="24" w:right="24"/>
                  </w:pPr>
                </w:p>
              </w:tc>
              <w:tc>
                <w:tcPr>
                  <w:tcW w:w="491" w:type="pct"/>
                  <w:shd w:val="clear" w:color="auto" w:fill="auto"/>
                  <w:vAlign w:val="center"/>
                </w:tcPr>
                <w:p>
                  <w:pPr>
                    <w:pStyle w:val="68"/>
                    <w:spacing w:before="24" w:after="24" w:line="245" w:lineRule="auto"/>
                    <w:ind w:left="24" w:right="24"/>
                  </w:pPr>
                  <w:r>
                    <w:t>kg/h</w:t>
                  </w:r>
                </w:p>
              </w:tc>
              <w:tc>
                <w:tcPr>
                  <w:tcW w:w="554" w:type="pct"/>
                  <w:shd w:val="clear" w:color="auto" w:fill="auto"/>
                  <w:vAlign w:val="center"/>
                </w:tcPr>
                <w:p>
                  <w:pPr>
                    <w:pStyle w:val="68"/>
                    <w:spacing w:before="24" w:after="24" w:line="245" w:lineRule="auto"/>
                    <w:ind w:left="24" w:right="24"/>
                  </w:pPr>
                  <w:r>
                    <w:rPr>
                      <w:rFonts w:hint="eastAsia"/>
                    </w:rPr>
                    <w:t>(</w:t>
                  </w:r>
                  <w:r>
                    <w:t>mg/m</w:t>
                  </w:r>
                  <w:r>
                    <w:rPr>
                      <w:vertAlign w:val="superscript"/>
                    </w:rPr>
                    <w:t>3</w:t>
                  </w:r>
                  <w:r>
                    <w:t>)</w:t>
                  </w:r>
                </w:p>
              </w:tc>
              <w:tc>
                <w:tcPr>
                  <w:tcW w:w="2834" w:type="pct"/>
                  <w:vMerge w:val="continue"/>
                  <w:shd w:val="clear" w:color="auto" w:fill="auto"/>
                  <w:vAlign w:val="center"/>
                </w:tcPr>
                <w:p>
                  <w:pPr>
                    <w:pStyle w:val="68"/>
                    <w:spacing w:before="24" w:after="24" w:line="245" w:lineRule="auto"/>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shd w:val="clear" w:color="auto" w:fill="auto"/>
                  <w:vAlign w:val="center"/>
                </w:tcPr>
                <w:p>
                  <w:pPr>
                    <w:pStyle w:val="68"/>
                    <w:spacing w:before="24" w:after="24" w:line="245" w:lineRule="auto"/>
                    <w:ind w:left="24" w:right="24"/>
                  </w:pPr>
                  <w:r>
                    <w:rPr>
                      <w:rFonts w:hint="eastAsia"/>
                    </w:rPr>
                    <w:t>D</w:t>
                  </w:r>
                  <w:r>
                    <w:t>A001</w:t>
                  </w:r>
                </w:p>
              </w:tc>
              <w:tc>
                <w:tcPr>
                  <w:tcW w:w="491" w:type="pct"/>
                  <w:shd w:val="clear" w:color="auto" w:fill="auto"/>
                  <w:vAlign w:val="center"/>
                </w:tcPr>
                <w:p>
                  <w:pPr>
                    <w:pStyle w:val="68"/>
                    <w:spacing w:before="24" w:after="24" w:line="245" w:lineRule="auto"/>
                    <w:ind w:left="24" w:right="24"/>
                  </w:pPr>
                  <w:r>
                    <w:rPr>
                      <w:rFonts w:hint="eastAsia"/>
                    </w:rPr>
                    <w:t>颗粒物</w:t>
                  </w:r>
                </w:p>
              </w:tc>
              <w:tc>
                <w:tcPr>
                  <w:tcW w:w="491" w:type="pct"/>
                  <w:shd w:val="clear" w:color="auto" w:fill="auto"/>
                  <w:vAlign w:val="center"/>
                </w:tcPr>
                <w:p>
                  <w:pPr>
                    <w:pStyle w:val="68"/>
                    <w:spacing w:before="24" w:after="24" w:line="245" w:lineRule="auto"/>
                    <w:ind w:left="24" w:right="24"/>
                  </w:pPr>
                  <w:r>
                    <w:rPr>
                      <w:rFonts w:hint="eastAsia"/>
                    </w:rPr>
                    <w:t>/</w:t>
                  </w:r>
                </w:p>
              </w:tc>
              <w:tc>
                <w:tcPr>
                  <w:tcW w:w="554" w:type="pct"/>
                  <w:shd w:val="clear" w:color="auto" w:fill="auto"/>
                  <w:vAlign w:val="center"/>
                </w:tcPr>
                <w:p>
                  <w:pPr>
                    <w:pStyle w:val="68"/>
                    <w:spacing w:before="24" w:after="24" w:line="245" w:lineRule="auto"/>
                    <w:ind w:left="24" w:right="24"/>
                  </w:pPr>
                  <w:r>
                    <w:t>10</w:t>
                  </w:r>
                </w:p>
              </w:tc>
              <w:tc>
                <w:tcPr>
                  <w:tcW w:w="2834" w:type="pct"/>
                  <w:shd w:val="clear" w:color="auto" w:fill="auto"/>
                  <w:vAlign w:val="center"/>
                </w:tcPr>
                <w:p>
                  <w:pPr>
                    <w:pStyle w:val="68"/>
                    <w:spacing w:before="24" w:after="24" w:line="245" w:lineRule="auto"/>
                    <w:ind w:left="24" w:right="24"/>
                    <w:jc w:val="both"/>
                  </w:pPr>
                  <w:r>
                    <w:rPr>
                      <w:rFonts w:hint="eastAsia"/>
                    </w:rPr>
                    <w:t>《建材工业大气污染物排放标准》（</w:t>
                  </w:r>
                  <w:r>
                    <w:t>DB37/2373-2018</w:t>
                  </w:r>
                  <w:r>
                    <w:rPr>
                      <w:rFonts w:hint="eastAsia"/>
                    </w:rPr>
                    <w:t>）表2排放限值。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shd w:val="clear" w:color="auto" w:fill="auto"/>
                  <w:vAlign w:val="center"/>
                </w:tcPr>
                <w:p>
                  <w:pPr>
                    <w:pStyle w:val="68"/>
                    <w:spacing w:before="24" w:after="24" w:line="245" w:lineRule="auto"/>
                    <w:ind w:left="24" w:right="24"/>
                  </w:pPr>
                  <w:r>
                    <w:rPr>
                      <w:rFonts w:hint="eastAsia"/>
                    </w:rPr>
                    <w:t>厂界</w:t>
                  </w:r>
                </w:p>
              </w:tc>
              <w:tc>
                <w:tcPr>
                  <w:tcW w:w="491" w:type="pct"/>
                  <w:shd w:val="clear" w:color="auto" w:fill="auto"/>
                  <w:vAlign w:val="center"/>
                </w:tcPr>
                <w:p>
                  <w:pPr>
                    <w:pStyle w:val="68"/>
                    <w:spacing w:before="24" w:after="24" w:line="245" w:lineRule="auto"/>
                    <w:ind w:left="24" w:right="24"/>
                  </w:pPr>
                  <w:r>
                    <w:rPr>
                      <w:rFonts w:hint="eastAsia"/>
                    </w:rPr>
                    <w:t>颗粒物</w:t>
                  </w:r>
                </w:p>
              </w:tc>
              <w:tc>
                <w:tcPr>
                  <w:tcW w:w="491" w:type="pct"/>
                  <w:shd w:val="clear" w:color="auto" w:fill="auto"/>
                  <w:vAlign w:val="center"/>
                </w:tcPr>
                <w:p>
                  <w:pPr>
                    <w:pStyle w:val="68"/>
                    <w:spacing w:before="24" w:after="24" w:line="245" w:lineRule="auto"/>
                    <w:ind w:left="24" w:right="24"/>
                  </w:pPr>
                  <w:r>
                    <w:rPr>
                      <w:rFonts w:hint="eastAsia"/>
                    </w:rPr>
                    <w:t>/</w:t>
                  </w:r>
                </w:p>
              </w:tc>
              <w:tc>
                <w:tcPr>
                  <w:tcW w:w="554" w:type="pct"/>
                  <w:shd w:val="clear" w:color="auto" w:fill="auto"/>
                  <w:vAlign w:val="center"/>
                </w:tcPr>
                <w:p>
                  <w:pPr>
                    <w:pStyle w:val="68"/>
                    <w:spacing w:before="24" w:after="24" w:line="245" w:lineRule="auto"/>
                    <w:ind w:left="24" w:right="24"/>
                  </w:pPr>
                  <w:r>
                    <w:t>1.0</w:t>
                  </w:r>
                </w:p>
              </w:tc>
              <w:tc>
                <w:tcPr>
                  <w:tcW w:w="2834" w:type="pct"/>
                  <w:shd w:val="clear" w:color="auto" w:fill="auto"/>
                  <w:vAlign w:val="center"/>
                </w:tcPr>
                <w:p>
                  <w:pPr>
                    <w:pStyle w:val="68"/>
                    <w:spacing w:before="24" w:after="24" w:line="245" w:lineRule="auto"/>
                    <w:ind w:left="24" w:right="24"/>
                    <w:jc w:val="both"/>
                  </w:pPr>
                  <w:r>
                    <w:rPr>
                      <w:rFonts w:hint="eastAsia"/>
                    </w:rPr>
                    <w:t>《建材工业大气污染物排放标准》（</w:t>
                  </w:r>
                  <w:r>
                    <w:t>DB37/2373-2018</w:t>
                  </w:r>
                  <w:r>
                    <w:rPr>
                      <w:rFonts w:hint="eastAsia"/>
                    </w:rPr>
                    <w:t>）表</w:t>
                  </w:r>
                  <w:r>
                    <w:t>3</w:t>
                  </w:r>
                  <w:r>
                    <w:rPr>
                      <w:rFonts w:hint="eastAsia"/>
                    </w:rPr>
                    <w:t>无组织排放限值。</w:t>
                  </w:r>
                </w:p>
              </w:tc>
            </w:tr>
          </w:tbl>
          <w:p>
            <w:pPr>
              <w:pStyle w:val="69"/>
              <w:ind w:left="48" w:right="48"/>
              <w:rPr>
                <w:szCs w:val="28"/>
                <w:lang w:eastAsia="zh-CN"/>
              </w:rPr>
            </w:pPr>
            <w:r>
              <w:rPr>
                <w:szCs w:val="28"/>
                <w:lang w:eastAsia="zh-CN"/>
              </w:rPr>
              <w:t>2</w:t>
            </w:r>
            <w:r>
              <w:rPr>
                <w:rFonts w:hint="eastAsia"/>
                <w:szCs w:val="28"/>
                <w:lang w:eastAsia="zh-CN"/>
              </w:rPr>
              <w:t>、噪声</w:t>
            </w:r>
          </w:p>
          <w:p>
            <w:pPr>
              <w:pStyle w:val="69"/>
              <w:ind w:left="48" w:right="48"/>
              <w:rPr>
                <w:lang w:eastAsia="zh-CN"/>
              </w:rPr>
            </w:pPr>
            <w:r>
              <w:rPr>
                <w:rFonts w:hint="eastAsia"/>
                <w:lang w:eastAsia="zh-CN"/>
              </w:rPr>
              <w:t>施工期噪声执行《建筑施工场界环境噪声排放标准》（</w:t>
            </w:r>
            <w:r>
              <w:rPr>
                <w:lang w:eastAsia="zh-CN"/>
              </w:rPr>
              <w:t>GB12523-2011</w:t>
            </w:r>
            <w:r>
              <w:rPr>
                <w:rFonts w:hint="eastAsia"/>
                <w:lang w:eastAsia="zh-CN"/>
              </w:rPr>
              <w:t>）中标准要求；营运</w:t>
            </w:r>
            <w:r>
              <w:rPr>
                <w:lang w:eastAsia="zh-CN"/>
              </w:rPr>
              <w:t>期噪声排放执行《工业企业厂界环境噪声排放标准》（GB12348-2008）中的</w:t>
            </w:r>
            <w:r>
              <w:rPr>
                <w:rFonts w:hint="eastAsia"/>
                <w:lang w:eastAsia="zh-CN"/>
              </w:rPr>
              <w:t>2</w:t>
            </w:r>
            <w:r>
              <w:rPr>
                <w:lang w:eastAsia="zh-CN"/>
              </w:rPr>
              <w:t>类标准</w:t>
            </w:r>
            <w:r>
              <w:rPr>
                <w:rFonts w:hint="eastAsia"/>
                <w:lang w:eastAsia="zh-CN"/>
              </w:rPr>
              <w:t>。</w:t>
            </w:r>
          </w:p>
          <w:p>
            <w:pPr>
              <w:jc w:val="center"/>
              <w:rPr>
                <w:bCs/>
              </w:rPr>
            </w:pPr>
            <w:r>
              <w:rPr>
                <w:bCs/>
              </w:rPr>
              <w:t>表</w:t>
            </w:r>
            <w:r>
              <w:rPr>
                <w:rFonts w:hAnsi="Courier New"/>
                <w:bCs/>
              </w:rPr>
              <w:fldChar w:fldCharType="begin"/>
            </w:r>
            <w:r>
              <w:rPr>
                <w:rFonts w:hAnsi="Courier New"/>
                <w:bCs/>
              </w:rPr>
              <w:instrText xml:space="preserve"> SEQ </w:instrText>
            </w:r>
            <w:r>
              <w:rPr>
                <w:rFonts w:hint="eastAsia" w:hAnsi="Courier New"/>
                <w:bCs/>
              </w:rPr>
              <w:instrText xml:space="preserve">表格</w:instrText>
            </w:r>
            <w:r>
              <w:rPr>
                <w:rFonts w:hAnsi="Courier New"/>
                <w:bCs/>
              </w:rPr>
              <w:instrText xml:space="preserve"> \* ARABIC </w:instrText>
            </w:r>
            <w:r>
              <w:rPr>
                <w:rFonts w:hAnsi="Courier New"/>
                <w:bCs/>
              </w:rPr>
              <w:fldChar w:fldCharType="separate"/>
            </w:r>
            <w:r>
              <w:rPr>
                <w:rFonts w:hAnsi="Courier New"/>
                <w:bCs/>
              </w:rPr>
              <w:t>19</w:t>
            </w:r>
            <w:r>
              <w:rPr>
                <w:rFonts w:hAnsi="Courier New"/>
                <w:bCs/>
              </w:rPr>
              <w:fldChar w:fldCharType="end"/>
            </w:r>
            <w:r>
              <w:rPr>
                <w:rFonts w:hAnsi="Courier New"/>
                <w:bCs/>
              </w:rPr>
              <w:t xml:space="preserve"> </w:t>
            </w:r>
            <w:r>
              <w:rPr>
                <w:rFonts w:hint="eastAsia" w:hAnsi="Courier New"/>
                <w:bCs/>
              </w:rPr>
              <w:t>项期</w:t>
            </w:r>
            <w:r>
              <w:rPr>
                <w:bCs/>
              </w:rPr>
              <w:t>厂界环境噪声排放标准</w:t>
            </w:r>
          </w:p>
          <w:tbl>
            <w:tblPr>
              <w:tblStyle w:val="79"/>
              <w:tblW w:w="5000" w:type="pct"/>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shd w:val="clear" w:color="auto" w:fill="FFFFFF" w:themeFill="background1"/>
              <w:tblLayout w:type="autofit"/>
              <w:tblCellMar>
                <w:top w:w="0" w:type="dxa"/>
                <w:left w:w="28" w:type="dxa"/>
                <w:bottom w:w="0" w:type="dxa"/>
                <w:right w:w="28" w:type="dxa"/>
              </w:tblCellMar>
            </w:tblPr>
            <w:tblGrid>
              <w:gridCol w:w="1563"/>
              <w:gridCol w:w="3120"/>
              <w:gridCol w:w="806"/>
              <w:gridCol w:w="1428"/>
              <w:gridCol w:w="915"/>
              <w:gridCol w:w="1158"/>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shd w:val="clear" w:color="auto" w:fill="FFFFFF" w:themeFill="background1"/>
                <w:tblCellMar>
                  <w:top w:w="0" w:type="dxa"/>
                  <w:left w:w="28" w:type="dxa"/>
                  <w:bottom w:w="0" w:type="dxa"/>
                  <w:right w:w="28" w:type="dxa"/>
                </w:tblCellMar>
              </w:tblPrEx>
              <w:trPr>
                <w:trHeight w:val="229" w:hRule="atLeast"/>
              </w:trPr>
              <w:tc>
                <w:tcPr>
                  <w:tcW w:w="870" w:type="pct"/>
                  <w:vMerge w:val="restart"/>
                  <w:tcBorders>
                    <w:top w:val="single" w:color="auto" w:sz="2" w:space="0"/>
                    <w:left w:val="nil"/>
                    <w:bottom w:val="single" w:color="auto" w:sz="2" w:space="0"/>
                    <w:right w:val="single" w:color="auto" w:sz="2" w:space="0"/>
                    <w:insideH w:val="single" w:sz="2" w:space="0"/>
                    <w:insideV w:val="single" w:sz="2" w:space="0"/>
                    <w:tl2br w:val="nil"/>
                    <w:tr2bl w:val="nil"/>
                  </w:tcBorders>
                  <w:shd w:val="clear" w:color="auto" w:fill="FFFFFF" w:themeFill="background1"/>
                  <w:vAlign w:val="center"/>
                </w:tcPr>
                <w:p>
                  <w:pPr>
                    <w:pStyle w:val="68"/>
                    <w:wordWrap/>
                    <w:spacing w:before="24" w:after="24" w:line="245" w:lineRule="auto"/>
                    <w:ind w:left="24" w:right="24"/>
                  </w:pPr>
                  <w:r>
                    <w:rPr>
                      <w:rFonts w:hint="eastAsia"/>
                    </w:rPr>
                    <w:t>类别</w:t>
                  </w:r>
                </w:p>
              </w:tc>
              <w:tc>
                <w:tcPr>
                  <w:tcW w:w="1735" w:type="pct"/>
                  <w:vMerge w:val="restart"/>
                  <w:tcBorders>
                    <w:top w:val="single" w:color="auto" w:sz="2" w:space="0"/>
                    <w:bottom w:val="single" w:color="auto" w:sz="2" w:space="0"/>
                    <w:right w:val="single" w:color="auto" w:sz="2" w:space="0"/>
                    <w:insideH w:val="single" w:sz="2" w:space="0"/>
                    <w:insideV w:val="single" w:sz="2" w:space="0"/>
                    <w:tl2br w:val="nil"/>
                    <w:tr2bl w:val="nil"/>
                  </w:tcBorders>
                  <w:shd w:val="clear" w:color="auto" w:fill="FFFFFF" w:themeFill="background1"/>
                  <w:vAlign w:val="center"/>
                </w:tcPr>
                <w:p>
                  <w:pPr>
                    <w:pStyle w:val="68"/>
                    <w:wordWrap/>
                    <w:spacing w:before="24" w:after="24" w:line="245" w:lineRule="auto"/>
                    <w:ind w:left="24" w:right="24"/>
                  </w:pPr>
                  <w:r>
                    <w:t>标准名称</w:t>
                  </w:r>
                </w:p>
              </w:tc>
              <w:tc>
                <w:tcPr>
                  <w:tcW w:w="448" w:type="pct"/>
                  <w:vMerge w:val="restart"/>
                  <w:tcBorders>
                    <w:top w:val="single" w:color="auto" w:sz="2" w:space="0"/>
                    <w:bottom w:val="single" w:color="auto" w:sz="2" w:space="0"/>
                    <w:right w:val="single" w:color="auto" w:sz="2" w:space="0"/>
                    <w:insideH w:val="single" w:sz="2" w:space="0"/>
                    <w:insideV w:val="single" w:sz="2" w:space="0"/>
                    <w:tl2br w:val="nil"/>
                    <w:tr2bl w:val="nil"/>
                  </w:tcBorders>
                  <w:shd w:val="clear" w:color="auto" w:fill="FFFFFF" w:themeFill="background1"/>
                  <w:vAlign w:val="center"/>
                </w:tcPr>
                <w:p>
                  <w:pPr>
                    <w:pStyle w:val="68"/>
                    <w:wordWrap/>
                    <w:spacing w:before="24" w:after="24" w:line="245" w:lineRule="auto"/>
                    <w:ind w:left="24" w:right="24"/>
                  </w:pPr>
                  <w:r>
                    <w:rPr>
                      <w:rFonts w:hint="eastAsia"/>
                    </w:rPr>
                    <w:t>级别</w:t>
                  </w:r>
                </w:p>
              </w:tc>
              <w:tc>
                <w:tcPr>
                  <w:tcW w:w="794" w:type="pct"/>
                  <w:vMerge w:val="restart"/>
                  <w:tcBorders>
                    <w:top w:val="single" w:color="auto" w:sz="2" w:space="0"/>
                    <w:bottom w:val="single" w:color="auto" w:sz="2" w:space="0"/>
                    <w:right w:val="single" w:color="auto" w:sz="2" w:space="0"/>
                    <w:insideH w:val="single" w:sz="2" w:space="0"/>
                    <w:insideV w:val="single" w:sz="2" w:space="0"/>
                    <w:tl2br w:val="nil"/>
                    <w:tr2bl w:val="nil"/>
                  </w:tcBorders>
                  <w:shd w:val="clear" w:color="auto" w:fill="FFFFFF" w:themeFill="background1"/>
                  <w:vAlign w:val="center"/>
                </w:tcPr>
                <w:p>
                  <w:pPr>
                    <w:pStyle w:val="68"/>
                    <w:wordWrap/>
                    <w:spacing w:before="24" w:after="24" w:line="245" w:lineRule="auto"/>
                    <w:ind w:left="24" w:right="24"/>
                  </w:pPr>
                  <w:r>
                    <w:t>评价</w:t>
                  </w:r>
                  <w:r>
                    <w:rPr>
                      <w:rFonts w:hint="eastAsia"/>
                    </w:rPr>
                    <w:t>因子</w:t>
                  </w:r>
                </w:p>
              </w:tc>
              <w:tc>
                <w:tcPr>
                  <w:tcW w:w="1153" w:type="pct"/>
                  <w:gridSpan w:val="2"/>
                  <w:tcBorders>
                    <w:top w:val="single" w:color="auto" w:sz="2" w:space="0"/>
                    <w:bottom w:val="single" w:color="auto" w:sz="2" w:space="0"/>
                    <w:right w:val="nil"/>
                    <w:insideH w:val="single" w:sz="2" w:space="0"/>
                    <w:insideV w:val="single" w:sz="2" w:space="0"/>
                    <w:tl2br w:val="nil"/>
                    <w:tr2bl w:val="nil"/>
                  </w:tcBorders>
                  <w:shd w:val="clear" w:color="auto" w:fill="FFFFFF" w:themeFill="background1"/>
                  <w:vAlign w:val="center"/>
                </w:tcPr>
                <w:p>
                  <w:pPr>
                    <w:pStyle w:val="68"/>
                    <w:wordWrap/>
                    <w:spacing w:before="24" w:after="24" w:line="245" w:lineRule="auto"/>
                    <w:ind w:left="24" w:right="24"/>
                  </w:pPr>
                  <w:r>
                    <w:t>标准值</w:t>
                  </w:r>
                  <w:r>
                    <w:rPr>
                      <w:rFonts w:hint="eastAsia"/>
                    </w:rPr>
                    <w:t>[</w:t>
                  </w:r>
                  <w:r>
                    <w:t>dB(A)]</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18" w:hRule="atLeast"/>
              </w:trPr>
              <w:tc>
                <w:tcPr>
                  <w:tcW w:w="870" w:type="pct"/>
                  <w:vMerge w:val="continue"/>
                  <w:shd w:val="clear" w:color="auto" w:fill="FFFFFF" w:themeFill="background1"/>
                  <w:vAlign w:val="center"/>
                </w:tcPr>
                <w:p>
                  <w:pPr>
                    <w:pStyle w:val="68"/>
                    <w:spacing w:before="24" w:after="24"/>
                    <w:ind w:left="24" w:right="24"/>
                  </w:pPr>
                </w:p>
              </w:tc>
              <w:tc>
                <w:tcPr>
                  <w:tcW w:w="1735" w:type="pct"/>
                  <w:vMerge w:val="continue"/>
                  <w:shd w:val="clear" w:color="auto" w:fill="FFFFFF" w:themeFill="background1"/>
                  <w:vAlign w:val="center"/>
                </w:tcPr>
                <w:p>
                  <w:pPr>
                    <w:pStyle w:val="68"/>
                    <w:spacing w:before="24" w:after="24"/>
                    <w:ind w:left="24" w:right="24"/>
                  </w:pPr>
                </w:p>
              </w:tc>
              <w:tc>
                <w:tcPr>
                  <w:tcW w:w="448" w:type="pct"/>
                  <w:vMerge w:val="continue"/>
                  <w:shd w:val="clear" w:color="auto" w:fill="FFFFFF" w:themeFill="background1"/>
                  <w:vAlign w:val="center"/>
                </w:tcPr>
                <w:p>
                  <w:pPr>
                    <w:pStyle w:val="68"/>
                    <w:spacing w:before="24" w:after="24"/>
                    <w:ind w:left="24" w:right="24"/>
                  </w:pPr>
                </w:p>
              </w:tc>
              <w:tc>
                <w:tcPr>
                  <w:tcW w:w="794" w:type="pct"/>
                  <w:vMerge w:val="continue"/>
                  <w:shd w:val="clear" w:color="auto" w:fill="FFFFFF" w:themeFill="background1"/>
                  <w:vAlign w:val="center"/>
                </w:tcPr>
                <w:p>
                  <w:pPr>
                    <w:pStyle w:val="68"/>
                    <w:spacing w:before="24" w:after="24"/>
                    <w:ind w:left="24" w:right="24"/>
                  </w:pPr>
                </w:p>
              </w:tc>
              <w:tc>
                <w:tcPr>
                  <w:tcW w:w="509" w:type="pct"/>
                  <w:shd w:val="clear" w:color="auto" w:fill="FFFFFF" w:themeFill="background1"/>
                  <w:vAlign w:val="center"/>
                </w:tcPr>
                <w:p>
                  <w:pPr>
                    <w:pStyle w:val="68"/>
                    <w:spacing w:before="24" w:after="24"/>
                    <w:ind w:left="24" w:right="24"/>
                  </w:pPr>
                  <w:r>
                    <w:rPr>
                      <w:rFonts w:hint="eastAsia"/>
                    </w:rPr>
                    <w:t>昼间</w:t>
                  </w:r>
                </w:p>
              </w:tc>
              <w:tc>
                <w:tcPr>
                  <w:tcW w:w="644" w:type="pct"/>
                  <w:shd w:val="clear" w:color="auto" w:fill="FFFFFF" w:themeFill="background1"/>
                  <w:vAlign w:val="center"/>
                </w:tcPr>
                <w:p>
                  <w:pPr>
                    <w:pStyle w:val="68"/>
                    <w:spacing w:before="24" w:after="24"/>
                    <w:ind w:left="24" w:right="24"/>
                  </w:pPr>
                  <w:r>
                    <w:t>夜间</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shd w:val="clear" w:color="auto" w:fill="FFFFFF" w:themeFill="background1"/>
                <w:tblCellMar>
                  <w:top w:w="0" w:type="dxa"/>
                  <w:left w:w="28" w:type="dxa"/>
                  <w:bottom w:w="0" w:type="dxa"/>
                  <w:right w:w="28" w:type="dxa"/>
                </w:tblCellMar>
              </w:tblPrEx>
              <w:trPr>
                <w:trHeight w:val="81" w:hRule="atLeast"/>
              </w:trPr>
              <w:tc>
                <w:tcPr>
                  <w:tcW w:w="870" w:type="pct"/>
                  <w:shd w:val="clear" w:color="auto" w:fill="FFFFFF" w:themeFill="background1"/>
                  <w:vAlign w:val="center"/>
                </w:tcPr>
                <w:p>
                  <w:pPr>
                    <w:pStyle w:val="68"/>
                    <w:spacing w:before="24" w:after="24"/>
                    <w:ind w:left="24" w:right="24"/>
                  </w:pPr>
                  <w:r>
                    <w:rPr>
                      <w:rFonts w:hint="eastAsia"/>
                    </w:rPr>
                    <w:t>营运期</w:t>
                  </w:r>
                </w:p>
              </w:tc>
              <w:tc>
                <w:tcPr>
                  <w:tcW w:w="1735" w:type="pct"/>
                  <w:shd w:val="clear" w:color="auto" w:fill="FFFFFF" w:themeFill="background1"/>
                  <w:vAlign w:val="center"/>
                </w:tcPr>
                <w:p>
                  <w:pPr>
                    <w:pStyle w:val="68"/>
                    <w:spacing w:before="24" w:after="24"/>
                    <w:ind w:left="24" w:right="24"/>
                  </w:pPr>
                  <w:r>
                    <w:t>《工业企业</w:t>
                  </w:r>
                  <w:r>
                    <w:rPr>
                      <w:rFonts w:hint="eastAsia"/>
                    </w:rPr>
                    <w:t>厂</w:t>
                  </w:r>
                  <w:r>
                    <w:t>界环境噪声排放标准》（GB12348-2008）</w:t>
                  </w:r>
                </w:p>
              </w:tc>
              <w:tc>
                <w:tcPr>
                  <w:tcW w:w="448" w:type="pct"/>
                  <w:shd w:val="clear" w:color="auto" w:fill="FFFFFF" w:themeFill="background1"/>
                  <w:vAlign w:val="center"/>
                </w:tcPr>
                <w:p>
                  <w:pPr>
                    <w:pStyle w:val="68"/>
                    <w:spacing w:before="24" w:after="24"/>
                    <w:ind w:left="24" w:right="24"/>
                  </w:pPr>
                  <w:r>
                    <w:t>2</w:t>
                  </w:r>
                </w:p>
              </w:tc>
              <w:tc>
                <w:tcPr>
                  <w:tcW w:w="794" w:type="pct"/>
                  <w:shd w:val="clear" w:color="auto" w:fill="FFFFFF" w:themeFill="background1"/>
                  <w:vAlign w:val="center"/>
                </w:tcPr>
                <w:p>
                  <w:pPr>
                    <w:pStyle w:val="68"/>
                    <w:spacing w:before="24" w:after="24"/>
                    <w:ind w:left="24" w:right="24"/>
                  </w:pPr>
                  <w:r>
                    <w:t>等效声级Leq[dB(A)]</w:t>
                  </w:r>
                </w:p>
              </w:tc>
              <w:tc>
                <w:tcPr>
                  <w:tcW w:w="509" w:type="pct"/>
                  <w:shd w:val="clear" w:color="auto" w:fill="FFFFFF" w:themeFill="background1"/>
                  <w:vAlign w:val="center"/>
                </w:tcPr>
                <w:p>
                  <w:pPr>
                    <w:pStyle w:val="68"/>
                    <w:spacing w:before="24" w:after="24"/>
                    <w:ind w:left="24" w:right="24"/>
                  </w:pPr>
                  <w:r>
                    <w:t>60</w:t>
                  </w:r>
                </w:p>
              </w:tc>
              <w:tc>
                <w:tcPr>
                  <w:tcW w:w="644" w:type="pct"/>
                  <w:shd w:val="clear" w:color="auto" w:fill="FFFFFF" w:themeFill="background1"/>
                  <w:vAlign w:val="center"/>
                </w:tcPr>
                <w:p>
                  <w:pPr>
                    <w:pStyle w:val="68"/>
                    <w:spacing w:before="24" w:after="24"/>
                    <w:ind w:left="24" w:right="24"/>
                  </w:pPr>
                  <w:r>
                    <w:t>50</w:t>
                  </w:r>
                  <w:r>
                    <w:rPr>
                      <w:rFonts w:hint="eastAsia"/>
                    </w:rPr>
                    <w:t xml:space="preserve"> </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shd w:val="clear" w:color="auto" w:fill="FFFFFF" w:themeFill="background1"/>
                <w:tblCellMar>
                  <w:top w:w="0" w:type="dxa"/>
                  <w:left w:w="28" w:type="dxa"/>
                  <w:bottom w:w="0" w:type="dxa"/>
                  <w:right w:w="28" w:type="dxa"/>
                </w:tblCellMar>
              </w:tblPrEx>
              <w:trPr>
                <w:trHeight w:val="81" w:hRule="atLeast"/>
              </w:trPr>
              <w:tc>
                <w:tcPr>
                  <w:tcW w:w="870" w:type="pct"/>
                  <w:shd w:val="clear" w:color="auto" w:fill="FFFFFF" w:themeFill="background1"/>
                  <w:vAlign w:val="center"/>
                </w:tcPr>
                <w:p>
                  <w:pPr>
                    <w:pStyle w:val="68"/>
                    <w:spacing w:before="24" w:after="24"/>
                    <w:ind w:left="24" w:right="24"/>
                  </w:pPr>
                  <w:r>
                    <w:rPr>
                      <w:rFonts w:hint="eastAsia"/>
                    </w:rPr>
                    <w:t>施工期</w:t>
                  </w:r>
                </w:p>
              </w:tc>
              <w:tc>
                <w:tcPr>
                  <w:tcW w:w="1735" w:type="pct"/>
                  <w:shd w:val="clear" w:color="auto" w:fill="FFFFFF" w:themeFill="background1"/>
                  <w:vAlign w:val="center"/>
                </w:tcPr>
                <w:p>
                  <w:pPr>
                    <w:pStyle w:val="68"/>
                    <w:spacing w:before="24" w:after="24"/>
                    <w:ind w:left="24" w:right="24"/>
                  </w:pPr>
                  <w:r>
                    <w:rPr>
                      <w:rFonts w:hint="eastAsia"/>
                    </w:rPr>
                    <w:t>《建筑施工场界环境噪声排放标准》（</w:t>
                  </w:r>
                  <w:r>
                    <w:t>GB12523-2011</w:t>
                  </w:r>
                  <w:r>
                    <w:rPr>
                      <w:rFonts w:hint="eastAsia"/>
                    </w:rPr>
                    <w:t>）</w:t>
                  </w:r>
                </w:p>
              </w:tc>
              <w:tc>
                <w:tcPr>
                  <w:tcW w:w="448" w:type="pct"/>
                  <w:shd w:val="clear" w:color="auto" w:fill="FFFFFF" w:themeFill="background1"/>
                  <w:vAlign w:val="center"/>
                </w:tcPr>
                <w:p>
                  <w:pPr>
                    <w:pStyle w:val="68"/>
                    <w:spacing w:before="24" w:after="24"/>
                    <w:ind w:left="24" w:right="24"/>
                  </w:pPr>
                  <w:r>
                    <w:rPr>
                      <w:rFonts w:hint="eastAsia"/>
                    </w:rPr>
                    <w:t>/</w:t>
                  </w:r>
                </w:p>
              </w:tc>
              <w:tc>
                <w:tcPr>
                  <w:tcW w:w="794" w:type="pct"/>
                  <w:shd w:val="clear" w:color="auto" w:fill="FFFFFF" w:themeFill="background1"/>
                  <w:vAlign w:val="center"/>
                </w:tcPr>
                <w:p>
                  <w:pPr>
                    <w:pStyle w:val="68"/>
                    <w:spacing w:before="24" w:after="24"/>
                    <w:ind w:left="24" w:right="24"/>
                  </w:pPr>
                  <w:r>
                    <w:t>等效声级Leq[dB(A)]</w:t>
                  </w:r>
                </w:p>
              </w:tc>
              <w:tc>
                <w:tcPr>
                  <w:tcW w:w="509" w:type="pct"/>
                  <w:shd w:val="clear" w:color="auto" w:fill="FFFFFF" w:themeFill="background1"/>
                  <w:vAlign w:val="center"/>
                </w:tcPr>
                <w:p>
                  <w:pPr>
                    <w:pStyle w:val="68"/>
                    <w:spacing w:before="24" w:after="24"/>
                    <w:ind w:left="24" w:right="24"/>
                  </w:pPr>
                  <w:r>
                    <w:rPr>
                      <w:rFonts w:hint="eastAsia"/>
                    </w:rPr>
                    <w:t>7</w:t>
                  </w:r>
                  <w:r>
                    <w:t>0</w:t>
                  </w:r>
                </w:p>
              </w:tc>
              <w:tc>
                <w:tcPr>
                  <w:tcW w:w="644" w:type="pct"/>
                  <w:shd w:val="clear" w:color="auto" w:fill="FFFFFF" w:themeFill="background1"/>
                  <w:vAlign w:val="center"/>
                </w:tcPr>
                <w:p>
                  <w:pPr>
                    <w:pStyle w:val="68"/>
                    <w:spacing w:before="24" w:after="24"/>
                    <w:ind w:left="24" w:right="24"/>
                  </w:pPr>
                  <w:r>
                    <w:rPr>
                      <w:rFonts w:hint="eastAsia"/>
                    </w:rPr>
                    <w:t>5</w:t>
                  </w:r>
                  <w:r>
                    <w:t>5</w:t>
                  </w:r>
                </w:p>
              </w:tc>
            </w:tr>
          </w:tbl>
          <w:p>
            <w:pPr>
              <w:pStyle w:val="78"/>
              <w:ind w:firstLine="480"/>
              <w:rPr>
                <w:szCs w:val="28"/>
              </w:rPr>
            </w:pPr>
            <w:r>
              <w:rPr>
                <w:szCs w:val="28"/>
              </w:rPr>
              <w:t>3</w:t>
            </w:r>
            <w:r>
              <w:rPr>
                <w:rFonts w:hint="eastAsia"/>
                <w:szCs w:val="28"/>
              </w:rPr>
              <w:t>、固废</w:t>
            </w:r>
          </w:p>
          <w:p>
            <w:pPr>
              <w:pStyle w:val="78"/>
              <w:ind w:firstLine="480"/>
              <w:rPr>
                <w:bCs/>
                <w:szCs w:val="28"/>
              </w:rPr>
            </w:pPr>
            <w:r>
              <w:rPr>
                <w:rFonts w:hint="eastAsia"/>
                <w:bCs/>
              </w:rPr>
              <w:t>固体废物严格执行《中华人民共和国固体废物污染环境防治法（2020年修订）》中固体废物相关环保要求。一般固体废物按照《一般工业固体废物贮存和填埋污染控制标准》（GB18599-2020）中相关要求规范建设和维护厂区内一般固体废物临时堆放场所，并做好防雨、防风、防渗、防漏等措施，制定好转移运输中污染防治</w:t>
            </w:r>
            <w:r>
              <w:rPr>
                <w:bCs/>
              </w:rPr>
              <w:t>；</w:t>
            </w:r>
            <w:r>
              <w:rPr>
                <w:rFonts w:hint="eastAsia"/>
                <w:bCs/>
              </w:rPr>
              <w:t>危险废物收集、贮存执行《危险废物贮存污染控制标准》（</w:t>
            </w:r>
            <w:r>
              <w:rPr>
                <w:bCs/>
              </w:rPr>
              <w:t>GB 18597-2023</w:t>
            </w:r>
            <w:r>
              <w:rPr>
                <w:rFonts w:hint="eastAsia"/>
                <w:bCs/>
              </w:rPr>
              <w:t>），转移按照《危险废物转移管理办法》（</w:t>
            </w:r>
            <w:r>
              <w:rPr>
                <w:bCs/>
              </w:rPr>
              <w:t>2022</w:t>
            </w:r>
            <w:r>
              <w:rPr>
                <w:rFonts w:hint="eastAsia"/>
                <w:bCs/>
              </w:rPr>
              <w:t>年</w:t>
            </w:r>
            <w:r>
              <w:rPr>
                <w:bCs/>
              </w:rPr>
              <w:t>1</w:t>
            </w:r>
            <w:r>
              <w:rPr>
                <w:rFonts w:hint="eastAsia"/>
                <w:bCs/>
              </w:rPr>
              <w:t>月</w:t>
            </w:r>
            <w:r>
              <w:rPr>
                <w:bCs/>
              </w:rPr>
              <w:t>1</w:t>
            </w:r>
            <w:r>
              <w:rPr>
                <w:rFonts w:hint="eastAsia"/>
                <w:bCs/>
              </w:rPr>
              <w:t>日）执行，按照《危险废物管理计划和管理台账制定技术导则》制定管理计划、规范台账记录，按照《危险废物识别标志设置技术规范》（H</w:t>
            </w:r>
            <w:r>
              <w:rPr>
                <w:bCs/>
              </w:rPr>
              <w:t>J1276-2022</w:t>
            </w:r>
            <w:r>
              <w:rPr>
                <w:rFonts w:hint="eastAsia"/>
                <w:bCs/>
              </w:rPr>
              <w:t>）规范危险废物标识</w:t>
            </w:r>
          </w:p>
          <w:p>
            <w:pPr>
              <w:pStyle w:val="78"/>
              <w:ind w:firstLine="480"/>
              <w:rPr>
                <w:rFonts w:ascii="宋体"/>
                <w:bCs/>
                <w:color w:val="000000"/>
                <w:szCs w:val="28"/>
              </w:rPr>
            </w:pPr>
            <w:r>
              <w:rPr>
                <w:rFonts w:hint="eastAsia" w:ascii="宋体"/>
                <w:bCs/>
                <w:color w:val="000000"/>
                <w:szCs w:val="28"/>
              </w:rPr>
              <w:t>4、废水</w:t>
            </w:r>
          </w:p>
          <w:p>
            <w:pPr>
              <w:pStyle w:val="63"/>
              <w:ind w:firstLine="480"/>
              <w:jc w:val="both"/>
            </w:pPr>
            <w:r>
              <w:rPr>
                <w:rFonts w:hint="eastAsia" w:hAnsi="宋体"/>
                <w:bCs/>
                <w:color w:val="000000"/>
              </w:rPr>
              <w:t>项目无废水外排。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4" w:type="pct"/>
            <w:vAlign w:val="center"/>
          </w:tcPr>
          <w:p>
            <w:pPr>
              <w:pStyle w:val="6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总量控制指标</w:t>
            </w:r>
          </w:p>
        </w:tc>
        <w:tc>
          <w:tcPr>
            <w:tcW w:w="4776" w:type="pct"/>
          </w:tcPr>
          <w:p>
            <w:pPr>
              <w:spacing w:line="360" w:lineRule="auto"/>
              <w:ind w:firstLine="482"/>
              <w:jc w:val="left"/>
              <w:rPr>
                <w:rFonts w:eastAsia="新宋体" w:cs="Times New Roman"/>
              </w:rPr>
            </w:pPr>
            <w:r>
              <w:rPr>
                <w:rFonts w:hint="eastAsia" w:eastAsia="新宋体" w:cs="Times New Roman"/>
              </w:rPr>
              <w:t>1、与排污许可制度的衔接</w:t>
            </w:r>
          </w:p>
          <w:p>
            <w:pPr>
              <w:spacing w:line="360" w:lineRule="auto"/>
              <w:ind w:firstLine="482"/>
              <w:jc w:val="left"/>
              <w:rPr>
                <w:rFonts w:eastAsia="新宋体" w:cs="Times New Roman"/>
              </w:rPr>
            </w:pPr>
            <w:r>
              <w:rPr>
                <w:rFonts w:hint="eastAsia" w:eastAsia="新宋体" w:cs="Times New Roman"/>
              </w:rPr>
              <w:t>根据《固定污染源排污许可分类管理名录》（2019年版），拟建项目属于“二十五、非金属矿物制品业30 中的63、水泥制品及类似制品制造302，水泥制品制造3021”，实行登记管理。</w:t>
            </w:r>
          </w:p>
          <w:p>
            <w:pPr>
              <w:spacing w:line="360" w:lineRule="auto"/>
              <w:ind w:firstLine="482"/>
              <w:jc w:val="left"/>
              <w:rPr>
                <w:rFonts w:eastAsia="新宋体" w:cs="Times New Roman"/>
              </w:rPr>
            </w:pPr>
            <w:bookmarkStart w:id="23" w:name="_Toc96705198"/>
            <w:r>
              <w:rPr>
                <w:rFonts w:hint="eastAsia" w:eastAsia="新宋体" w:cs="Times New Roman"/>
              </w:rPr>
              <w:t>2、总量控制对象</w:t>
            </w:r>
          </w:p>
          <w:p>
            <w:pPr>
              <w:pStyle w:val="69"/>
              <w:ind w:left="48" w:right="48"/>
              <w:rPr>
                <w:lang w:eastAsia="zh-CN"/>
              </w:rPr>
            </w:pPr>
            <w:r>
              <w:rPr>
                <w:rFonts w:hint="eastAsia"/>
                <w:lang w:eastAsia="zh-CN"/>
              </w:rPr>
              <w:t>拟建项目废水排放，不需要申请水污染物总量控制指标。本项目需要申请总量控制污染物主要为气污染物颗粒物。</w:t>
            </w:r>
          </w:p>
          <w:p>
            <w:pPr>
              <w:spacing w:line="360" w:lineRule="auto"/>
              <w:ind w:firstLine="482"/>
              <w:jc w:val="left"/>
              <w:rPr>
                <w:color w:val="000000" w:themeColor="text1"/>
                <w14:textFill>
                  <w14:solidFill>
                    <w14:schemeClr w14:val="tx1"/>
                  </w14:solidFill>
                </w14:textFill>
              </w:rPr>
            </w:pPr>
            <w:bookmarkStart w:id="24" w:name="_Toc96705200"/>
            <w:r>
              <w:rPr>
                <w:rFonts w:eastAsia="新宋体" w:cs="Times New Roman"/>
                <w:color w:val="000000" w:themeColor="text1"/>
                <w14:textFill>
                  <w14:solidFill>
                    <w14:schemeClr w14:val="tx1"/>
                  </w14:solidFill>
                </w14:textFill>
              </w:rPr>
              <w:t>3</w:t>
            </w:r>
            <w:r>
              <w:rPr>
                <w:rFonts w:hint="eastAsia" w:eastAsia="新宋体"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项目拟申请总量情况分析</w:t>
            </w:r>
          </w:p>
          <w:p>
            <w:pPr>
              <w:pStyle w:val="71"/>
              <w:spacing w:line="360" w:lineRule="auto"/>
              <w:ind w:firstLine="480" w:firstLineChars="200"/>
              <w:rPr>
                <w:rFonts w:ascii="Times New Roman" w:hAnsi="Times New Roman" w:cs="Times New Roman"/>
                <w:color w:val="auto"/>
              </w:rPr>
            </w:pPr>
            <w:r>
              <w:rPr>
                <w:rFonts w:ascii="Times New Roman" w:hAnsi="Times New Roman" w:cs="Times New Roman"/>
                <w:color w:val="auto"/>
              </w:rPr>
              <w:t>拟建项目建成后全厂涉及总量控制</w:t>
            </w:r>
            <w:r>
              <w:rPr>
                <w:rFonts w:hint="eastAsia" w:ascii="Times New Roman" w:hAnsi="Times New Roman" w:cs="Times New Roman"/>
                <w:color w:val="auto"/>
              </w:rPr>
              <w:t>气</w:t>
            </w:r>
            <w:r>
              <w:rPr>
                <w:rFonts w:ascii="Times New Roman" w:hAnsi="Times New Roman" w:cs="Times New Roman"/>
                <w:color w:val="auto"/>
              </w:rPr>
              <w:t>污染物有组织排放量颗粒物</w:t>
            </w:r>
            <w:r>
              <w:rPr>
                <w:rFonts w:hint="eastAsia" w:ascii="Times New Roman" w:hAnsi="Times New Roman" w:cs="Times New Roman"/>
                <w:color w:val="auto"/>
              </w:rPr>
              <w:t>0</w:t>
            </w:r>
            <w:r>
              <w:rPr>
                <w:rFonts w:ascii="Times New Roman" w:hAnsi="Times New Roman" w:cs="Times New Roman"/>
                <w:color w:val="auto"/>
              </w:rPr>
              <w:t>.905</w:t>
            </w:r>
            <w:r>
              <w:rPr>
                <w:rFonts w:hint="eastAsia" w:ascii="Times New Roman" w:hAnsi="Times New Roman" w:cs="Times New Roman"/>
                <w:color w:val="auto"/>
              </w:rPr>
              <w:t>t</w:t>
            </w:r>
            <w:r>
              <w:rPr>
                <w:rFonts w:ascii="Times New Roman" w:hAnsi="Times New Roman" w:cs="Times New Roman"/>
                <w:color w:val="auto"/>
              </w:rPr>
              <w:t>/a。项目为新建项目，需要申请污染物排放总量指标为：颗粒物</w:t>
            </w:r>
            <w:r>
              <w:rPr>
                <w:rFonts w:hint="eastAsia" w:ascii="Times New Roman" w:hAnsi="Times New Roman" w:cs="Times New Roman"/>
                <w:color w:val="auto"/>
              </w:rPr>
              <w:t>0</w:t>
            </w:r>
            <w:r>
              <w:rPr>
                <w:rFonts w:ascii="Times New Roman" w:hAnsi="Times New Roman" w:cs="Times New Roman"/>
                <w:color w:val="auto"/>
              </w:rPr>
              <w:t>.905t/a。根据《山东省生态环境厅关于印发山东省建设项目主要大气污染物排放总量替代指标核算及管理办法的通知》（鲁环发[2019]132 号），颗粒物排放总量指标应实行 2 倍削减替代。</w:t>
            </w:r>
            <w:bookmarkEnd w:id="23"/>
            <w:bookmarkEnd w:id="24"/>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ascii="Times New Roman" w:hAnsi="Times New Roman" w:cs="Times New Roman"/>
                <w:color w:val="auto"/>
              </w:rPr>
            </w:pPr>
          </w:p>
          <w:p>
            <w:pPr>
              <w:pStyle w:val="71"/>
              <w:spacing w:line="360" w:lineRule="auto"/>
              <w:ind w:firstLine="480" w:firstLineChars="200"/>
              <w:rPr>
                <w:rFonts w:hAnsi="Times New Roman"/>
              </w:rPr>
            </w:pPr>
          </w:p>
        </w:tc>
      </w:tr>
    </w:tbl>
    <w:p>
      <w:pPr>
        <w:pStyle w:val="69"/>
        <w:keepNext/>
        <w:spacing w:line="240" w:lineRule="auto"/>
        <w:ind w:left="48" w:right="48" w:firstLine="0"/>
        <w:outlineLvl w:val="0"/>
        <w:rPr>
          <w:b/>
          <w:bCs/>
          <w:sz w:val="28"/>
          <w:szCs w:val="28"/>
          <w:lang w:eastAsia="zh-CN"/>
        </w:rPr>
      </w:pPr>
      <w:r>
        <w:rPr>
          <w:rFonts w:hint="eastAsia"/>
          <w:b/>
          <w:bCs/>
          <w:sz w:val="28"/>
          <w:szCs w:val="28"/>
          <w:lang w:eastAsia="zh-CN"/>
        </w:rPr>
        <w:t>四、主要环境影响和保护措施</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pPr>
              <w:pStyle w:val="68"/>
              <w:spacing w:before="24" w:after="24"/>
            </w:pPr>
            <w:r>
              <w:rPr>
                <w:rFonts w:hint="eastAsia"/>
              </w:rPr>
              <w:t>施工</w:t>
            </w:r>
            <w:r>
              <w:t>期环境保护措施</w:t>
            </w:r>
          </w:p>
        </w:tc>
        <w:tc>
          <w:tcPr>
            <w:tcW w:w="4773" w:type="pct"/>
            <w:vAlign w:val="center"/>
          </w:tcPr>
          <w:p>
            <w:pPr>
              <w:pStyle w:val="69"/>
              <w:ind w:left="48" w:right="48"/>
              <w:rPr>
                <w:lang w:eastAsia="zh-CN"/>
              </w:rPr>
            </w:pPr>
            <w:r>
              <w:rPr>
                <w:rFonts w:hint="eastAsia"/>
                <w:lang w:eastAsia="zh-CN"/>
              </w:rPr>
              <w:t>本项目依托闲置厂房建设，无大的土建工程，施工期主要为设备的安装调试，施工期对周围环境的影响方面主要有：机械、交通噪声和施工车辆尾气、扬尘等。施工期采取的污染防治措施如下：</w:t>
            </w:r>
          </w:p>
          <w:p>
            <w:pPr>
              <w:pStyle w:val="69"/>
              <w:ind w:left="48" w:right="48"/>
              <w:rPr>
                <w:lang w:eastAsia="zh-CN"/>
              </w:rPr>
            </w:pPr>
            <w:r>
              <w:rPr>
                <w:lang w:eastAsia="zh-CN"/>
              </w:rPr>
              <w:t>1</w:t>
            </w:r>
            <w:r>
              <w:rPr>
                <w:rFonts w:hint="eastAsia"/>
                <w:lang w:eastAsia="zh-CN"/>
              </w:rPr>
              <w:t>、大气污染防治措施：（</w:t>
            </w:r>
            <w:r>
              <w:rPr>
                <w:lang w:eastAsia="zh-CN"/>
              </w:rPr>
              <w:t>1</w:t>
            </w:r>
            <w:r>
              <w:rPr>
                <w:rFonts w:hint="eastAsia"/>
                <w:lang w:eastAsia="zh-CN"/>
              </w:rPr>
              <w:t>）施工扬尘的控制：建设单位在施工过程中需严格按照山东省人民政府令第</w:t>
            </w:r>
            <w:r>
              <w:rPr>
                <w:lang w:eastAsia="zh-CN"/>
              </w:rPr>
              <w:t>248</w:t>
            </w:r>
            <w:r>
              <w:rPr>
                <w:rFonts w:hint="eastAsia"/>
                <w:lang w:eastAsia="zh-CN"/>
              </w:rPr>
              <w:t>号《山东省扬尘污染防治管理办法》（</w:t>
            </w:r>
            <w:r>
              <w:rPr>
                <w:lang w:eastAsia="zh-CN"/>
              </w:rPr>
              <w:t>2018</w:t>
            </w:r>
            <w:r>
              <w:rPr>
                <w:rFonts w:hint="eastAsia"/>
                <w:lang w:eastAsia="zh-CN"/>
              </w:rPr>
              <w:t>年</w:t>
            </w:r>
            <w:r>
              <w:rPr>
                <w:lang w:eastAsia="zh-CN"/>
              </w:rPr>
              <w:t>1</w:t>
            </w:r>
            <w:r>
              <w:rPr>
                <w:rFonts w:hint="eastAsia"/>
                <w:lang w:eastAsia="zh-CN"/>
              </w:rPr>
              <w:t>月山东省人民政府令第</w:t>
            </w:r>
            <w:r>
              <w:rPr>
                <w:lang w:eastAsia="zh-CN"/>
              </w:rPr>
              <w:t>311</w:t>
            </w:r>
            <w:r>
              <w:rPr>
                <w:rFonts w:hint="eastAsia"/>
                <w:lang w:eastAsia="zh-CN"/>
              </w:rPr>
              <w:t>号修订）和鲁环发</w:t>
            </w:r>
            <w:r>
              <w:rPr>
                <w:lang w:eastAsia="zh-CN"/>
              </w:rPr>
              <w:t>[2019]112</w:t>
            </w:r>
            <w:r>
              <w:rPr>
                <w:rFonts w:hint="eastAsia"/>
                <w:lang w:eastAsia="zh-CN"/>
              </w:rPr>
              <w:t>号文《山东省扬尘污染综合整治方案》要求采取有效措施，降低施工期扬尘对周围环境的影响，保证周围环境空气质量，降低对项目区周围环境敏感目标的影响。（</w:t>
            </w:r>
            <w:r>
              <w:rPr>
                <w:lang w:eastAsia="zh-CN"/>
              </w:rPr>
              <w:t>2</w:t>
            </w:r>
            <w:r>
              <w:rPr>
                <w:rFonts w:hint="eastAsia"/>
                <w:lang w:eastAsia="zh-CN"/>
              </w:rPr>
              <w:t>）非道路移动机械污染控制措施：施工中各种工程机械和运输车辆在燃汽油、柴油时排放的尾气主要污染物为</w:t>
            </w:r>
            <w:r>
              <w:rPr>
                <w:lang w:eastAsia="zh-CN"/>
              </w:rPr>
              <w:t>SO</w:t>
            </w:r>
            <w:r>
              <w:rPr>
                <w:vertAlign w:val="subscript"/>
                <w:lang w:eastAsia="zh-CN"/>
              </w:rPr>
              <w:t>2</w:t>
            </w:r>
            <w:r>
              <w:rPr>
                <w:rFonts w:hint="eastAsia"/>
                <w:lang w:eastAsia="zh-CN"/>
              </w:rPr>
              <w:t>、</w:t>
            </w:r>
            <w:r>
              <w:rPr>
                <w:lang w:eastAsia="zh-CN"/>
              </w:rPr>
              <w:t>NO</w:t>
            </w:r>
            <w:r>
              <w:rPr>
                <w:vertAlign w:val="subscript"/>
                <w:lang w:eastAsia="zh-CN"/>
              </w:rPr>
              <w:t>2</w:t>
            </w:r>
            <w:r>
              <w:rPr>
                <w:rFonts w:hint="eastAsia"/>
                <w:lang w:eastAsia="zh-CN"/>
              </w:rPr>
              <w:t>、</w:t>
            </w:r>
            <w:r>
              <w:rPr>
                <w:lang w:eastAsia="zh-CN"/>
              </w:rPr>
              <w:t>CO</w:t>
            </w:r>
            <w:r>
              <w:rPr>
                <w:rFonts w:hint="eastAsia"/>
                <w:lang w:eastAsia="zh-CN"/>
              </w:rPr>
              <w:t>和非甲烷总烃等。非道路移动机械应做到以下污染控制措施：①做好各类工程施工机械、场内运输车辆的环保信息自主申报备案登记工作，并对通过审核的非道路移动机械喷涂环保号码；②优先选用新能源工程机械车辆，杜绝不达标柴油车辆和排黑烟机械车辆作业。</w:t>
            </w:r>
          </w:p>
          <w:p>
            <w:pPr>
              <w:pStyle w:val="69"/>
              <w:ind w:left="48" w:right="48"/>
              <w:rPr>
                <w:lang w:eastAsia="zh-CN"/>
              </w:rPr>
            </w:pPr>
            <w:r>
              <w:rPr>
                <w:lang w:eastAsia="zh-CN"/>
              </w:rPr>
              <w:t>2</w:t>
            </w:r>
            <w:r>
              <w:rPr>
                <w:rFonts w:hint="eastAsia"/>
                <w:lang w:eastAsia="zh-CN"/>
              </w:rPr>
              <w:t>、水污染防治措施：施工期生活污水，依托厂区现有化粪池处理后定期清运。施工期间，各污水收集设施进行防渗处理，避免影响地下水。本项目施工期废水对地表水和地下水环境影响较小，且随着施工期的结束，污染情况随之结束。</w:t>
            </w:r>
          </w:p>
          <w:p>
            <w:pPr>
              <w:pStyle w:val="69"/>
              <w:ind w:left="48" w:right="48"/>
              <w:rPr>
                <w:lang w:eastAsia="zh-CN"/>
              </w:rPr>
            </w:pPr>
            <w:r>
              <w:rPr>
                <w:lang w:eastAsia="zh-CN"/>
              </w:rPr>
              <w:t>3</w:t>
            </w:r>
            <w:r>
              <w:rPr>
                <w:rFonts w:hint="eastAsia"/>
                <w:lang w:eastAsia="zh-CN"/>
              </w:rPr>
              <w:t>、固废污染防治措施：施工产生的建筑垃圾应进行分拣，对废木材、金属、玻璃、塑料等可以回收利用的部分应积极进行综合利用，对不能利用的建筑垃圾由环卫部门清运，严禁随意运输，随意倾倒；施工期施工人员生活垃圾定点存放，由环卫部门按时清运处理。</w:t>
            </w:r>
          </w:p>
          <w:p>
            <w:pPr>
              <w:pStyle w:val="69"/>
              <w:ind w:left="48" w:right="48"/>
              <w:rPr>
                <w:lang w:eastAsia="zh-CN"/>
              </w:rPr>
            </w:pPr>
            <w:r>
              <w:rPr>
                <w:lang w:eastAsia="zh-CN"/>
              </w:rPr>
              <w:t>4</w:t>
            </w:r>
            <w:r>
              <w:rPr>
                <w:rFonts w:hint="eastAsia"/>
                <w:lang w:eastAsia="zh-CN"/>
              </w:rPr>
              <w:t>、噪声污染防治措施：①加强施工管理，合理安排施工作业时间，不在夜间进行高噪声施工作业；②尽可能以液压工具代替气动工具；③在高噪声设备周围设置声波遮挡物；</w:t>
            </w:r>
          </w:p>
          <w:p>
            <w:pPr>
              <w:pStyle w:val="69"/>
              <w:ind w:left="48" w:right="48"/>
              <w:rPr>
                <w:lang w:eastAsia="zh-CN"/>
              </w:rPr>
            </w:pPr>
            <w:r>
              <w:rPr>
                <w:lang w:eastAsia="zh-CN"/>
              </w:rPr>
              <w:t>5</w:t>
            </w:r>
            <w:r>
              <w:rPr>
                <w:rFonts w:hint="eastAsia"/>
                <w:lang w:eastAsia="zh-CN"/>
              </w:rPr>
              <w:t>、生态环境影响分析</w:t>
            </w:r>
            <w:r>
              <w:rPr>
                <w:lang w:eastAsia="zh-CN"/>
              </w:rPr>
              <w:t xml:space="preserve"> </w:t>
            </w:r>
          </w:p>
          <w:p>
            <w:pPr>
              <w:pStyle w:val="69"/>
              <w:ind w:left="48" w:right="48"/>
              <w:rPr>
                <w:lang w:eastAsia="zh-CN"/>
              </w:rPr>
            </w:pPr>
            <w:r>
              <w:rPr>
                <w:rFonts w:hint="eastAsia"/>
                <w:lang w:eastAsia="zh-CN"/>
              </w:rPr>
              <w:t>本项目依托闲置厂房建设，无大的土建工程。厂区内道路均已硬化，施工期间不会造成水土流失，亦不会破坏周围绿化植被等，本项目施工期对生态环境的影响较小。</w:t>
            </w:r>
          </w:p>
        </w:tc>
      </w:tr>
    </w:tbl>
    <w:p>
      <w:pPr>
        <w:pStyle w:val="69"/>
        <w:ind w:left="48" w:right="48"/>
        <w:rPr>
          <w:lang w:eastAsia="zh-CN"/>
        </w:rPr>
      </w:pPr>
    </w:p>
    <w:p>
      <w:pPr>
        <w:sectPr>
          <w:pgSz w:w="11906" w:h="16838"/>
          <w:pgMar w:top="1418" w:right="1247" w:bottom="1418" w:left="1247" w:header="851" w:footer="680" w:gutter="0"/>
          <w:cols w:space="425" w:num="1"/>
          <w:docGrid w:linePitch="326" w:charSpace="0"/>
        </w:sectPr>
      </w:pPr>
    </w:p>
    <w:tbl>
      <w:tblPr>
        <w:tblStyle w:val="3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2"/>
        <w:gridCol w:w="1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 w:type="pct"/>
            <w:vAlign w:val="center"/>
          </w:tcPr>
          <w:p>
            <w:pPr>
              <w:spacing w:before="240" w:after="48" w:line="245" w:lineRule="auto"/>
              <w:jc w:val="center"/>
              <w:rPr>
                <w:color w:val="4472C4" w:themeColor="accent1"/>
                <w:sz w:val="21"/>
                <w:szCs w:val="21"/>
                <w14:textFill>
                  <w14:solidFill>
                    <w14:schemeClr w14:val="accent1"/>
                  </w14:solidFill>
                </w14:textFill>
              </w:rPr>
            </w:pPr>
            <w:r>
              <w:rPr>
                <w:color w:val="000000" w:themeColor="text1"/>
                <w:sz w:val="21"/>
                <w:szCs w:val="21"/>
                <w14:textFill>
                  <w14:solidFill>
                    <w14:schemeClr w14:val="tx1"/>
                  </w14:solidFill>
                </w14:textFill>
              </w:rPr>
              <w:t>运营期环境影响</w:t>
            </w:r>
            <w:r>
              <w:rPr>
                <w:rFonts w:hint="eastAsia"/>
                <w:color w:val="000000" w:themeColor="text1"/>
                <w:sz w:val="21"/>
                <w:szCs w:val="21"/>
                <w14:textFill>
                  <w14:solidFill>
                    <w14:schemeClr w14:val="tx1"/>
                  </w14:solidFill>
                </w14:textFill>
              </w:rPr>
              <w:t>和</w:t>
            </w:r>
            <w:r>
              <w:rPr>
                <w:color w:val="000000" w:themeColor="text1"/>
                <w:sz w:val="21"/>
                <w:szCs w:val="21"/>
                <w14:textFill>
                  <w14:solidFill>
                    <w14:schemeClr w14:val="tx1"/>
                  </w14:solidFill>
                </w14:textFill>
              </w:rPr>
              <w:t>保护措施</w:t>
            </w:r>
          </w:p>
        </w:tc>
        <w:tc>
          <w:tcPr>
            <w:tcW w:w="4853" w:type="pct"/>
          </w:tcPr>
          <w:p>
            <w:pPr>
              <w:spacing w:line="360" w:lineRule="auto"/>
              <w:ind w:firstLine="482"/>
              <w:rPr>
                <w:b/>
                <w:bCs/>
              </w:rPr>
            </w:pPr>
            <w:r>
              <w:rPr>
                <w:rFonts w:hint="eastAsia"/>
                <w:b/>
                <w:bCs/>
              </w:rPr>
              <w:t>一、废气</w:t>
            </w:r>
          </w:p>
          <w:p>
            <w:pPr>
              <w:spacing w:line="360" w:lineRule="auto"/>
              <w:ind w:firstLine="482"/>
              <w:rPr>
                <w:b/>
                <w:bCs/>
              </w:rPr>
            </w:pPr>
            <w:r>
              <w:rPr>
                <w:rFonts w:hint="eastAsia"/>
                <w:b/>
                <w:bCs/>
              </w:rPr>
              <w:t>（一）</w:t>
            </w:r>
            <w:r>
              <w:rPr>
                <w:b/>
                <w:bCs/>
              </w:rPr>
              <w:t>产排污节点、污染物及污染治理设施</w:t>
            </w:r>
          </w:p>
          <w:p>
            <w:pPr>
              <w:spacing w:line="360" w:lineRule="auto"/>
              <w:ind w:firstLine="482"/>
            </w:pPr>
            <w:r>
              <w:rPr>
                <w:rFonts w:hint="eastAsia"/>
              </w:rPr>
              <w:t>1、废气</w:t>
            </w:r>
            <w:r>
              <w:t>产排污节点、污染物及污染治理设施</w:t>
            </w:r>
            <w:r>
              <w:rPr>
                <w:rFonts w:hint="eastAsia"/>
              </w:rPr>
              <w:t>见</w:t>
            </w:r>
            <w:r>
              <w:fldChar w:fldCharType="begin"/>
            </w:r>
            <w:r>
              <w:instrText xml:space="preserve"> REF _Ref98509649 \h  \* MERGEFORMAT </w:instrText>
            </w:r>
            <w:r>
              <w:fldChar w:fldCharType="separate"/>
            </w:r>
            <w:r>
              <w:t>表18</w:t>
            </w:r>
            <w:r>
              <w:fldChar w:fldCharType="end"/>
            </w:r>
            <w:r>
              <w:rPr>
                <w:rFonts w:hint="eastAsia"/>
              </w:rPr>
              <w:t>：</w:t>
            </w:r>
          </w:p>
          <w:p>
            <w:pPr>
              <w:pStyle w:val="320"/>
            </w:pPr>
            <w:bookmarkStart w:id="25" w:name="_Ref98509649"/>
            <w:r>
              <w:t>表</w:t>
            </w:r>
            <w:r>
              <w:fldChar w:fldCharType="begin"/>
            </w:r>
            <w:r>
              <w:instrText xml:space="preserve"> </w:instrText>
            </w:r>
            <w:r>
              <w:rPr>
                <w:rFonts w:hint="eastAsia"/>
              </w:rPr>
              <w:instrText xml:space="preserve">SEQ 表格 \* ARABIC</w:instrText>
            </w:r>
            <w:r>
              <w:instrText xml:space="preserve"> </w:instrText>
            </w:r>
            <w:r>
              <w:fldChar w:fldCharType="separate"/>
            </w:r>
            <w:r>
              <w:t>18</w:t>
            </w:r>
            <w:r>
              <w:fldChar w:fldCharType="end"/>
            </w:r>
            <w:bookmarkEnd w:id="25"/>
            <w:r>
              <w:t xml:space="preserve"> 废气</w:t>
            </w:r>
            <w:r>
              <w:rPr>
                <w:rFonts w:hint="eastAsia"/>
              </w:rPr>
              <w:t>有组织</w:t>
            </w:r>
            <w:r>
              <w:t>产排污节点、污染物及污染治理设施信息表</w:t>
            </w:r>
          </w:p>
          <w:tbl>
            <w:tblPr>
              <w:tblStyle w:val="3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141"/>
              <w:gridCol w:w="1043"/>
              <w:gridCol w:w="804"/>
              <w:gridCol w:w="740"/>
              <w:gridCol w:w="820"/>
              <w:gridCol w:w="603"/>
              <w:gridCol w:w="894"/>
              <w:gridCol w:w="603"/>
              <w:gridCol w:w="687"/>
              <w:gridCol w:w="549"/>
              <w:gridCol w:w="741"/>
              <w:gridCol w:w="531"/>
              <w:gridCol w:w="641"/>
              <w:gridCol w:w="782"/>
              <w:gridCol w:w="759"/>
              <w:gridCol w:w="666"/>
              <w:gridCol w:w="846"/>
              <w:gridCol w:w="7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421" w:type="pct"/>
                  <w:vAlign w:val="center"/>
                </w:tcPr>
                <w:p>
                  <w:pPr>
                    <w:pStyle w:val="68"/>
                    <w:spacing w:before="72" w:beforeLines="30" w:after="72" w:afterLines="30"/>
                    <w:ind w:left="24" w:right="24"/>
                  </w:pPr>
                  <w:r>
                    <w:rPr>
                      <w:rFonts w:hint="eastAsia"/>
                    </w:rPr>
                    <w:t>生产线名称及编号</w:t>
                  </w:r>
                </w:p>
              </w:tc>
              <w:tc>
                <w:tcPr>
                  <w:tcW w:w="385" w:type="pct"/>
                  <w:vAlign w:val="center"/>
                </w:tcPr>
                <w:p>
                  <w:pPr>
                    <w:pStyle w:val="68"/>
                    <w:spacing w:before="72" w:beforeLines="30" w:after="72" w:afterLines="30"/>
                    <w:ind w:left="24" w:right="24"/>
                  </w:pPr>
                  <w:r>
                    <w:t>产</w:t>
                  </w:r>
                  <w:r>
                    <w:rPr>
                      <w:rFonts w:hint="eastAsia"/>
                    </w:rPr>
                    <w:t>排</w:t>
                  </w:r>
                  <w:r>
                    <w:t>污环节</w:t>
                  </w:r>
                </w:p>
              </w:tc>
              <w:tc>
                <w:tcPr>
                  <w:tcW w:w="297" w:type="pct"/>
                  <w:vAlign w:val="center"/>
                </w:tcPr>
                <w:p>
                  <w:pPr>
                    <w:pStyle w:val="68"/>
                    <w:spacing w:before="72" w:beforeLines="30" w:after="72" w:afterLines="30"/>
                    <w:ind w:left="24" w:right="24"/>
                  </w:pPr>
                  <w:r>
                    <w:rPr>
                      <w:rFonts w:hint="eastAsia"/>
                    </w:rPr>
                    <w:t>污染物种类</w:t>
                  </w:r>
                </w:p>
              </w:tc>
              <w:tc>
                <w:tcPr>
                  <w:tcW w:w="273" w:type="pct"/>
                  <w:vAlign w:val="center"/>
                </w:tcPr>
                <w:p>
                  <w:pPr>
                    <w:pStyle w:val="68"/>
                    <w:spacing w:before="72" w:beforeLines="30" w:after="72" w:afterLines="30"/>
                    <w:ind w:left="24" w:right="24"/>
                  </w:pPr>
                  <w:r>
                    <w:rPr>
                      <w:rFonts w:hint="eastAsia"/>
                    </w:rPr>
                    <w:t>污染物产生量/t</w:t>
                  </w:r>
                  <w:r>
                    <w:t>/a</w:t>
                  </w:r>
                </w:p>
              </w:tc>
              <w:tc>
                <w:tcPr>
                  <w:tcW w:w="303" w:type="pct"/>
                  <w:vAlign w:val="center"/>
                </w:tcPr>
                <w:p>
                  <w:pPr>
                    <w:pStyle w:val="68"/>
                    <w:spacing w:before="72" w:beforeLines="30" w:after="72" w:afterLines="30"/>
                    <w:ind w:left="24" w:right="24"/>
                  </w:pPr>
                  <w:r>
                    <w:rPr>
                      <w:rFonts w:hint="eastAsia"/>
                    </w:rPr>
                    <w:t>产生</w:t>
                  </w:r>
                </w:p>
                <w:p>
                  <w:pPr>
                    <w:pStyle w:val="68"/>
                    <w:spacing w:before="72" w:beforeLines="30" w:after="72" w:afterLines="30"/>
                    <w:ind w:left="24" w:right="24"/>
                  </w:pPr>
                  <w:r>
                    <w:rPr>
                      <w:rFonts w:hint="eastAsia"/>
                    </w:rPr>
                    <w:t>浓度</w:t>
                  </w:r>
                </w:p>
                <w:p>
                  <w:pPr>
                    <w:pStyle w:val="68"/>
                    <w:spacing w:before="72" w:beforeLines="30" w:after="72" w:afterLines="30"/>
                    <w:ind w:left="24" w:right="24"/>
                  </w:pPr>
                  <w:r>
                    <w:t>/</w:t>
                  </w:r>
                  <w:r>
                    <w:rPr>
                      <w:rFonts w:hint="eastAsia"/>
                    </w:rPr>
                    <w:t>mg</w:t>
                  </w:r>
                  <w:r>
                    <w:t>/m</w:t>
                  </w:r>
                  <w:r>
                    <w:rPr>
                      <w:rFonts w:hint="eastAsia"/>
                    </w:rPr>
                    <w:t>3</w:t>
                  </w:r>
                </w:p>
              </w:tc>
              <w:tc>
                <w:tcPr>
                  <w:tcW w:w="223" w:type="pct"/>
                  <w:vAlign w:val="center"/>
                </w:tcPr>
                <w:p>
                  <w:pPr>
                    <w:pStyle w:val="68"/>
                    <w:spacing w:before="72" w:beforeLines="30" w:after="72" w:afterLines="30"/>
                    <w:ind w:left="24" w:right="24"/>
                  </w:pPr>
                  <w:r>
                    <w:t>排放形式</w:t>
                  </w:r>
                </w:p>
              </w:tc>
              <w:tc>
                <w:tcPr>
                  <w:tcW w:w="330" w:type="pct"/>
                  <w:vAlign w:val="center"/>
                </w:tcPr>
                <w:p>
                  <w:pPr>
                    <w:pStyle w:val="68"/>
                    <w:spacing w:before="72" w:beforeLines="30" w:after="72" w:afterLines="30"/>
                    <w:ind w:left="24" w:right="24"/>
                  </w:pPr>
                  <w:r>
                    <w:t>治理设施名称</w:t>
                  </w:r>
                </w:p>
              </w:tc>
              <w:tc>
                <w:tcPr>
                  <w:tcW w:w="223" w:type="pct"/>
                  <w:vAlign w:val="center"/>
                </w:tcPr>
                <w:p>
                  <w:pPr>
                    <w:pStyle w:val="68"/>
                    <w:spacing w:before="72" w:beforeLines="30" w:after="72" w:afterLines="30"/>
                    <w:ind w:left="24" w:right="24"/>
                  </w:pPr>
                  <w:r>
                    <w:t>治理设施</w:t>
                  </w:r>
                  <w:r>
                    <w:rPr>
                      <w:rFonts w:hint="eastAsia"/>
                    </w:rPr>
                    <w:t>工艺</w:t>
                  </w:r>
                </w:p>
              </w:tc>
              <w:tc>
                <w:tcPr>
                  <w:tcW w:w="253" w:type="pct"/>
                  <w:vAlign w:val="center"/>
                </w:tcPr>
                <w:p>
                  <w:pPr>
                    <w:pStyle w:val="68"/>
                    <w:spacing w:before="72" w:beforeLines="30" w:after="72" w:afterLines="30"/>
                    <w:ind w:left="24" w:right="24"/>
                  </w:pPr>
                  <w:r>
                    <w:rPr>
                      <w:rFonts w:hint="eastAsia"/>
                    </w:rPr>
                    <w:t>处理能力/</w:t>
                  </w:r>
                  <w:r>
                    <w:t>m</w:t>
                  </w:r>
                  <w:r>
                    <w:rPr>
                      <w:rFonts w:hint="eastAsia"/>
                      <w:vertAlign w:val="superscript"/>
                    </w:rPr>
                    <w:t>3</w:t>
                  </w:r>
                  <w:r>
                    <w:t>/h</w:t>
                  </w:r>
                </w:p>
              </w:tc>
              <w:tc>
                <w:tcPr>
                  <w:tcW w:w="204" w:type="pct"/>
                  <w:vAlign w:val="center"/>
                </w:tcPr>
                <w:p>
                  <w:pPr>
                    <w:pStyle w:val="68"/>
                    <w:spacing w:before="72" w:beforeLines="30" w:after="72" w:afterLines="30"/>
                    <w:ind w:left="24" w:right="24"/>
                  </w:pPr>
                  <w:r>
                    <w:rPr>
                      <w:rFonts w:hint="eastAsia"/>
                    </w:rPr>
                    <w:t>收集效率(%)</w:t>
                  </w:r>
                </w:p>
              </w:tc>
              <w:tc>
                <w:tcPr>
                  <w:tcW w:w="273" w:type="pct"/>
                  <w:vAlign w:val="center"/>
                </w:tcPr>
                <w:p>
                  <w:pPr>
                    <w:pStyle w:val="68"/>
                    <w:spacing w:before="72" w:beforeLines="30" w:after="72" w:afterLines="30"/>
                    <w:ind w:left="24" w:right="24"/>
                  </w:pPr>
                  <w:r>
                    <w:rPr>
                      <w:rFonts w:hint="eastAsia"/>
                    </w:rPr>
                    <w:t>收集量(t</w:t>
                  </w:r>
                  <w:r>
                    <w:t>/</w:t>
                  </w:r>
                  <w:r>
                    <w:rPr>
                      <w:rFonts w:hint="eastAsia"/>
                    </w:rPr>
                    <w:t>a</w:t>
                  </w:r>
                  <w:r>
                    <w:t>)</w:t>
                  </w:r>
                </w:p>
              </w:tc>
              <w:tc>
                <w:tcPr>
                  <w:tcW w:w="193" w:type="pct"/>
                  <w:vAlign w:val="center"/>
                </w:tcPr>
                <w:p>
                  <w:pPr>
                    <w:pStyle w:val="68"/>
                    <w:spacing w:before="72" w:beforeLines="30" w:after="72" w:afterLines="30"/>
                    <w:ind w:left="24" w:right="24"/>
                  </w:pPr>
                  <w:r>
                    <w:rPr>
                      <w:rFonts w:hint="eastAsia"/>
                    </w:rPr>
                    <w:t>去除率(%)</w:t>
                  </w:r>
                </w:p>
              </w:tc>
              <w:tc>
                <w:tcPr>
                  <w:tcW w:w="237" w:type="pct"/>
                  <w:vAlign w:val="center"/>
                </w:tcPr>
                <w:p>
                  <w:pPr>
                    <w:pStyle w:val="68"/>
                    <w:spacing w:before="72" w:beforeLines="30" w:after="72" w:afterLines="30"/>
                    <w:ind w:left="24" w:right="24"/>
                  </w:pPr>
                  <w:r>
                    <w:rPr>
                      <w:rFonts w:hint="eastAsia"/>
                    </w:rPr>
                    <w:t>是否为可行技术</w:t>
                  </w:r>
                </w:p>
              </w:tc>
              <w:tc>
                <w:tcPr>
                  <w:tcW w:w="288" w:type="pct"/>
                  <w:vAlign w:val="center"/>
                </w:tcPr>
                <w:p>
                  <w:pPr>
                    <w:pStyle w:val="68"/>
                    <w:spacing w:before="72" w:beforeLines="30" w:after="72" w:afterLines="30"/>
                    <w:ind w:left="24" w:right="24"/>
                  </w:pPr>
                  <w:r>
                    <w:rPr>
                      <w:rFonts w:hint="eastAsia"/>
                    </w:rPr>
                    <w:t>排放口</w:t>
                  </w:r>
                  <w:r>
                    <w:t>编号</w:t>
                  </w:r>
                </w:p>
              </w:tc>
              <w:tc>
                <w:tcPr>
                  <w:tcW w:w="266" w:type="pct"/>
                  <w:vAlign w:val="center"/>
                </w:tcPr>
                <w:p>
                  <w:pPr>
                    <w:pStyle w:val="68"/>
                    <w:spacing w:before="72" w:beforeLines="30" w:after="72" w:afterLines="30"/>
                    <w:ind w:left="24" w:right="24"/>
                  </w:pPr>
                  <w:r>
                    <w:rPr>
                      <w:rFonts w:hint="eastAsia"/>
                    </w:rPr>
                    <w:t>排放浓度</w:t>
                  </w:r>
                  <w:r>
                    <w:t>mg/m</w:t>
                  </w:r>
                  <w:r>
                    <w:rPr>
                      <w:rFonts w:hint="eastAsia"/>
                    </w:rPr>
                    <w:t>³</w:t>
                  </w:r>
                </w:p>
              </w:tc>
              <w:tc>
                <w:tcPr>
                  <w:tcW w:w="246" w:type="pct"/>
                  <w:vAlign w:val="center"/>
                </w:tcPr>
                <w:p>
                  <w:pPr>
                    <w:pStyle w:val="68"/>
                    <w:spacing w:before="72" w:beforeLines="30" w:after="72" w:afterLines="30"/>
                    <w:ind w:left="24" w:right="24"/>
                  </w:pPr>
                  <w:r>
                    <w:rPr>
                      <w:rFonts w:hint="eastAsia"/>
                    </w:rPr>
                    <w:t>排放速率/</w:t>
                  </w:r>
                  <w:r>
                    <w:t>kg/h</w:t>
                  </w:r>
                </w:p>
              </w:tc>
              <w:tc>
                <w:tcPr>
                  <w:tcW w:w="312" w:type="pct"/>
                  <w:vAlign w:val="center"/>
                </w:tcPr>
                <w:p>
                  <w:pPr>
                    <w:pStyle w:val="68"/>
                    <w:spacing w:before="72" w:beforeLines="30" w:after="72" w:afterLines="30"/>
                    <w:ind w:left="24" w:right="24"/>
                  </w:pPr>
                  <w:r>
                    <w:rPr>
                      <w:rFonts w:hint="eastAsia"/>
                    </w:rPr>
                    <w:t>排放时间（h</w:t>
                  </w:r>
                  <w:r>
                    <w:t>/a</w:t>
                  </w:r>
                  <w:r>
                    <w:rPr>
                      <w:rFonts w:hint="eastAsia"/>
                    </w:rPr>
                    <w:t>）</w:t>
                  </w:r>
                </w:p>
              </w:tc>
              <w:tc>
                <w:tcPr>
                  <w:tcW w:w="273" w:type="pct"/>
                  <w:vAlign w:val="center"/>
                </w:tcPr>
                <w:p>
                  <w:pPr>
                    <w:pStyle w:val="68"/>
                    <w:spacing w:before="72" w:beforeLines="30" w:after="72" w:afterLines="30"/>
                    <w:ind w:left="24" w:right="24"/>
                  </w:pPr>
                  <w:r>
                    <w:t>污染物排放量</w:t>
                  </w:r>
                  <w:r>
                    <w:rPr>
                      <w:rFonts w:hint="eastAsia"/>
                    </w:rPr>
                    <w:t>(t</w:t>
                  </w:r>
                  <w:r>
                    <w:t>/</w:t>
                  </w:r>
                  <w:r>
                    <w:rPr>
                      <w:rFonts w:hint="eastAsia"/>
                    </w:rPr>
                    <w:t>a</w:t>
                  </w:r>
                  <w: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421" w:type="pct"/>
                  <w:vAlign w:val="center"/>
                </w:tcPr>
                <w:p>
                  <w:pPr>
                    <w:pStyle w:val="68"/>
                    <w:spacing w:before="72" w:beforeLines="30" w:after="72" w:afterLines="30"/>
                    <w:ind w:left="24" w:right="24"/>
                  </w:pPr>
                  <w:r>
                    <w:rPr>
                      <w:rFonts w:hint="eastAsia"/>
                    </w:rPr>
                    <w:t>混凝土生产线</w:t>
                  </w:r>
                </w:p>
              </w:tc>
              <w:tc>
                <w:tcPr>
                  <w:tcW w:w="385" w:type="pct"/>
                  <w:vAlign w:val="center"/>
                </w:tcPr>
                <w:p>
                  <w:pPr>
                    <w:pStyle w:val="68"/>
                    <w:spacing w:before="72" w:beforeLines="30" w:after="72" w:afterLines="30"/>
                    <w:ind w:left="24" w:right="24"/>
                  </w:pPr>
                  <w:r>
                    <w:rPr>
                      <w:rFonts w:hint="eastAsia"/>
                    </w:rPr>
                    <w:t>混凝土搅拌</w:t>
                  </w:r>
                </w:p>
              </w:tc>
              <w:tc>
                <w:tcPr>
                  <w:tcW w:w="297" w:type="pct"/>
                  <w:vAlign w:val="center"/>
                </w:tcPr>
                <w:p>
                  <w:pPr>
                    <w:pStyle w:val="68"/>
                    <w:spacing w:before="72" w:beforeLines="30" w:after="72" w:afterLines="30"/>
                    <w:ind w:left="24" w:right="24"/>
                  </w:pPr>
                  <w:r>
                    <w:rPr>
                      <w:rFonts w:hint="eastAsia"/>
                    </w:rPr>
                    <w:t>颗粒物</w:t>
                  </w:r>
                </w:p>
              </w:tc>
              <w:tc>
                <w:tcPr>
                  <w:tcW w:w="273" w:type="pct"/>
                  <w:vAlign w:val="center"/>
                </w:tcPr>
                <w:p>
                  <w:pPr>
                    <w:pStyle w:val="68"/>
                    <w:spacing w:before="72" w:beforeLines="30" w:after="72" w:afterLines="30"/>
                    <w:ind w:left="24" w:right="24"/>
                  </w:pPr>
                  <w:r>
                    <w:t>91.416</w:t>
                  </w:r>
                </w:p>
              </w:tc>
              <w:tc>
                <w:tcPr>
                  <w:tcW w:w="303" w:type="pct"/>
                  <w:vAlign w:val="center"/>
                </w:tcPr>
                <w:p>
                  <w:pPr>
                    <w:pStyle w:val="68"/>
                    <w:spacing w:before="72" w:beforeLines="30" w:after="72" w:afterLines="30"/>
                    <w:ind w:left="24" w:right="24"/>
                  </w:pPr>
                  <w:r>
                    <w:t>952</w:t>
                  </w:r>
                </w:p>
              </w:tc>
              <w:tc>
                <w:tcPr>
                  <w:tcW w:w="223" w:type="pct"/>
                  <w:vAlign w:val="center"/>
                </w:tcPr>
                <w:p>
                  <w:pPr>
                    <w:pStyle w:val="68"/>
                    <w:spacing w:before="72" w:beforeLines="30" w:after="72" w:afterLines="30"/>
                    <w:ind w:left="24" w:right="24"/>
                  </w:pPr>
                  <w:r>
                    <w:rPr>
                      <w:rFonts w:hint="eastAsia"/>
                    </w:rPr>
                    <w:t>有组织</w:t>
                  </w:r>
                </w:p>
              </w:tc>
              <w:tc>
                <w:tcPr>
                  <w:tcW w:w="330" w:type="pct"/>
                  <w:vAlign w:val="center"/>
                </w:tcPr>
                <w:p>
                  <w:pPr>
                    <w:pStyle w:val="68"/>
                    <w:spacing w:before="72" w:beforeLines="30" w:after="72" w:afterLines="30"/>
                    <w:ind w:left="24" w:right="24"/>
                  </w:pPr>
                  <w:r>
                    <w:rPr>
                      <w:rFonts w:hint="eastAsia"/>
                    </w:rPr>
                    <w:t>搅拌废气治理装置</w:t>
                  </w:r>
                </w:p>
              </w:tc>
              <w:tc>
                <w:tcPr>
                  <w:tcW w:w="223" w:type="pct"/>
                  <w:vAlign w:val="center"/>
                </w:tcPr>
                <w:p>
                  <w:pPr>
                    <w:pStyle w:val="68"/>
                    <w:spacing w:before="72" w:beforeLines="30" w:after="72" w:afterLines="30"/>
                    <w:ind w:left="24" w:right="24"/>
                  </w:pPr>
                  <w:r>
                    <w:rPr>
                      <w:rFonts w:hint="eastAsia"/>
                    </w:rPr>
                    <w:t>布袋除尘</w:t>
                  </w:r>
                </w:p>
              </w:tc>
              <w:tc>
                <w:tcPr>
                  <w:tcW w:w="253" w:type="pct"/>
                  <w:vAlign w:val="center"/>
                </w:tcPr>
                <w:p>
                  <w:pPr>
                    <w:pStyle w:val="68"/>
                    <w:spacing w:before="72" w:beforeLines="30" w:after="72" w:afterLines="30"/>
                    <w:ind w:left="24" w:right="24"/>
                  </w:pPr>
                  <w:r>
                    <w:t>20000</w:t>
                  </w:r>
                </w:p>
              </w:tc>
              <w:tc>
                <w:tcPr>
                  <w:tcW w:w="204" w:type="pct"/>
                  <w:vAlign w:val="center"/>
                </w:tcPr>
                <w:p>
                  <w:pPr>
                    <w:pStyle w:val="68"/>
                    <w:spacing w:before="72" w:beforeLines="30" w:after="72" w:afterLines="30"/>
                    <w:ind w:left="24" w:right="24"/>
                  </w:pPr>
                  <w:r>
                    <w:t>99</w:t>
                  </w:r>
                </w:p>
              </w:tc>
              <w:tc>
                <w:tcPr>
                  <w:tcW w:w="273" w:type="pct"/>
                  <w:vAlign w:val="center"/>
                </w:tcPr>
                <w:p>
                  <w:pPr>
                    <w:pStyle w:val="68"/>
                    <w:spacing w:before="72" w:beforeLines="30" w:after="72" w:afterLines="30"/>
                    <w:ind w:left="24" w:right="24"/>
                  </w:pPr>
                  <w:r>
                    <w:t>90.502</w:t>
                  </w:r>
                </w:p>
              </w:tc>
              <w:tc>
                <w:tcPr>
                  <w:tcW w:w="193" w:type="pct"/>
                  <w:vAlign w:val="center"/>
                </w:tcPr>
                <w:p>
                  <w:pPr>
                    <w:pStyle w:val="68"/>
                    <w:spacing w:before="72" w:beforeLines="30" w:after="72" w:afterLines="30"/>
                    <w:ind w:left="24" w:right="24"/>
                  </w:pPr>
                  <w:r>
                    <w:rPr>
                      <w:rFonts w:hint="eastAsia"/>
                    </w:rPr>
                    <w:t>9</w:t>
                  </w:r>
                  <w:r>
                    <w:t>9</w:t>
                  </w:r>
                  <w:r>
                    <w:rPr>
                      <w:rFonts w:hint="eastAsia"/>
                    </w:rPr>
                    <w:t>.5</w:t>
                  </w:r>
                </w:p>
              </w:tc>
              <w:tc>
                <w:tcPr>
                  <w:tcW w:w="237" w:type="pct"/>
                  <w:vAlign w:val="center"/>
                </w:tcPr>
                <w:p>
                  <w:pPr>
                    <w:pStyle w:val="68"/>
                    <w:spacing w:before="72" w:beforeLines="30" w:after="72" w:afterLines="30"/>
                    <w:ind w:left="24" w:right="24"/>
                  </w:pPr>
                  <w:r>
                    <w:rPr>
                      <w:rFonts w:hint="eastAsia"/>
                    </w:rPr>
                    <w:t>是</w:t>
                  </w:r>
                </w:p>
              </w:tc>
              <w:tc>
                <w:tcPr>
                  <w:tcW w:w="288" w:type="pct"/>
                  <w:vAlign w:val="center"/>
                </w:tcPr>
                <w:p>
                  <w:pPr>
                    <w:pStyle w:val="68"/>
                    <w:spacing w:before="72" w:beforeLines="30" w:after="72" w:afterLines="30"/>
                    <w:ind w:left="24" w:right="24"/>
                  </w:pPr>
                  <w:r>
                    <w:rPr>
                      <w:rFonts w:hint="eastAsia"/>
                    </w:rPr>
                    <w:t>D</w:t>
                  </w:r>
                  <w:r>
                    <w:t>A001</w:t>
                  </w:r>
                </w:p>
              </w:tc>
              <w:tc>
                <w:tcPr>
                  <w:tcW w:w="266" w:type="pct"/>
                  <w:vAlign w:val="center"/>
                </w:tcPr>
                <w:p>
                  <w:pPr>
                    <w:pStyle w:val="68"/>
                    <w:spacing w:before="72" w:beforeLines="30" w:after="72" w:afterLines="30"/>
                    <w:ind w:left="24" w:right="24"/>
                  </w:pPr>
                  <w:r>
                    <w:rPr>
                      <w:rFonts w:hint="eastAsia"/>
                    </w:rPr>
                    <w:t>4.71</w:t>
                  </w:r>
                </w:p>
              </w:tc>
              <w:tc>
                <w:tcPr>
                  <w:tcW w:w="246" w:type="pct"/>
                  <w:vAlign w:val="center"/>
                </w:tcPr>
                <w:p>
                  <w:pPr>
                    <w:pStyle w:val="68"/>
                    <w:spacing w:before="72" w:beforeLines="30" w:after="72" w:afterLines="30"/>
                    <w:ind w:left="24" w:right="24"/>
                  </w:pPr>
                  <w:r>
                    <w:rPr>
                      <w:rFonts w:hint="eastAsia"/>
                    </w:rPr>
                    <w:t>0.094</w:t>
                  </w:r>
                </w:p>
              </w:tc>
              <w:tc>
                <w:tcPr>
                  <w:tcW w:w="312" w:type="pct"/>
                  <w:vAlign w:val="center"/>
                </w:tcPr>
                <w:p>
                  <w:pPr>
                    <w:pStyle w:val="68"/>
                    <w:spacing w:before="72" w:beforeLines="30" w:after="72" w:afterLines="30"/>
                    <w:ind w:left="24" w:right="24"/>
                  </w:pPr>
                  <w:r>
                    <w:rPr>
                      <w:rFonts w:hint="eastAsia"/>
                    </w:rPr>
                    <w:t>4</w:t>
                  </w:r>
                  <w:r>
                    <w:t>800</w:t>
                  </w:r>
                </w:p>
              </w:tc>
              <w:tc>
                <w:tcPr>
                  <w:tcW w:w="273" w:type="pct"/>
                  <w:vAlign w:val="center"/>
                </w:tcPr>
                <w:p>
                  <w:pPr>
                    <w:pStyle w:val="68"/>
                    <w:spacing w:before="72" w:beforeLines="30" w:after="72" w:afterLines="30"/>
                    <w:ind w:left="24" w:right="24"/>
                  </w:pPr>
                  <w:r>
                    <w:rPr>
                      <w:rFonts w:hint="eastAsia"/>
                    </w:rPr>
                    <w:t>0.453</w:t>
                  </w:r>
                </w:p>
              </w:tc>
            </w:tr>
          </w:tbl>
          <w:p>
            <w:pPr>
              <w:pStyle w:val="69"/>
              <w:ind w:left="48" w:right="48"/>
              <w:jc w:val="both"/>
              <w:rPr>
                <w:lang w:eastAsia="zh-CN"/>
              </w:rPr>
            </w:pPr>
            <w:r>
              <w:rPr>
                <w:rFonts w:hint="eastAsia"/>
                <w:lang w:eastAsia="zh-CN"/>
              </w:rPr>
              <w:t>2、污染物经排气筒有组织排放达标情况分析见</w:t>
            </w:r>
            <w:r>
              <w:rPr>
                <w:lang w:eastAsia="zh-CN"/>
              </w:rPr>
              <w:fldChar w:fldCharType="begin"/>
            </w:r>
            <w:r>
              <w:rPr>
                <w:lang w:eastAsia="zh-CN"/>
              </w:rPr>
              <w:instrText xml:space="preserve"> </w:instrText>
            </w:r>
            <w:r>
              <w:rPr>
                <w:rFonts w:hint="eastAsia"/>
                <w:lang w:eastAsia="zh-CN"/>
              </w:rPr>
              <w:instrText xml:space="preserve">REF _Ref98509669 \h</w:instrText>
            </w:r>
            <w:r>
              <w:rPr>
                <w:lang w:eastAsia="zh-CN"/>
              </w:rPr>
              <w:instrText xml:space="preserve">  \* MERGEFORMAT </w:instrText>
            </w:r>
            <w:r>
              <w:rPr>
                <w:lang w:eastAsia="zh-CN"/>
              </w:rPr>
              <w:fldChar w:fldCharType="separate"/>
            </w:r>
            <w:r>
              <w:rPr>
                <w:lang w:eastAsia="zh-CN"/>
              </w:rPr>
              <w:t>表19</w:t>
            </w:r>
            <w:r>
              <w:rPr>
                <w:lang w:eastAsia="zh-CN"/>
              </w:rPr>
              <w:fldChar w:fldCharType="end"/>
            </w:r>
            <w:r>
              <w:rPr>
                <w:rFonts w:hint="eastAsia"/>
                <w:lang w:eastAsia="zh-CN"/>
              </w:rPr>
              <w:t>。</w:t>
            </w:r>
          </w:p>
          <w:p>
            <w:pPr>
              <w:pStyle w:val="320"/>
            </w:pPr>
            <w:bookmarkStart w:id="26" w:name="_Ref98509669"/>
            <w:r>
              <w:t>表</w:t>
            </w:r>
            <w:r>
              <w:fldChar w:fldCharType="begin"/>
            </w:r>
            <w:r>
              <w:instrText xml:space="preserve"> </w:instrText>
            </w:r>
            <w:r>
              <w:rPr>
                <w:rFonts w:hint="eastAsia"/>
              </w:rPr>
              <w:instrText xml:space="preserve">SEQ 表格 \* ARABIC</w:instrText>
            </w:r>
            <w:r>
              <w:instrText xml:space="preserve"> </w:instrText>
            </w:r>
            <w:r>
              <w:fldChar w:fldCharType="separate"/>
            </w:r>
            <w:r>
              <w:t>19</w:t>
            </w:r>
            <w:r>
              <w:fldChar w:fldCharType="end"/>
            </w:r>
            <w:bookmarkEnd w:id="26"/>
            <w:r>
              <w:t xml:space="preserve"> </w:t>
            </w:r>
            <w:r>
              <w:rPr>
                <w:rFonts w:hint="eastAsia"/>
              </w:rPr>
              <w:t>污染物有组织排放达标分析情况一览表</w:t>
            </w:r>
          </w:p>
          <w:tbl>
            <w:tblPr>
              <w:tblStyle w:val="3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72"/>
              <w:gridCol w:w="598"/>
              <w:gridCol w:w="861"/>
              <w:gridCol w:w="807"/>
              <w:gridCol w:w="948"/>
              <w:gridCol w:w="916"/>
              <w:gridCol w:w="707"/>
              <w:gridCol w:w="647"/>
              <w:gridCol w:w="792"/>
              <w:gridCol w:w="582"/>
              <w:gridCol w:w="687"/>
              <w:gridCol w:w="747"/>
              <w:gridCol w:w="897"/>
              <w:gridCol w:w="780"/>
              <w:gridCol w:w="989"/>
              <w:gridCol w:w="1487"/>
              <w:gridCol w:w="3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88" w:type="pct"/>
                  <w:vMerge w:val="restart"/>
                  <w:vAlign w:val="center"/>
                </w:tcPr>
                <w:p>
                  <w:pPr>
                    <w:pStyle w:val="68"/>
                    <w:spacing w:before="0" w:beforeLines="0" w:after="0" w:afterLines="0"/>
                    <w:ind w:left="24" w:right="24"/>
                    <w:rPr>
                      <w:rFonts w:ascii="宋体" w:hAnsi="宋体"/>
                    </w:rPr>
                  </w:pPr>
                  <w:r>
                    <w:rPr>
                      <w:rFonts w:hint="eastAsia" w:ascii="宋体" w:hAnsi="宋体"/>
                    </w:rPr>
                    <w:t>排气筒编号</w:t>
                  </w:r>
                </w:p>
              </w:tc>
              <w:tc>
                <w:tcPr>
                  <w:tcW w:w="224" w:type="pct"/>
                  <w:vMerge w:val="restart"/>
                  <w:vAlign w:val="center"/>
                </w:tcPr>
                <w:p>
                  <w:pPr>
                    <w:pStyle w:val="68"/>
                    <w:spacing w:before="0" w:beforeLines="0" w:after="0" w:afterLines="0"/>
                    <w:ind w:left="24" w:right="24"/>
                    <w:rPr>
                      <w:rFonts w:ascii="宋体" w:hAnsi="宋体"/>
                    </w:rPr>
                  </w:pPr>
                  <w:r>
                    <w:rPr>
                      <w:rFonts w:hint="eastAsia" w:ascii="宋体" w:hAnsi="宋体"/>
                    </w:rPr>
                    <w:t>污染物种类</w:t>
                  </w:r>
                </w:p>
              </w:tc>
              <w:tc>
                <w:tcPr>
                  <w:tcW w:w="321" w:type="pct"/>
                  <w:vMerge w:val="restart"/>
                  <w:vAlign w:val="center"/>
                </w:tcPr>
                <w:p>
                  <w:pPr>
                    <w:pStyle w:val="68"/>
                    <w:spacing w:before="0" w:beforeLines="0" w:after="0" w:afterLines="0"/>
                    <w:ind w:left="24" w:right="24"/>
                    <w:rPr>
                      <w:rFonts w:ascii="宋体" w:hAnsi="宋体"/>
                    </w:rPr>
                  </w:pPr>
                  <w:r>
                    <w:rPr>
                      <w:rFonts w:hint="eastAsia" w:ascii="宋体" w:hAnsi="宋体"/>
                    </w:rPr>
                    <w:t>生产线名称及编号</w:t>
                  </w:r>
                </w:p>
              </w:tc>
              <w:tc>
                <w:tcPr>
                  <w:tcW w:w="301" w:type="pct"/>
                  <w:vMerge w:val="restart"/>
                  <w:vAlign w:val="center"/>
                </w:tcPr>
                <w:p>
                  <w:pPr>
                    <w:pStyle w:val="68"/>
                    <w:spacing w:before="0" w:beforeLines="0" w:after="0" w:afterLines="0"/>
                    <w:ind w:left="24" w:right="24"/>
                    <w:rPr>
                      <w:rFonts w:ascii="宋体" w:hAnsi="宋体"/>
                    </w:rPr>
                  </w:pPr>
                  <w:r>
                    <w:rPr>
                      <w:rFonts w:ascii="宋体" w:hAnsi="宋体"/>
                    </w:rPr>
                    <w:t>产</w:t>
                  </w:r>
                  <w:r>
                    <w:rPr>
                      <w:rFonts w:hint="eastAsia" w:ascii="宋体" w:hAnsi="宋体"/>
                    </w:rPr>
                    <w:t>排</w:t>
                  </w:r>
                  <w:r>
                    <w:rPr>
                      <w:rFonts w:ascii="宋体" w:hAnsi="宋体"/>
                    </w:rPr>
                    <w:t>污环节</w:t>
                  </w:r>
                </w:p>
              </w:tc>
              <w:tc>
                <w:tcPr>
                  <w:tcW w:w="353" w:type="pct"/>
                  <w:vMerge w:val="restart"/>
                  <w:vAlign w:val="center"/>
                </w:tcPr>
                <w:p>
                  <w:pPr>
                    <w:pStyle w:val="68"/>
                    <w:spacing w:before="0" w:beforeLines="0" w:after="0" w:afterLines="0"/>
                    <w:ind w:left="24" w:right="24"/>
                    <w:rPr>
                      <w:rFonts w:ascii="宋体" w:hAnsi="宋体"/>
                    </w:rPr>
                  </w:pPr>
                  <w:r>
                    <w:rPr>
                      <w:rFonts w:hint="eastAsia" w:ascii="宋体" w:hAnsi="宋体"/>
                    </w:rPr>
                    <w:t>污染物产生量/t</w:t>
                  </w:r>
                  <w:r>
                    <w:rPr>
                      <w:rFonts w:ascii="宋体" w:hAnsi="宋体"/>
                    </w:rPr>
                    <w:t>/a</w:t>
                  </w:r>
                </w:p>
              </w:tc>
              <w:tc>
                <w:tcPr>
                  <w:tcW w:w="341" w:type="pct"/>
                  <w:vMerge w:val="restart"/>
                  <w:vAlign w:val="center"/>
                </w:tcPr>
                <w:p>
                  <w:pPr>
                    <w:pStyle w:val="68"/>
                    <w:spacing w:before="0" w:beforeLines="0" w:after="0" w:afterLines="0"/>
                    <w:ind w:left="24" w:right="24"/>
                    <w:rPr>
                      <w:rFonts w:ascii="宋体" w:hAnsi="宋体"/>
                    </w:rPr>
                  </w:pPr>
                  <w:r>
                    <w:rPr>
                      <w:rFonts w:ascii="宋体" w:hAnsi="宋体"/>
                    </w:rPr>
                    <w:t>治理设施名称</w:t>
                  </w:r>
                </w:p>
              </w:tc>
              <w:tc>
                <w:tcPr>
                  <w:tcW w:w="264" w:type="pct"/>
                  <w:vMerge w:val="restart"/>
                  <w:vAlign w:val="center"/>
                </w:tcPr>
                <w:p>
                  <w:pPr>
                    <w:pStyle w:val="68"/>
                    <w:spacing w:before="0" w:beforeLines="0" w:after="0" w:afterLines="0"/>
                    <w:ind w:left="24" w:right="24"/>
                    <w:rPr>
                      <w:rFonts w:ascii="宋体" w:hAnsi="宋体"/>
                    </w:rPr>
                  </w:pPr>
                  <w:r>
                    <w:rPr>
                      <w:rFonts w:ascii="宋体" w:hAnsi="宋体"/>
                    </w:rPr>
                    <w:t>治理设施</w:t>
                  </w:r>
                  <w:r>
                    <w:rPr>
                      <w:rFonts w:hint="eastAsia" w:ascii="宋体" w:hAnsi="宋体"/>
                    </w:rPr>
                    <w:t>工艺</w:t>
                  </w:r>
                </w:p>
              </w:tc>
              <w:tc>
                <w:tcPr>
                  <w:tcW w:w="242" w:type="pct"/>
                  <w:vMerge w:val="restart"/>
                  <w:vAlign w:val="center"/>
                </w:tcPr>
                <w:p>
                  <w:pPr>
                    <w:pStyle w:val="68"/>
                    <w:spacing w:before="0" w:beforeLines="0" w:after="0" w:afterLines="0"/>
                    <w:ind w:left="24" w:right="24"/>
                    <w:rPr>
                      <w:rFonts w:ascii="宋体" w:hAnsi="宋体"/>
                    </w:rPr>
                  </w:pPr>
                  <w:r>
                    <w:rPr>
                      <w:rFonts w:hint="eastAsia" w:ascii="宋体" w:hAnsi="宋体"/>
                    </w:rPr>
                    <w:t>收集效率(%)</w:t>
                  </w:r>
                </w:p>
              </w:tc>
              <w:tc>
                <w:tcPr>
                  <w:tcW w:w="291" w:type="pct"/>
                  <w:vMerge w:val="restart"/>
                  <w:vAlign w:val="center"/>
                </w:tcPr>
                <w:p>
                  <w:pPr>
                    <w:pStyle w:val="68"/>
                    <w:spacing w:before="0" w:beforeLines="0" w:after="0" w:afterLines="0"/>
                    <w:ind w:left="24" w:right="24"/>
                    <w:rPr>
                      <w:rFonts w:ascii="宋体" w:hAnsi="宋体"/>
                    </w:rPr>
                  </w:pPr>
                  <w:r>
                    <w:rPr>
                      <w:rFonts w:hint="eastAsia" w:ascii="宋体" w:hAnsi="宋体"/>
                    </w:rPr>
                    <w:t>收集量(t</w:t>
                  </w:r>
                  <w:r>
                    <w:rPr>
                      <w:rFonts w:ascii="宋体" w:hAnsi="宋体"/>
                    </w:rPr>
                    <w:t>/</w:t>
                  </w:r>
                  <w:r>
                    <w:rPr>
                      <w:rFonts w:hint="eastAsia" w:ascii="宋体" w:hAnsi="宋体"/>
                    </w:rPr>
                    <w:t>a</w:t>
                  </w:r>
                  <w:r>
                    <w:rPr>
                      <w:rFonts w:ascii="宋体" w:hAnsi="宋体"/>
                    </w:rPr>
                    <w:t>)</w:t>
                  </w:r>
                </w:p>
              </w:tc>
              <w:tc>
                <w:tcPr>
                  <w:tcW w:w="186" w:type="pct"/>
                  <w:vMerge w:val="restart"/>
                  <w:vAlign w:val="center"/>
                </w:tcPr>
                <w:p>
                  <w:pPr>
                    <w:pStyle w:val="68"/>
                    <w:spacing w:before="0" w:beforeLines="0" w:after="0" w:afterLines="0"/>
                    <w:ind w:left="24" w:right="24"/>
                    <w:rPr>
                      <w:rFonts w:ascii="宋体" w:hAnsi="宋体"/>
                    </w:rPr>
                  </w:pPr>
                  <w:r>
                    <w:rPr>
                      <w:rFonts w:hint="eastAsia" w:ascii="宋体" w:hAnsi="宋体"/>
                    </w:rPr>
                    <w:t>去除率(%)</w:t>
                  </w:r>
                </w:p>
              </w:tc>
              <w:tc>
                <w:tcPr>
                  <w:tcW w:w="241" w:type="pct"/>
                  <w:vMerge w:val="restart"/>
                  <w:vAlign w:val="center"/>
                </w:tcPr>
                <w:p>
                  <w:pPr>
                    <w:pStyle w:val="68"/>
                    <w:spacing w:before="0" w:beforeLines="0" w:after="0" w:afterLines="0"/>
                    <w:ind w:left="24" w:right="24"/>
                    <w:rPr>
                      <w:rFonts w:ascii="宋体" w:hAnsi="宋体"/>
                    </w:rPr>
                  </w:pPr>
                  <w:r>
                    <w:rPr>
                      <w:rFonts w:hint="eastAsia" w:ascii="宋体" w:hAnsi="宋体"/>
                    </w:rPr>
                    <w:t>排放浓度</w:t>
                  </w:r>
                  <w:r>
                    <w:rPr>
                      <w:rFonts w:ascii="宋体" w:hAnsi="宋体"/>
                    </w:rPr>
                    <w:t>mg/m</w:t>
                  </w:r>
                  <w:r>
                    <w:rPr>
                      <w:rFonts w:hint="eastAsia" w:ascii="宋体" w:hAnsi="宋体"/>
                    </w:rPr>
                    <w:t>³</w:t>
                  </w:r>
                </w:p>
              </w:tc>
              <w:tc>
                <w:tcPr>
                  <w:tcW w:w="279" w:type="pct"/>
                  <w:vMerge w:val="restart"/>
                  <w:vAlign w:val="center"/>
                </w:tcPr>
                <w:p>
                  <w:pPr>
                    <w:pStyle w:val="68"/>
                    <w:spacing w:before="0" w:beforeLines="0" w:after="0" w:afterLines="0"/>
                    <w:ind w:left="24" w:right="24"/>
                    <w:rPr>
                      <w:rFonts w:ascii="宋体" w:hAnsi="宋体"/>
                    </w:rPr>
                  </w:pPr>
                  <w:r>
                    <w:rPr>
                      <w:rFonts w:hint="eastAsia" w:ascii="宋体" w:hAnsi="宋体"/>
                    </w:rPr>
                    <w:t>排放速率/</w:t>
                  </w:r>
                  <w:r>
                    <w:rPr>
                      <w:rFonts w:ascii="宋体" w:hAnsi="宋体"/>
                    </w:rPr>
                    <w:t>kg/h</w:t>
                  </w:r>
                </w:p>
              </w:tc>
              <w:tc>
                <w:tcPr>
                  <w:tcW w:w="322" w:type="pct"/>
                  <w:vMerge w:val="restart"/>
                  <w:vAlign w:val="center"/>
                </w:tcPr>
                <w:p>
                  <w:pPr>
                    <w:pStyle w:val="68"/>
                    <w:spacing w:before="0" w:beforeLines="0" w:after="0" w:afterLines="0"/>
                    <w:ind w:left="24" w:right="24"/>
                    <w:rPr>
                      <w:rFonts w:ascii="宋体" w:hAnsi="宋体"/>
                    </w:rPr>
                  </w:pPr>
                  <w:r>
                    <w:rPr>
                      <w:rFonts w:hint="eastAsia" w:ascii="宋体" w:hAnsi="宋体"/>
                    </w:rPr>
                    <w:t>排放时间（h</w:t>
                  </w:r>
                  <w:r>
                    <w:rPr>
                      <w:rFonts w:ascii="宋体" w:hAnsi="宋体"/>
                    </w:rPr>
                    <w:t>/a</w:t>
                  </w:r>
                  <w:r>
                    <w:rPr>
                      <w:rFonts w:hint="eastAsia" w:ascii="宋体" w:hAnsi="宋体"/>
                    </w:rPr>
                    <w:t>）</w:t>
                  </w:r>
                </w:p>
              </w:tc>
              <w:tc>
                <w:tcPr>
                  <w:tcW w:w="291" w:type="pct"/>
                  <w:vMerge w:val="restart"/>
                  <w:vAlign w:val="center"/>
                </w:tcPr>
                <w:p>
                  <w:pPr>
                    <w:pStyle w:val="68"/>
                    <w:spacing w:before="0" w:beforeLines="0" w:after="0" w:afterLines="0"/>
                    <w:ind w:left="24" w:right="24"/>
                    <w:rPr>
                      <w:rFonts w:ascii="宋体" w:hAnsi="宋体"/>
                    </w:rPr>
                  </w:pPr>
                  <w:r>
                    <w:rPr>
                      <w:rFonts w:ascii="宋体" w:hAnsi="宋体"/>
                    </w:rPr>
                    <w:t>污染物排放量</w:t>
                  </w:r>
                  <w:r>
                    <w:rPr>
                      <w:rFonts w:hint="eastAsia" w:ascii="宋体" w:hAnsi="宋体"/>
                    </w:rPr>
                    <w:t>(t</w:t>
                  </w:r>
                  <w:r>
                    <w:rPr>
                      <w:rFonts w:ascii="宋体" w:hAnsi="宋体"/>
                    </w:rPr>
                    <w:t>/</w:t>
                  </w:r>
                  <w:r>
                    <w:rPr>
                      <w:rFonts w:hint="eastAsia" w:ascii="宋体" w:hAnsi="宋体"/>
                    </w:rPr>
                    <w:t>a</w:t>
                  </w:r>
                  <w:r>
                    <w:rPr>
                      <w:rFonts w:ascii="宋体" w:hAnsi="宋体"/>
                    </w:rPr>
                    <w:t>)</w:t>
                  </w:r>
                </w:p>
              </w:tc>
              <w:tc>
                <w:tcPr>
                  <w:tcW w:w="919" w:type="pct"/>
                  <w:gridSpan w:val="2"/>
                  <w:vAlign w:val="center"/>
                </w:tcPr>
                <w:p>
                  <w:pPr>
                    <w:pStyle w:val="68"/>
                    <w:spacing w:before="0" w:beforeLines="0" w:after="0" w:afterLines="0"/>
                    <w:ind w:left="24" w:right="24"/>
                  </w:pPr>
                  <w:r>
                    <w:rPr>
                      <w:rFonts w:hint="eastAsia"/>
                    </w:rPr>
                    <w:t>排放标准</w:t>
                  </w:r>
                </w:p>
              </w:tc>
              <w:tc>
                <w:tcPr>
                  <w:tcW w:w="137" w:type="pct"/>
                  <w:vMerge w:val="restart"/>
                  <w:vAlign w:val="center"/>
                </w:tcPr>
                <w:p>
                  <w:pPr>
                    <w:pStyle w:val="68"/>
                    <w:spacing w:before="0" w:beforeLines="0" w:after="0" w:afterLines="0"/>
                    <w:ind w:left="24" w:right="24"/>
                  </w:pPr>
                  <w:r>
                    <w:rPr>
                      <w:rFonts w:hint="eastAsia"/>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03" w:hRule="atLeast"/>
              </w:trPr>
              <w:tc>
                <w:tcPr>
                  <w:tcW w:w="288" w:type="pct"/>
                  <w:vMerge w:val="continue"/>
                  <w:vAlign w:val="center"/>
                </w:tcPr>
                <w:p>
                  <w:pPr>
                    <w:pStyle w:val="68"/>
                    <w:spacing w:before="0" w:beforeLines="0" w:after="0" w:afterLines="0"/>
                    <w:ind w:left="24" w:right="24"/>
                    <w:rPr>
                      <w:rFonts w:ascii="宋体" w:hAnsi="宋体"/>
                    </w:rPr>
                  </w:pPr>
                </w:p>
              </w:tc>
              <w:tc>
                <w:tcPr>
                  <w:tcW w:w="224" w:type="pct"/>
                  <w:vMerge w:val="continue"/>
                  <w:vAlign w:val="center"/>
                </w:tcPr>
                <w:p>
                  <w:pPr>
                    <w:pStyle w:val="68"/>
                    <w:spacing w:before="0" w:beforeLines="0" w:after="0" w:afterLines="0"/>
                    <w:ind w:left="24" w:right="24"/>
                    <w:rPr>
                      <w:rFonts w:ascii="宋体" w:hAnsi="宋体"/>
                    </w:rPr>
                  </w:pPr>
                </w:p>
              </w:tc>
              <w:tc>
                <w:tcPr>
                  <w:tcW w:w="321" w:type="pct"/>
                  <w:vMerge w:val="continue"/>
                  <w:vAlign w:val="center"/>
                </w:tcPr>
                <w:p>
                  <w:pPr>
                    <w:pStyle w:val="68"/>
                    <w:spacing w:before="0" w:beforeLines="0" w:after="0" w:afterLines="0"/>
                    <w:ind w:left="24" w:right="24"/>
                    <w:rPr>
                      <w:rFonts w:ascii="宋体" w:hAnsi="宋体"/>
                    </w:rPr>
                  </w:pPr>
                </w:p>
              </w:tc>
              <w:tc>
                <w:tcPr>
                  <w:tcW w:w="301" w:type="pct"/>
                  <w:vMerge w:val="continue"/>
                  <w:vAlign w:val="center"/>
                </w:tcPr>
                <w:p>
                  <w:pPr>
                    <w:pStyle w:val="68"/>
                    <w:spacing w:before="0" w:beforeLines="0" w:after="0" w:afterLines="0"/>
                    <w:ind w:left="24" w:right="24"/>
                    <w:rPr>
                      <w:rFonts w:ascii="宋体" w:hAnsi="宋体"/>
                    </w:rPr>
                  </w:pPr>
                </w:p>
              </w:tc>
              <w:tc>
                <w:tcPr>
                  <w:tcW w:w="353" w:type="pct"/>
                  <w:vMerge w:val="continue"/>
                  <w:vAlign w:val="center"/>
                </w:tcPr>
                <w:p>
                  <w:pPr>
                    <w:pStyle w:val="68"/>
                    <w:spacing w:before="0" w:beforeLines="0" w:after="0" w:afterLines="0"/>
                    <w:ind w:left="24" w:right="24"/>
                    <w:rPr>
                      <w:rFonts w:ascii="宋体" w:hAnsi="宋体"/>
                    </w:rPr>
                  </w:pPr>
                </w:p>
              </w:tc>
              <w:tc>
                <w:tcPr>
                  <w:tcW w:w="341" w:type="pct"/>
                  <w:vMerge w:val="continue"/>
                  <w:vAlign w:val="center"/>
                </w:tcPr>
                <w:p>
                  <w:pPr>
                    <w:pStyle w:val="68"/>
                    <w:spacing w:before="0" w:beforeLines="0" w:after="0" w:afterLines="0"/>
                    <w:ind w:left="24" w:right="24"/>
                    <w:rPr>
                      <w:rFonts w:ascii="宋体" w:hAnsi="宋体"/>
                    </w:rPr>
                  </w:pPr>
                </w:p>
              </w:tc>
              <w:tc>
                <w:tcPr>
                  <w:tcW w:w="264" w:type="pct"/>
                  <w:vMerge w:val="continue"/>
                  <w:vAlign w:val="center"/>
                </w:tcPr>
                <w:p>
                  <w:pPr>
                    <w:pStyle w:val="68"/>
                    <w:spacing w:before="0" w:beforeLines="0" w:after="0" w:afterLines="0"/>
                    <w:ind w:left="24" w:right="24"/>
                    <w:rPr>
                      <w:rFonts w:ascii="宋体" w:hAnsi="宋体"/>
                    </w:rPr>
                  </w:pPr>
                </w:p>
              </w:tc>
              <w:tc>
                <w:tcPr>
                  <w:tcW w:w="242" w:type="pct"/>
                  <w:vMerge w:val="continue"/>
                  <w:vAlign w:val="center"/>
                </w:tcPr>
                <w:p>
                  <w:pPr>
                    <w:pStyle w:val="68"/>
                    <w:spacing w:before="0" w:beforeLines="0" w:after="0" w:afterLines="0"/>
                    <w:ind w:left="24" w:right="24"/>
                    <w:rPr>
                      <w:rFonts w:ascii="宋体" w:hAnsi="宋体"/>
                    </w:rPr>
                  </w:pPr>
                </w:p>
              </w:tc>
              <w:tc>
                <w:tcPr>
                  <w:tcW w:w="291" w:type="pct"/>
                  <w:vMerge w:val="continue"/>
                  <w:vAlign w:val="center"/>
                </w:tcPr>
                <w:p>
                  <w:pPr>
                    <w:pStyle w:val="68"/>
                    <w:spacing w:before="0" w:beforeLines="0" w:after="0" w:afterLines="0"/>
                    <w:ind w:left="24" w:right="24"/>
                    <w:rPr>
                      <w:rFonts w:ascii="宋体" w:hAnsi="宋体"/>
                    </w:rPr>
                  </w:pPr>
                </w:p>
              </w:tc>
              <w:tc>
                <w:tcPr>
                  <w:tcW w:w="186" w:type="pct"/>
                  <w:vMerge w:val="continue"/>
                  <w:vAlign w:val="center"/>
                </w:tcPr>
                <w:p>
                  <w:pPr>
                    <w:pStyle w:val="68"/>
                    <w:spacing w:before="0" w:beforeLines="0" w:after="0" w:afterLines="0"/>
                    <w:ind w:left="24" w:right="24"/>
                    <w:rPr>
                      <w:rFonts w:ascii="宋体" w:hAnsi="宋体"/>
                    </w:rPr>
                  </w:pPr>
                </w:p>
              </w:tc>
              <w:tc>
                <w:tcPr>
                  <w:tcW w:w="241" w:type="pct"/>
                  <w:vMerge w:val="continue"/>
                  <w:vAlign w:val="center"/>
                </w:tcPr>
                <w:p>
                  <w:pPr>
                    <w:pStyle w:val="68"/>
                    <w:spacing w:before="0" w:beforeLines="0" w:after="0" w:afterLines="0"/>
                    <w:ind w:left="24" w:right="24"/>
                    <w:rPr>
                      <w:rFonts w:ascii="宋体" w:hAnsi="宋体"/>
                    </w:rPr>
                  </w:pPr>
                </w:p>
              </w:tc>
              <w:tc>
                <w:tcPr>
                  <w:tcW w:w="279" w:type="pct"/>
                  <w:vMerge w:val="continue"/>
                  <w:vAlign w:val="center"/>
                </w:tcPr>
                <w:p>
                  <w:pPr>
                    <w:pStyle w:val="68"/>
                    <w:spacing w:before="0" w:beforeLines="0" w:after="0" w:afterLines="0"/>
                    <w:ind w:left="24" w:right="24"/>
                    <w:rPr>
                      <w:rFonts w:ascii="宋体" w:hAnsi="宋体"/>
                    </w:rPr>
                  </w:pPr>
                </w:p>
              </w:tc>
              <w:tc>
                <w:tcPr>
                  <w:tcW w:w="322" w:type="pct"/>
                  <w:vMerge w:val="continue"/>
                  <w:vAlign w:val="center"/>
                </w:tcPr>
                <w:p>
                  <w:pPr>
                    <w:pStyle w:val="68"/>
                    <w:spacing w:before="0" w:beforeLines="0" w:after="0" w:afterLines="0"/>
                    <w:ind w:left="24" w:right="24"/>
                    <w:rPr>
                      <w:rFonts w:ascii="宋体" w:hAnsi="宋体"/>
                    </w:rPr>
                  </w:pPr>
                </w:p>
              </w:tc>
              <w:tc>
                <w:tcPr>
                  <w:tcW w:w="291" w:type="pct"/>
                  <w:vMerge w:val="continue"/>
                  <w:vAlign w:val="center"/>
                </w:tcPr>
                <w:p>
                  <w:pPr>
                    <w:pStyle w:val="68"/>
                    <w:spacing w:before="0" w:beforeLines="0" w:after="0" w:afterLines="0"/>
                    <w:ind w:left="24" w:right="24"/>
                    <w:rPr>
                      <w:rFonts w:ascii="宋体" w:hAnsi="宋体"/>
                    </w:rPr>
                  </w:pPr>
                </w:p>
              </w:tc>
              <w:tc>
                <w:tcPr>
                  <w:tcW w:w="365" w:type="pct"/>
                  <w:vAlign w:val="center"/>
                </w:tcPr>
                <w:p>
                  <w:pPr>
                    <w:pStyle w:val="68"/>
                    <w:spacing w:before="0" w:beforeLines="0" w:after="0" w:afterLines="0"/>
                    <w:ind w:left="24" w:right="24"/>
                  </w:pPr>
                  <w:r>
                    <w:rPr>
                      <w:rFonts w:hint="eastAsia"/>
                    </w:rPr>
                    <w:t>限值(浓度/速率</w:t>
                  </w:r>
                </w:p>
              </w:tc>
              <w:tc>
                <w:tcPr>
                  <w:tcW w:w="554" w:type="pct"/>
                  <w:vAlign w:val="center"/>
                </w:tcPr>
                <w:p>
                  <w:pPr>
                    <w:pStyle w:val="68"/>
                    <w:spacing w:before="0" w:beforeLines="0" w:after="0" w:afterLines="0"/>
                    <w:ind w:left="24" w:right="24"/>
                  </w:pPr>
                  <w:r>
                    <w:rPr>
                      <w:rFonts w:hint="eastAsia"/>
                    </w:rPr>
                    <w:t>名称</w:t>
                  </w:r>
                </w:p>
              </w:tc>
              <w:tc>
                <w:tcPr>
                  <w:tcW w:w="137" w:type="pct"/>
                  <w:vMerge w:val="continue"/>
                  <w:vAlign w:val="center"/>
                </w:tcPr>
                <w:p>
                  <w:pPr>
                    <w:pStyle w:val="68"/>
                    <w:spacing w:before="0" w:beforeLines="0" w:after="0" w:afterLines="0"/>
                    <w:ind w:left="24" w:right="2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288" w:type="pct"/>
                  <w:vAlign w:val="center"/>
                </w:tcPr>
                <w:p>
                  <w:pPr>
                    <w:pStyle w:val="68"/>
                    <w:spacing w:before="0" w:beforeLines="0" w:after="0" w:afterLines="0"/>
                    <w:ind w:left="24" w:right="24"/>
                    <w:rPr>
                      <w:rFonts w:ascii="宋体" w:hAnsi="宋体"/>
                    </w:rPr>
                  </w:pPr>
                  <w:r>
                    <w:rPr>
                      <w:rFonts w:hint="eastAsia" w:ascii="宋体" w:hAnsi="宋体"/>
                    </w:rPr>
                    <w:t>DA00</w:t>
                  </w:r>
                  <w:r>
                    <w:rPr>
                      <w:rFonts w:ascii="宋体" w:hAnsi="宋体"/>
                    </w:rPr>
                    <w:t>1</w:t>
                  </w:r>
                </w:p>
              </w:tc>
              <w:tc>
                <w:tcPr>
                  <w:tcW w:w="224" w:type="pct"/>
                  <w:vAlign w:val="center"/>
                </w:tcPr>
                <w:p>
                  <w:pPr>
                    <w:pStyle w:val="68"/>
                    <w:spacing w:before="0" w:beforeLines="0" w:after="0" w:afterLines="0"/>
                    <w:ind w:left="24" w:right="24"/>
                    <w:rPr>
                      <w:rFonts w:ascii="宋体" w:hAnsi="宋体"/>
                    </w:rPr>
                  </w:pPr>
                  <w:r>
                    <w:rPr>
                      <w:rFonts w:hint="eastAsia" w:ascii="宋体" w:hAnsi="宋体"/>
                    </w:rPr>
                    <w:t>颗粒物</w:t>
                  </w:r>
                </w:p>
              </w:tc>
              <w:tc>
                <w:tcPr>
                  <w:tcW w:w="321" w:type="pct"/>
                  <w:vAlign w:val="center"/>
                </w:tcPr>
                <w:p>
                  <w:pPr>
                    <w:pStyle w:val="68"/>
                    <w:spacing w:before="0" w:beforeLines="0" w:after="0" w:afterLines="0"/>
                    <w:ind w:left="24" w:right="24"/>
                    <w:rPr>
                      <w:rFonts w:ascii="宋体" w:hAnsi="宋体"/>
                    </w:rPr>
                  </w:pPr>
                  <w:r>
                    <w:rPr>
                      <w:rFonts w:hint="eastAsia" w:ascii="宋体" w:hAnsi="宋体"/>
                    </w:rPr>
                    <w:t>混凝土生产线</w:t>
                  </w:r>
                </w:p>
              </w:tc>
              <w:tc>
                <w:tcPr>
                  <w:tcW w:w="301" w:type="pct"/>
                  <w:vAlign w:val="center"/>
                </w:tcPr>
                <w:p>
                  <w:pPr>
                    <w:pStyle w:val="68"/>
                    <w:spacing w:before="0" w:beforeLines="0" w:after="0" w:afterLines="0"/>
                    <w:ind w:left="24" w:right="24"/>
                    <w:rPr>
                      <w:rFonts w:ascii="宋体" w:hAnsi="宋体"/>
                    </w:rPr>
                  </w:pPr>
                  <w:r>
                    <w:rPr>
                      <w:rFonts w:hint="eastAsia" w:ascii="宋体" w:hAnsi="宋体"/>
                    </w:rPr>
                    <w:t>混凝土搅拌</w:t>
                  </w:r>
                </w:p>
              </w:tc>
              <w:tc>
                <w:tcPr>
                  <w:tcW w:w="353" w:type="pct"/>
                  <w:vAlign w:val="center"/>
                </w:tcPr>
                <w:p>
                  <w:pPr>
                    <w:pStyle w:val="68"/>
                    <w:spacing w:before="0" w:beforeLines="0" w:after="0" w:afterLines="0"/>
                    <w:ind w:left="24" w:right="24"/>
                    <w:rPr>
                      <w:rFonts w:ascii="宋体" w:hAnsi="宋体"/>
                    </w:rPr>
                  </w:pPr>
                  <w:r>
                    <w:rPr>
                      <w:rFonts w:ascii="宋体" w:hAnsi="宋体" w:cs="宋体"/>
                      <w:kern w:val="0"/>
                    </w:rPr>
                    <w:t>91.416</w:t>
                  </w:r>
                </w:p>
              </w:tc>
              <w:tc>
                <w:tcPr>
                  <w:tcW w:w="341" w:type="pct"/>
                  <w:vAlign w:val="center"/>
                </w:tcPr>
                <w:p>
                  <w:pPr>
                    <w:pStyle w:val="68"/>
                    <w:spacing w:before="0" w:beforeLines="0" w:after="0" w:afterLines="0"/>
                    <w:ind w:left="24" w:right="24"/>
                    <w:rPr>
                      <w:rFonts w:ascii="宋体" w:hAnsi="宋体"/>
                    </w:rPr>
                  </w:pPr>
                  <w:r>
                    <w:rPr>
                      <w:rFonts w:hint="eastAsia" w:ascii="宋体" w:hAnsi="宋体"/>
                    </w:rPr>
                    <w:t>搅拌废气治理装置</w:t>
                  </w:r>
                </w:p>
              </w:tc>
              <w:tc>
                <w:tcPr>
                  <w:tcW w:w="264" w:type="pct"/>
                  <w:vAlign w:val="center"/>
                </w:tcPr>
                <w:p>
                  <w:pPr>
                    <w:pStyle w:val="68"/>
                    <w:spacing w:before="0" w:beforeLines="0" w:after="0" w:afterLines="0"/>
                    <w:ind w:left="24" w:right="24"/>
                    <w:rPr>
                      <w:rFonts w:ascii="宋体" w:hAnsi="宋体"/>
                    </w:rPr>
                  </w:pPr>
                  <w:r>
                    <w:rPr>
                      <w:rFonts w:hint="eastAsia" w:ascii="宋体" w:hAnsi="宋体"/>
                    </w:rPr>
                    <w:t>布袋除尘</w:t>
                  </w:r>
                </w:p>
              </w:tc>
              <w:tc>
                <w:tcPr>
                  <w:tcW w:w="242" w:type="pct"/>
                  <w:vAlign w:val="center"/>
                </w:tcPr>
                <w:p>
                  <w:pPr>
                    <w:pStyle w:val="68"/>
                    <w:spacing w:before="0" w:beforeLines="0" w:after="0" w:afterLines="0"/>
                    <w:ind w:left="24" w:right="24"/>
                    <w:rPr>
                      <w:rFonts w:ascii="宋体" w:hAnsi="宋体"/>
                    </w:rPr>
                  </w:pPr>
                  <w:r>
                    <w:rPr>
                      <w:rFonts w:ascii="宋体" w:hAnsi="宋体"/>
                    </w:rPr>
                    <w:t>99</w:t>
                  </w:r>
                </w:p>
              </w:tc>
              <w:tc>
                <w:tcPr>
                  <w:tcW w:w="291" w:type="pct"/>
                  <w:vAlign w:val="center"/>
                </w:tcPr>
                <w:p>
                  <w:pPr>
                    <w:pStyle w:val="68"/>
                    <w:spacing w:before="0" w:beforeLines="0" w:after="0" w:afterLines="0"/>
                    <w:ind w:left="24" w:right="24"/>
                    <w:rPr>
                      <w:rFonts w:ascii="宋体" w:hAnsi="宋体"/>
                    </w:rPr>
                  </w:pPr>
                  <w:r>
                    <w:rPr>
                      <w:rFonts w:ascii="宋体" w:hAnsi="宋体" w:cs="宋体"/>
                      <w:kern w:val="0"/>
                    </w:rPr>
                    <w:t>90.502</w:t>
                  </w:r>
                </w:p>
              </w:tc>
              <w:tc>
                <w:tcPr>
                  <w:tcW w:w="186" w:type="pct"/>
                  <w:vAlign w:val="center"/>
                </w:tcPr>
                <w:p>
                  <w:pPr>
                    <w:pStyle w:val="68"/>
                    <w:spacing w:before="0" w:beforeLines="0" w:after="0" w:afterLines="0"/>
                    <w:ind w:left="24" w:right="24"/>
                    <w:rPr>
                      <w:rFonts w:ascii="宋体" w:hAnsi="宋体"/>
                    </w:rPr>
                  </w:pPr>
                  <w:r>
                    <w:rPr>
                      <w:rFonts w:ascii="宋体" w:hAnsi="宋体"/>
                    </w:rPr>
                    <w:t>99</w:t>
                  </w:r>
                  <w:r>
                    <w:rPr>
                      <w:rFonts w:hint="eastAsia" w:ascii="宋体" w:hAnsi="宋体"/>
                    </w:rPr>
                    <w:t>.5</w:t>
                  </w:r>
                </w:p>
              </w:tc>
              <w:tc>
                <w:tcPr>
                  <w:tcW w:w="241" w:type="pct"/>
                  <w:vAlign w:val="center"/>
                </w:tcPr>
                <w:p>
                  <w:pPr>
                    <w:pStyle w:val="68"/>
                    <w:spacing w:before="0" w:beforeLines="0" w:after="0" w:afterLines="0"/>
                    <w:ind w:left="24" w:right="24"/>
                    <w:rPr>
                      <w:rFonts w:ascii="宋体" w:hAnsi="宋体"/>
                    </w:rPr>
                  </w:pPr>
                  <w:r>
                    <w:rPr>
                      <w:rFonts w:hint="eastAsia" w:ascii="宋体" w:hAnsi="宋体" w:cs="宋体"/>
                      <w:kern w:val="0"/>
                    </w:rPr>
                    <w:t>4.71</w:t>
                  </w:r>
                </w:p>
              </w:tc>
              <w:tc>
                <w:tcPr>
                  <w:tcW w:w="279" w:type="pct"/>
                  <w:vAlign w:val="center"/>
                </w:tcPr>
                <w:p>
                  <w:pPr>
                    <w:pStyle w:val="68"/>
                    <w:spacing w:before="0" w:beforeLines="0" w:after="0" w:afterLines="0"/>
                    <w:ind w:left="24" w:right="24"/>
                    <w:rPr>
                      <w:rFonts w:ascii="宋体" w:hAnsi="宋体"/>
                    </w:rPr>
                  </w:pPr>
                  <w:r>
                    <w:rPr>
                      <w:rFonts w:hint="eastAsia" w:ascii="宋体" w:hAnsi="宋体" w:cs="宋体"/>
                      <w:kern w:val="0"/>
                    </w:rPr>
                    <w:t>0.094</w:t>
                  </w:r>
                </w:p>
              </w:tc>
              <w:tc>
                <w:tcPr>
                  <w:tcW w:w="322" w:type="pct"/>
                  <w:vAlign w:val="center"/>
                </w:tcPr>
                <w:p>
                  <w:pPr>
                    <w:pStyle w:val="68"/>
                    <w:spacing w:before="0" w:beforeLines="0" w:after="0" w:afterLines="0"/>
                    <w:ind w:left="24" w:right="24"/>
                    <w:rPr>
                      <w:rFonts w:ascii="宋体" w:hAnsi="宋体"/>
                    </w:rPr>
                  </w:pPr>
                  <w:r>
                    <w:rPr>
                      <w:rFonts w:ascii="宋体" w:hAnsi="宋体"/>
                    </w:rPr>
                    <w:t>4800</w:t>
                  </w:r>
                </w:p>
              </w:tc>
              <w:tc>
                <w:tcPr>
                  <w:tcW w:w="291" w:type="pct"/>
                  <w:vAlign w:val="center"/>
                </w:tcPr>
                <w:p>
                  <w:pPr>
                    <w:pStyle w:val="68"/>
                    <w:spacing w:before="0" w:beforeLines="0" w:after="0" w:afterLines="0"/>
                    <w:ind w:left="24" w:right="24"/>
                    <w:rPr>
                      <w:rFonts w:ascii="宋体" w:hAnsi="宋体"/>
                    </w:rPr>
                  </w:pPr>
                  <w:r>
                    <w:rPr>
                      <w:rFonts w:hint="eastAsia" w:ascii="宋体" w:hAnsi="宋体" w:cs="宋体"/>
                      <w:kern w:val="0"/>
                    </w:rPr>
                    <w:t>0.453</w:t>
                  </w:r>
                </w:p>
              </w:tc>
              <w:tc>
                <w:tcPr>
                  <w:tcW w:w="365" w:type="pct"/>
                  <w:vAlign w:val="center"/>
                </w:tcPr>
                <w:p>
                  <w:pPr>
                    <w:pStyle w:val="68"/>
                    <w:spacing w:before="0" w:beforeLines="0" w:after="0" w:afterLines="0"/>
                    <w:ind w:left="24" w:right="24"/>
                  </w:pPr>
                  <w:r>
                    <w:t>10mg/m</w:t>
                  </w:r>
                  <w:r>
                    <w:rPr>
                      <w:vertAlign w:val="superscript"/>
                    </w:rPr>
                    <w:t>3</w:t>
                  </w:r>
                  <w:r>
                    <w:t>/</w:t>
                  </w:r>
                  <w:r>
                    <w:rPr>
                      <w:rFonts w:hint="eastAsia"/>
                    </w:rPr>
                    <w:t>无</w:t>
                  </w:r>
                </w:p>
              </w:tc>
              <w:tc>
                <w:tcPr>
                  <w:tcW w:w="554" w:type="pct"/>
                  <w:vAlign w:val="center"/>
                </w:tcPr>
                <w:p>
                  <w:pPr>
                    <w:pStyle w:val="68"/>
                    <w:spacing w:before="0" w:beforeLines="0" w:after="0" w:afterLines="0"/>
                    <w:ind w:left="24" w:right="24"/>
                  </w:pPr>
                  <w:r>
                    <w:rPr>
                      <w:rFonts w:hint="eastAsia"/>
                      <w:bCs/>
                    </w:rPr>
                    <w:t>（</w:t>
                  </w:r>
                  <w:r>
                    <w:rPr>
                      <w:bCs/>
                    </w:rPr>
                    <w:t>DB37/2373-2018</w:t>
                  </w:r>
                  <w:r>
                    <w:rPr>
                      <w:rFonts w:hint="eastAsia"/>
                      <w:bCs/>
                    </w:rPr>
                    <w:t>）表2</w:t>
                  </w:r>
                  <w:r>
                    <w:rPr>
                      <w:bCs/>
                    </w:rPr>
                    <w:t>重点</w:t>
                  </w:r>
                  <w:r>
                    <w:rPr>
                      <w:rFonts w:hint="eastAsia"/>
                      <w:bCs/>
                    </w:rPr>
                    <w:t>控制</w:t>
                  </w:r>
                  <w:r>
                    <w:rPr>
                      <w:bCs/>
                    </w:rPr>
                    <w:t>区</w:t>
                  </w:r>
                </w:p>
              </w:tc>
              <w:tc>
                <w:tcPr>
                  <w:tcW w:w="137" w:type="pct"/>
                  <w:vAlign w:val="center"/>
                </w:tcPr>
                <w:p>
                  <w:pPr>
                    <w:pStyle w:val="68"/>
                    <w:spacing w:before="0" w:beforeLines="0" w:after="0" w:afterLines="0"/>
                    <w:ind w:left="24" w:right="24"/>
                  </w:pPr>
                  <w:r>
                    <w:rPr>
                      <w:rFonts w:hint="eastAsia"/>
                    </w:rPr>
                    <w:t>达标</w:t>
                  </w:r>
                </w:p>
              </w:tc>
            </w:tr>
          </w:tbl>
          <w:p/>
          <w:p/>
          <w:p>
            <w:pPr>
              <w:pStyle w:val="2"/>
              <w:ind w:left="480" w:firstLine="600"/>
            </w:pPr>
          </w:p>
          <w:p/>
          <w:p>
            <w:pPr>
              <w:pStyle w:val="2"/>
              <w:ind w:left="480" w:firstLine="600"/>
            </w:pPr>
          </w:p>
          <w:p/>
          <w:p>
            <w:pPr>
              <w:pStyle w:val="69"/>
              <w:ind w:left="48" w:right="48"/>
              <w:jc w:val="both"/>
              <w:rPr>
                <w:lang w:eastAsia="zh-CN"/>
              </w:rPr>
            </w:pPr>
            <w:r>
              <w:rPr>
                <w:rFonts w:hint="eastAsia"/>
                <w:lang w:eastAsia="zh-CN"/>
              </w:rPr>
              <w:t>3、</w:t>
            </w:r>
            <w:r>
              <w:rPr>
                <w:lang w:eastAsia="zh-CN"/>
              </w:rPr>
              <w:t>废气</w:t>
            </w:r>
            <w:r>
              <w:rPr>
                <w:rFonts w:hint="eastAsia"/>
                <w:lang w:eastAsia="zh-CN"/>
              </w:rPr>
              <w:t>无</w:t>
            </w:r>
            <w:r>
              <w:rPr>
                <w:lang w:eastAsia="zh-CN"/>
              </w:rPr>
              <w:t>组织产排污节点、污染物及污染治理设施</w:t>
            </w:r>
            <w:r>
              <w:rPr>
                <w:rFonts w:hint="eastAsia"/>
                <w:lang w:eastAsia="zh-CN"/>
              </w:rPr>
              <w:t>见</w:t>
            </w:r>
            <w:r>
              <w:rPr>
                <w:lang w:eastAsia="zh-CN"/>
              </w:rPr>
              <w:fldChar w:fldCharType="begin"/>
            </w:r>
            <w:r>
              <w:rPr>
                <w:lang w:eastAsia="zh-CN"/>
              </w:rPr>
              <w:instrText xml:space="preserve"> </w:instrText>
            </w:r>
            <w:r>
              <w:rPr>
                <w:rFonts w:hint="eastAsia"/>
                <w:lang w:eastAsia="zh-CN"/>
              </w:rPr>
              <w:instrText xml:space="preserve">REF _Ref128462349 \h</w:instrText>
            </w:r>
            <w:r>
              <w:rPr>
                <w:lang w:eastAsia="zh-CN"/>
              </w:rPr>
              <w:instrText xml:space="preserve">  \* MERGEFORMAT </w:instrText>
            </w:r>
            <w:r>
              <w:rPr>
                <w:lang w:eastAsia="zh-CN"/>
              </w:rPr>
              <w:fldChar w:fldCharType="separate"/>
            </w:r>
            <w:r>
              <w:rPr>
                <w:lang w:eastAsia="zh-CN"/>
              </w:rPr>
              <w:t>表24</w:t>
            </w:r>
            <w:r>
              <w:rPr>
                <w:lang w:eastAsia="zh-CN"/>
              </w:rPr>
              <w:fldChar w:fldCharType="end"/>
            </w:r>
            <w:r>
              <w:rPr>
                <w:rFonts w:hint="eastAsia"/>
                <w:lang w:eastAsia="zh-CN"/>
              </w:rPr>
              <w:t>。</w:t>
            </w:r>
          </w:p>
          <w:p>
            <w:pPr>
              <w:pStyle w:val="70"/>
              <w:spacing w:before="0" w:beforeLines="0" w:line="240" w:lineRule="auto"/>
              <w:rPr>
                <w:lang w:eastAsia="zh-CN"/>
              </w:rPr>
            </w:pPr>
            <w:bookmarkStart w:id="27" w:name="_Ref128462349"/>
            <w:r>
              <w:rPr>
                <w:lang w:eastAsia="zh-CN"/>
              </w:rPr>
              <w:t>表</w:t>
            </w:r>
            <w:r>
              <w:fldChar w:fldCharType="begin"/>
            </w:r>
            <w:r>
              <w:rPr>
                <w:lang w:eastAsia="zh-CN"/>
              </w:rPr>
              <w:instrText xml:space="preserve"> </w:instrText>
            </w:r>
            <w:r>
              <w:rPr>
                <w:rFonts w:hint="eastAsia"/>
                <w:lang w:eastAsia="zh-CN"/>
              </w:rPr>
              <w:instrText xml:space="preserve">SEQ 表格 \* ARABIC</w:instrText>
            </w:r>
            <w:r>
              <w:rPr>
                <w:lang w:eastAsia="zh-CN"/>
              </w:rPr>
              <w:instrText xml:space="preserve"> </w:instrText>
            </w:r>
            <w:r>
              <w:fldChar w:fldCharType="separate"/>
            </w:r>
            <w:r>
              <w:rPr>
                <w:lang w:eastAsia="zh-CN"/>
              </w:rPr>
              <w:t>24</w:t>
            </w:r>
            <w:r>
              <w:fldChar w:fldCharType="end"/>
            </w:r>
            <w:bookmarkEnd w:id="27"/>
            <w:r>
              <w:rPr>
                <w:lang w:eastAsia="zh-CN"/>
              </w:rPr>
              <w:t xml:space="preserve"> 废气</w:t>
            </w:r>
            <w:r>
              <w:rPr>
                <w:rFonts w:hint="eastAsia"/>
                <w:lang w:eastAsia="zh-CN"/>
              </w:rPr>
              <w:t>无</w:t>
            </w:r>
            <w:r>
              <w:rPr>
                <w:lang w:eastAsia="zh-CN"/>
              </w:rPr>
              <w:t>组织产排污节点、污染物及污染治理设施信息表</w:t>
            </w:r>
          </w:p>
          <w:tbl>
            <w:tblPr>
              <w:tblStyle w:val="3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09"/>
              <w:gridCol w:w="1655"/>
              <w:gridCol w:w="881"/>
              <w:gridCol w:w="892"/>
              <w:gridCol w:w="603"/>
              <w:gridCol w:w="1468"/>
              <w:gridCol w:w="617"/>
              <w:gridCol w:w="587"/>
              <w:gridCol w:w="734"/>
              <w:gridCol w:w="584"/>
              <w:gridCol w:w="734"/>
              <w:gridCol w:w="886"/>
              <w:gridCol w:w="886"/>
              <w:gridCol w:w="911"/>
              <w:gridCol w:w="14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261" w:type="pct"/>
                  <w:vAlign w:val="center"/>
                </w:tcPr>
                <w:p>
                  <w:pPr>
                    <w:jc w:val="center"/>
                    <w:rPr>
                      <w:sz w:val="21"/>
                      <w:szCs w:val="21"/>
                    </w:rPr>
                  </w:pPr>
                  <w:r>
                    <w:rPr>
                      <w:rFonts w:hint="eastAsia"/>
                      <w:sz w:val="21"/>
                      <w:szCs w:val="21"/>
                    </w:rPr>
                    <w:t>生产线名称及编号</w:t>
                  </w:r>
                </w:p>
              </w:tc>
              <w:tc>
                <w:tcPr>
                  <w:tcW w:w="609" w:type="pct"/>
                  <w:vAlign w:val="center"/>
                </w:tcPr>
                <w:p>
                  <w:pPr>
                    <w:jc w:val="center"/>
                    <w:rPr>
                      <w:sz w:val="21"/>
                      <w:szCs w:val="21"/>
                    </w:rPr>
                  </w:pPr>
                  <w:r>
                    <w:rPr>
                      <w:sz w:val="21"/>
                      <w:szCs w:val="21"/>
                    </w:rPr>
                    <w:t>产</w:t>
                  </w:r>
                  <w:r>
                    <w:rPr>
                      <w:rFonts w:hint="eastAsia"/>
                      <w:sz w:val="21"/>
                      <w:szCs w:val="21"/>
                    </w:rPr>
                    <w:t>排</w:t>
                  </w:r>
                  <w:r>
                    <w:rPr>
                      <w:sz w:val="21"/>
                      <w:szCs w:val="21"/>
                    </w:rPr>
                    <w:t>污环节</w:t>
                  </w:r>
                </w:p>
              </w:tc>
              <w:tc>
                <w:tcPr>
                  <w:tcW w:w="324" w:type="pct"/>
                  <w:vAlign w:val="center"/>
                </w:tcPr>
                <w:p>
                  <w:pPr>
                    <w:jc w:val="center"/>
                    <w:rPr>
                      <w:sz w:val="21"/>
                      <w:szCs w:val="21"/>
                    </w:rPr>
                  </w:pPr>
                  <w:r>
                    <w:rPr>
                      <w:rFonts w:hint="eastAsia"/>
                      <w:sz w:val="21"/>
                      <w:szCs w:val="21"/>
                    </w:rPr>
                    <w:t>污染物种类</w:t>
                  </w:r>
                </w:p>
              </w:tc>
              <w:tc>
                <w:tcPr>
                  <w:tcW w:w="328" w:type="pct"/>
                  <w:vAlign w:val="center"/>
                </w:tcPr>
                <w:p>
                  <w:pPr>
                    <w:jc w:val="center"/>
                    <w:rPr>
                      <w:sz w:val="21"/>
                      <w:szCs w:val="21"/>
                    </w:rPr>
                  </w:pPr>
                  <w:r>
                    <w:rPr>
                      <w:rFonts w:hint="eastAsia"/>
                      <w:sz w:val="21"/>
                      <w:szCs w:val="21"/>
                    </w:rPr>
                    <w:t>污染物产生量/t</w:t>
                  </w:r>
                  <w:r>
                    <w:rPr>
                      <w:sz w:val="21"/>
                      <w:szCs w:val="21"/>
                    </w:rPr>
                    <w:t>/a</w:t>
                  </w:r>
                </w:p>
              </w:tc>
              <w:tc>
                <w:tcPr>
                  <w:tcW w:w="222" w:type="pct"/>
                  <w:vAlign w:val="center"/>
                </w:tcPr>
                <w:p>
                  <w:pPr>
                    <w:jc w:val="center"/>
                    <w:rPr>
                      <w:sz w:val="21"/>
                      <w:szCs w:val="21"/>
                    </w:rPr>
                  </w:pPr>
                  <w:r>
                    <w:rPr>
                      <w:sz w:val="21"/>
                      <w:szCs w:val="21"/>
                    </w:rPr>
                    <w:t>治理设施名称</w:t>
                  </w:r>
                </w:p>
              </w:tc>
              <w:tc>
                <w:tcPr>
                  <w:tcW w:w="540" w:type="pct"/>
                  <w:vAlign w:val="center"/>
                </w:tcPr>
                <w:p>
                  <w:pPr>
                    <w:jc w:val="center"/>
                    <w:rPr>
                      <w:sz w:val="21"/>
                      <w:szCs w:val="21"/>
                    </w:rPr>
                  </w:pPr>
                  <w:r>
                    <w:rPr>
                      <w:sz w:val="21"/>
                      <w:szCs w:val="21"/>
                    </w:rPr>
                    <w:t>治理设施</w:t>
                  </w:r>
                  <w:r>
                    <w:rPr>
                      <w:rFonts w:hint="eastAsia"/>
                      <w:sz w:val="21"/>
                      <w:szCs w:val="21"/>
                    </w:rPr>
                    <w:t>工艺</w:t>
                  </w:r>
                </w:p>
              </w:tc>
              <w:tc>
                <w:tcPr>
                  <w:tcW w:w="227" w:type="pct"/>
                  <w:vAlign w:val="center"/>
                </w:tcPr>
                <w:p>
                  <w:pPr>
                    <w:jc w:val="center"/>
                    <w:rPr>
                      <w:sz w:val="21"/>
                      <w:szCs w:val="21"/>
                    </w:rPr>
                  </w:pPr>
                  <w:r>
                    <w:rPr>
                      <w:rFonts w:hint="eastAsia"/>
                      <w:sz w:val="21"/>
                      <w:szCs w:val="21"/>
                    </w:rPr>
                    <w:t>无组织产生量/t</w:t>
                  </w:r>
                  <w:r>
                    <w:rPr>
                      <w:sz w:val="21"/>
                      <w:szCs w:val="21"/>
                    </w:rPr>
                    <w:t>/</w:t>
                  </w:r>
                  <w:r>
                    <w:rPr>
                      <w:rFonts w:hint="eastAsia"/>
                      <w:sz w:val="21"/>
                      <w:szCs w:val="21"/>
                    </w:rPr>
                    <w:t>a</w:t>
                  </w:r>
                </w:p>
              </w:tc>
              <w:tc>
                <w:tcPr>
                  <w:tcW w:w="216" w:type="pct"/>
                  <w:vAlign w:val="center"/>
                </w:tcPr>
                <w:p>
                  <w:pPr>
                    <w:jc w:val="center"/>
                    <w:rPr>
                      <w:sz w:val="21"/>
                      <w:szCs w:val="21"/>
                    </w:rPr>
                  </w:pPr>
                  <w:r>
                    <w:rPr>
                      <w:rFonts w:hint="eastAsia"/>
                      <w:sz w:val="21"/>
                      <w:szCs w:val="21"/>
                    </w:rPr>
                    <w:t>去除率(%)</w:t>
                  </w:r>
                </w:p>
              </w:tc>
              <w:tc>
                <w:tcPr>
                  <w:tcW w:w="270" w:type="pct"/>
                  <w:vAlign w:val="center"/>
                </w:tcPr>
                <w:p>
                  <w:pPr>
                    <w:jc w:val="center"/>
                    <w:rPr>
                      <w:sz w:val="21"/>
                      <w:szCs w:val="21"/>
                    </w:rPr>
                  </w:pPr>
                  <w:r>
                    <w:rPr>
                      <w:rFonts w:hint="eastAsia"/>
                      <w:sz w:val="21"/>
                      <w:szCs w:val="21"/>
                    </w:rPr>
                    <w:t>是否可行技术</w:t>
                  </w:r>
                </w:p>
              </w:tc>
              <w:tc>
                <w:tcPr>
                  <w:tcW w:w="215" w:type="pct"/>
                  <w:vAlign w:val="center"/>
                </w:tcPr>
                <w:p>
                  <w:pPr>
                    <w:jc w:val="center"/>
                    <w:rPr>
                      <w:sz w:val="21"/>
                      <w:szCs w:val="21"/>
                    </w:rPr>
                  </w:pPr>
                  <w:r>
                    <w:rPr>
                      <w:rFonts w:hint="eastAsia"/>
                      <w:sz w:val="21"/>
                      <w:szCs w:val="21"/>
                    </w:rPr>
                    <w:t>排放口</w:t>
                  </w:r>
                  <w:r>
                    <w:rPr>
                      <w:sz w:val="21"/>
                      <w:szCs w:val="21"/>
                    </w:rPr>
                    <w:t>编号</w:t>
                  </w:r>
                </w:p>
              </w:tc>
              <w:tc>
                <w:tcPr>
                  <w:tcW w:w="270" w:type="pct"/>
                  <w:vAlign w:val="center"/>
                </w:tcPr>
                <w:p>
                  <w:pPr>
                    <w:jc w:val="center"/>
                    <w:rPr>
                      <w:sz w:val="21"/>
                      <w:szCs w:val="21"/>
                    </w:rPr>
                  </w:pPr>
                  <w:r>
                    <w:rPr>
                      <w:rFonts w:hint="eastAsia"/>
                      <w:sz w:val="21"/>
                      <w:szCs w:val="21"/>
                    </w:rPr>
                    <w:t>排放速率/</w:t>
                  </w:r>
                  <w:r>
                    <w:rPr>
                      <w:sz w:val="21"/>
                      <w:szCs w:val="21"/>
                    </w:rPr>
                    <w:t>kg/h</w:t>
                  </w:r>
                </w:p>
              </w:tc>
              <w:tc>
                <w:tcPr>
                  <w:tcW w:w="326" w:type="pct"/>
                  <w:vAlign w:val="center"/>
                </w:tcPr>
                <w:p>
                  <w:pPr>
                    <w:jc w:val="center"/>
                    <w:rPr>
                      <w:sz w:val="21"/>
                      <w:szCs w:val="21"/>
                    </w:rPr>
                  </w:pPr>
                  <w:r>
                    <w:rPr>
                      <w:rFonts w:hint="eastAsia"/>
                      <w:sz w:val="21"/>
                      <w:szCs w:val="21"/>
                    </w:rPr>
                    <w:t>排放时间（h</w:t>
                  </w:r>
                  <w:r>
                    <w:rPr>
                      <w:sz w:val="21"/>
                      <w:szCs w:val="21"/>
                    </w:rPr>
                    <w:t>/a</w:t>
                  </w:r>
                  <w:r>
                    <w:rPr>
                      <w:rFonts w:hint="eastAsia"/>
                      <w:sz w:val="21"/>
                      <w:szCs w:val="21"/>
                    </w:rPr>
                    <w:t>）</w:t>
                  </w:r>
                </w:p>
              </w:tc>
              <w:tc>
                <w:tcPr>
                  <w:tcW w:w="326" w:type="pct"/>
                  <w:vAlign w:val="center"/>
                </w:tcPr>
                <w:p>
                  <w:pPr>
                    <w:jc w:val="center"/>
                    <w:rPr>
                      <w:sz w:val="21"/>
                      <w:szCs w:val="21"/>
                    </w:rPr>
                  </w:pPr>
                  <w:r>
                    <w:rPr>
                      <w:sz w:val="21"/>
                      <w:szCs w:val="21"/>
                    </w:rPr>
                    <w:t>污染物排放量</w:t>
                  </w:r>
                  <w:r>
                    <w:rPr>
                      <w:rFonts w:hint="eastAsia"/>
                      <w:sz w:val="21"/>
                      <w:szCs w:val="21"/>
                    </w:rPr>
                    <w:t>(t</w:t>
                  </w:r>
                  <w:r>
                    <w:rPr>
                      <w:sz w:val="21"/>
                      <w:szCs w:val="21"/>
                    </w:rPr>
                    <w:t>/</w:t>
                  </w:r>
                  <w:r>
                    <w:rPr>
                      <w:rFonts w:hint="eastAsia"/>
                      <w:sz w:val="21"/>
                      <w:szCs w:val="21"/>
                    </w:rPr>
                    <w:t>a</w:t>
                  </w:r>
                  <w:r>
                    <w:rPr>
                      <w:sz w:val="21"/>
                      <w:szCs w:val="21"/>
                    </w:rPr>
                    <w:t>)</w:t>
                  </w:r>
                </w:p>
              </w:tc>
              <w:tc>
                <w:tcPr>
                  <w:tcW w:w="866" w:type="pct"/>
                  <w:gridSpan w:val="2"/>
                  <w:vAlign w:val="center"/>
                </w:tcPr>
                <w:p>
                  <w:pPr>
                    <w:jc w:val="center"/>
                    <w:rPr>
                      <w:sz w:val="21"/>
                      <w:szCs w:val="21"/>
                    </w:rPr>
                  </w:pPr>
                  <w:r>
                    <w:rPr>
                      <w:rFonts w:hint="eastAsia"/>
                      <w:sz w:val="21"/>
                      <w:szCs w:val="21"/>
                    </w:rPr>
                    <w:t>排放标准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261" w:type="pct"/>
                  <w:vMerge w:val="restart"/>
                  <w:vAlign w:val="center"/>
                </w:tcPr>
                <w:p>
                  <w:pPr>
                    <w:jc w:val="left"/>
                    <w:rPr>
                      <w:sz w:val="21"/>
                      <w:szCs w:val="21"/>
                    </w:rPr>
                  </w:pPr>
                  <w:r>
                    <w:rPr>
                      <w:rFonts w:hint="eastAsia"/>
                      <w:sz w:val="21"/>
                      <w:szCs w:val="21"/>
                    </w:rPr>
                    <w:t>混凝土生产线</w:t>
                  </w:r>
                </w:p>
              </w:tc>
              <w:tc>
                <w:tcPr>
                  <w:tcW w:w="609" w:type="pct"/>
                  <w:vAlign w:val="center"/>
                </w:tcPr>
                <w:p>
                  <w:pPr>
                    <w:jc w:val="center"/>
                    <w:rPr>
                      <w:sz w:val="21"/>
                      <w:szCs w:val="21"/>
                    </w:rPr>
                  </w:pPr>
                  <w:r>
                    <w:rPr>
                      <w:rFonts w:hint="eastAsia"/>
                      <w:sz w:val="21"/>
                      <w:szCs w:val="21"/>
                    </w:rPr>
                    <w:t>搅拌工序</w:t>
                  </w:r>
                </w:p>
              </w:tc>
              <w:tc>
                <w:tcPr>
                  <w:tcW w:w="324" w:type="pct"/>
                  <w:vAlign w:val="center"/>
                </w:tcPr>
                <w:p>
                  <w:pPr>
                    <w:jc w:val="center"/>
                    <w:rPr>
                      <w:sz w:val="21"/>
                      <w:szCs w:val="21"/>
                    </w:rPr>
                  </w:pPr>
                  <w:r>
                    <w:rPr>
                      <w:rFonts w:hint="eastAsia"/>
                      <w:sz w:val="21"/>
                      <w:szCs w:val="21"/>
                    </w:rPr>
                    <w:t>颗粒物</w:t>
                  </w:r>
                </w:p>
              </w:tc>
              <w:tc>
                <w:tcPr>
                  <w:tcW w:w="328" w:type="pct"/>
                  <w:vAlign w:val="center"/>
                </w:tcPr>
                <w:p>
                  <w:pPr>
                    <w:jc w:val="center"/>
                    <w:rPr>
                      <w:sz w:val="21"/>
                      <w:szCs w:val="21"/>
                    </w:rPr>
                  </w:pPr>
                  <w:r>
                    <w:rPr>
                      <w:sz w:val="21"/>
                      <w:szCs w:val="21"/>
                    </w:rPr>
                    <w:t>91.416</w:t>
                  </w:r>
                </w:p>
              </w:tc>
              <w:tc>
                <w:tcPr>
                  <w:tcW w:w="222" w:type="pct"/>
                  <w:vAlign w:val="center"/>
                </w:tcPr>
                <w:p>
                  <w:pPr>
                    <w:pStyle w:val="64"/>
                    <w:widowControl w:val="0"/>
                    <w:spacing w:line="240" w:lineRule="auto"/>
                    <w:rPr>
                      <w:sz w:val="24"/>
                      <w:szCs w:val="21"/>
                    </w:rPr>
                  </w:pPr>
                  <w:r>
                    <w:rPr>
                      <w:rFonts w:hint="eastAsia"/>
                      <w:sz w:val="24"/>
                      <w:szCs w:val="21"/>
                    </w:rPr>
                    <w:t>/</w:t>
                  </w:r>
                </w:p>
              </w:tc>
              <w:tc>
                <w:tcPr>
                  <w:tcW w:w="540" w:type="pct"/>
                  <w:vAlign w:val="center"/>
                </w:tcPr>
                <w:p>
                  <w:pPr>
                    <w:jc w:val="center"/>
                    <w:rPr>
                      <w:sz w:val="21"/>
                      <w:szCs w:val="21"/>
                    </w:rPr>
                  </w:pPr>
                  <w:r>
                    <w:rPr>
                      <w:rFonts w:hint="eastAsia"/>
                      <w:sz w:val="21"/>
                      <w:szCs w:val="21"/>
                    </w:rPr>
                    <w:t>工艺密闭，局部废气有效收集，布袋除尘，密闭沉降</w:t>
                  </w:r>
                </w:p>
              </w:tc>
              <w:tc>
                <w:tcPr>
                  <w:tcW w:w="227" w:type="pct"/>
                  <w:vAlign w:val="center"/>
                </w:tcPr>
                <w:p>
                  <w:pPr>
                    <w:jc w:val="center"/>
                    <w:rPr>
                      <w:sz w:val="21"/>
                      <w:szCs w:val="21"/>
                    </w:rPr>
                  </w:pPr>
                  <w:r>
                    <w:rPr>
                      <w:sz w:val="21"/>
                      <w:szCs w:val="21"/>
                    </w:rPr>
                    <w:t>0.914</w:t>
                  </w:r>
                </w:p>
              </w:tc>
              <w:tc>
                <w:tcPr>
                  <w:tcW w:w="216" w:type="pct"/>
                  <w:vAlign w:val="center"/>
                </w:tcPr>
                <w:p>
                  <w:pPr>
                    <w:jc w:val="center"/>
                    <w:rPr>
                      <w:sz w:val="21"/>
                      <w:szCs w:val="21"/>
                    </w:rPr>
                  </w:pPr>
                  <w:r>
                    <w:rPr>
                      <w:sz w:val="21"/>
                      <w:szCs w:val="21"/>
                    </w:rPr>
                    <w:t>80</w:t>
                  </w:r>
                </w:p>
              </w:tc>
              <w:tc>
                <w:tcPr>
                  <w:tcW w:w="270" w:type="pct"/>
                  <w:vAlign w:val="center"/>
                </w:tcPr>
                <w:p>
                  <w:pPr>
                    <w:jc w:val="center"/>
                    <w:rPr>
                      <w:sz w:val="21"/>
                      <w:szCs w:val="21"/>
                    </w:rPr>
                  </w:pPr>
                  <w:r>
                    <w:rPr>
                      <w:rFonts w:hint="eastAsia"/>
                      <w:sz w:val="21"/>
                      <w:szCs w:val="21"/>
                    </w:rPr>
                    <w:t>是</w:t>
                  </w:r>
                </w:p>
              </w:tc>
              <w:tc>
                <w:tcPr>
                  <w:tcW w:w="215" w:type="pct"/>
                  <w:vAlign w:val="center"/>
                </w:tcPr>
                <w:p>
                  <w:pPr>
                    <w:jc w:val="center"/>
                    <w:rPr>
                      <w:sz w:val="21"/>
                      <w:szCs w:val="21"/>
                    </w:rPr>
                  </w:pPr>
                  <w:r>
                    <w:rPr>
                      <w:sz w:val="21"/>
                      <w:szCs w:val="21"/>
                    </w:rPr>
                    <w:t>厂</w:t>
                  </w:r>
                  <w:r>
                    <w:rPr>
                      <w:rFonts w:hint="eastAsia"/>
                      <w:sz w:val="21"/>
                      <w:szCs w:val="21"/>
                    </w:rPr>
                    <w:t>界</w:t>
                  </w:r>
                </w:p>
              </w:tc>
              <w:tc>
                <w:tcPr>
                  <w:tcW w:w="270" w:type="pct"/>
                  <w:vAlign w:val="center"/>
                </w:tcPr>
                <w:p>
                  <w:pPr>
                    <w:jc w:val="center"/>
                    <w:rPr>
                      <w:sz w:val="21"/>
                      <w:szCs w:val="21"/>
                    </w:rPr>
                  </w:pPr>
                  <w:r>
                    <w:rPr>
                      <w:sz w:val="21"/>
                      <w:szCs w:val="21"/>
                    </w:rPr>
                    <w:t>0.038</w:t>
                  </w:r>
                </w:p>
              </w:tc>
              <w:tc>
                <w:tcPr>
                  <w:tcW w:w="326" w:type="pct"/>
                  <w:vAlign w:val="center"/>
                </w:tcPr>
                <w:p>
                  <w:pPr>
                    <w:jc w:val="center"/>
                    <w:rPr>
                      <w:sz w:val="21"/>
                      <w:szCs w:val="21"/>
                    </w:rPr>
                  </w:pPr>
                  <w:r>
                    <w:rPr>
                      <w:sz w:val="21"/>
                      <w:szCs w:val="21"/>
                    </w:rPr>
                    <w:t>4800</w:t>
                  </w:r>
                </w:p>
              </w:tc>
              <w:tc>
                <w:tcPr>
                  <w:tcW w:w="326" w:type="pct"/>
                  <w:vAlign w:val="center"/>
                </w:tcPr>
                <w:p>
                  <w:pPr>
                    <w:jc w:val="center"/>
                    <w:rPr>
                      <w:sz w:val="21"/>
                      <w:szCs w:val="21"/>
                    </w:rPr>
                  </w:pPr>
                  <w:r>
                    <w:rPr>
                      <w:sz w:val="21"/>
                      <w:szCs w:val="21"/>
                    </w:rPr>
                    <w:t>0.183</w:t>
                  </w:r>
                </w:p>
              </w:tc>
              <w:tc>
                <w:tcPr>
                  <w:tcW w:w="335" w:type="pct"/>
                  <w:vAlign w:val="center"/>
                </w:tcPr>
                <w:p>
                  <w:pPr>
                    <w:jc w:val="center"/>
                    <w:rPr>
                      <w:sz w:val="21"/>
                      <w:szCs w:val="21"/>
                    </w:rPr>
                  </w:pPr>
                  <w:r>
                    <w:rPr>
                      <w:sz w:val="21"/>
                      <w:szCs w:val="21"/>
                    </w:rPr>
                    <w:t>1.0</w:t>
                  </w:r>
                  <w:r>
                    <w:rPr>
                      <w:rFonts w:hint="eastAsia"/>
                      <w:sz w:val="21"/>
                      <w:szCs w:val="21"/>
                    </w:rPr>
                    <w:t>mg</w:t>
                  </w:r>
                  <w:r>
                    <w:rPr>
                      <w:sz w:val="21"/>
                      <w:szCs w:val="21"/>
                    </w:rPr>
                    <w:t>/m</w:t>
                  </w:r>
                </w:p>
              </w:tc>
              <w:tc>
                <w:tcPr>
                  <w:tcW w:w="531" w:type="pct"/>
                  <w:vMerge w:val="restart"/>
                  <w:vAlign w:val="center"/>
                </w:tcPr>
                <w:p>
                  <w:pPr>
                    <w:jc w:val="center"/>
                    <w:rPr>
                      <w:sz w:val="21"/>
                      <w:szCs w:val="21"/>
                    </w:rPr>
                  </w:pPr>
                  <w:r>
                    <w:rPr>
                      <w:rFonts w:hint="eastAsia"/>
                      <w:bCs/>
                      <w:sz w:val="21"/>
                      <w:szCs w:val="21"/>
                    </w:rPr>
                    <w:t>《建材工业大气污染物排放标准》（</w:t>
                  </w:r>
                  <w:r>
                    <w:rPr>
                      <w:bCs/>
                      <w:sz w:val="21"/>
                      <w:szCs w:val="21"/>
                    </w:rPr>
                    <w:t>DB37/2373-2018</w:t>
                  </w:r>
                  <w:r>
                    <w:rPr>
                      <w:rFonts w:hint="eastAsia"/>
                      <w:bCs/>
                      <w:sz w:val="21"/>
                      <w:szCs w:val="21"/>
                    </w:rPr>
                    <w:t>）表</w:t>
                  </w:r>
                  <w:r>
                    <w:rPr>
                      <w:bCs/>
                      <w:sz w:val="21"/>
                      <w:szCs w:val="21"/>
                    </w:rPr>
                    <w:t>3</w:t>
                  </w:r>
                  <w:r>
                    <w:rPr>
                      <w:rFonts w:hint="eastAsia"/>
                      <w:bCs/>
                      <w:sz w:val="21"/>
                      <w:szCs w:val="21"/>
                    </w:rPr>
                    <w:t>建材工业大气污染物无组织排放限值。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261" w:type="pct"/>
                  <w:vMerge w:val="continue"/>
                  <w:vAlign w:val="center"/>
                </w:tcPr>
                <w:p>
                  <w:pPr>
                    <w:jc w:val="center"/>
                    <w:rPr>
                      <w:sz w:val="21"/>
                      <w:szCs w:val="21"/>
                    </w:rPr>
                  </w:pPr>
                </w:p>
              </w:tc>
              <w:tc>
                <w:tcPr>
                  <w:tcW w:w="609" w:type="pct"/>
                  <w:vAlign w:val="center"/>
                </w:tcPr>
                <w:p>
                  <w:pPr>
                    <w:jc w:val="center"/>
                    <w:rPr>
                      <w:sz w:val="21"/>
                      <w:szCs w:val="21"/>
                    </w:rPr>
                  </w:pPr>
                  <w:r>
                    <w:rPr>
                      <w:rFonts w:hint="eastAsia"/>
                      <w:sz w:val="21"/>
                      <w:szCs w:val="21"/>
                    </w:rPr>
                    <w:t>筒仓</w:t>
                  </w:r>
                </w:p>
              </w:tc>
              <w:tc>
                <w:tcPr>
                  <w:tcW w:w="324" w:type="pct"/>
                  <w:vAlign w:val="center"/>
                </w:tcPr>
                <w:p>
                  <w:pPr>
                    <w:jc w:val="center"/>
                    <w:rPr>
                      <w:sz w:val="21"/>
                      <w:szCs w:val="21"/>
                    </w:rPr>
                  </w:pPr>
                  <w:r>
                    <w:rPr>
                      <w:rFonts w:hint="eastAsia"/>
                      <w:sz w:val="21"/>
                      <w:szCs w:val="21"/>
                    </w:rPr>
                    <w:t>颗粒物</w:t>
                  </w:r>
                </w:p>
              </w:tc>
              <w:tc>
                <w:tcPr>
                  <w:tcW w:w="328" w:type="pct"/>
                  <w:vAlign w:val="center"/>
                </w:tcPr>
                <w:p>
                  <w:pPr>
                    <w:jc w:val="center"/>
                    <w:rPr>
                      <w:sz w:val="21"/>
                      <w:szCs w:val="21"/>
                    </w:rPr>
                  </w:pPr>
                  <w:r>
                    <w:rPr>
                      <w:sz w:val="21"/>
                      <w:szCs w:val="21"/>
                    </w:rPr>
                    <w:t>14.4</w:t>
                  </w:r>
                </w:p>
              </w:tc>
              <w:tc>
                <w:tcPr>
                  <w:tcW w:w="222" w:type="pct"/>
                  <w:vAlign w:val="center"/>
                </w:tcPr>
                <w:p>
                  <w:pPr>
                    <w:pStyle w:val="64"/>
                    <w:widowControl w:val="0"/>
                    <w:spacing w:line="240" w:lineRule="auto"/>
                    <w:rPr>
                      <w:sz w:val="24"/>
                      <w:szCs w:val="21"/>
                    </w:rPr>
                  </w:pPr>
                  <w:r>
                    <w:rPr>
                      <w:rFonts w:hint="eastAsia"/>
                      <w:sz w:val="24"/>
                      <w:szCs w:val="21"/>
                    </w:rPr>
                    <w:t>/</w:t>
                  </w:r>
                </w:p>
              </w:tc>
              <w:tc>
                <w:tcPr>
                  <w:tcW w:w="540" w:type="pct"/>
                  <w:vAlign w:val="center"/>
                </w:tcPr>
                <w:p>
                  <w:pPr>
                    <w:jc w:val="center"/>
                    <w:rPr>
                      <w:sz w:val="21"/>
                      <w:szCs w:val="21"/>
                    </w:rPr>
                  </w:pPr>
                  <w:r>
                    <w:rPr>
                      <w:rFonts w:hint="eastAsia"/>
                      <w:sz w:val="21"/>
                      <w:szCs w:val="21"/>
                    </w:rPr>
                    <w:t>工艺密闭，局部废气有效收集，布袋除尘</w:t>
                  </w:r>
                </w:p>
              </w:tc>
              <w:tc>
                <w:tcPr>
                  <w:tcW w:w="227" w:type="pct"/>
                  <w:vAlign w:val="center"/>
                </w:tcPr>
                <w:p>
                  <w:pPr>
                    <w:jc w:val="center"/>
                    <w:rPr>
                      <w:sz w:val="21"/>
                      <w:szCs w:val="21"/>
                    </w:rPr>
                  </w:pPr>
                  <w:r>
                    <w:rPr>
                      <w:sz w:val="21"/>
                      <w:szCs w:val="21"/>
                    </w:rPr>
                    <w:t>14.4</w:t>
                  </w:r>
                </w:p>
              </w:tc>
              <w:tc>
                <w:tcPr>
                  <w:tcW w:w="216" w:type="pct"/>
                  <w:vAlign w:val="center"/>
                </w:tcPr>
                <w:p>
                  <w:pPr>
                    <w:jc w:val="center"/>
                    <w:rPr>
                      <w:sz w:val="21"/>
                      <w:szCs w:val="21"/>
                    </w:rPr>
                  </w:pPr>
                  <w:r>
                    <w:rPr>
                      <w:sz w:val="21"/>
                      <w:szCs w:val="21"/>
                    </w:rPr>
                    <w:t>99</w:t>
                  </w:r>
                </w:p>
              </w:tc>
              <w:tc>
                <w:tcPr>
                  <w:tcW w:w="270" w:type="pct"/>
                  <w:vAlign w:val="center"/>
                </w:tcPr>
                <w:p>
                  <w:pPr>
                    <w:jc w:val="center"/>
                    <w:rPr>
                      <w:sz w:val="21"/>
                      <w:szCs w:val="21"/>
                    </w:rPr>
                  </w:pPr>
                  <w:r>
                    <w:rPr>
                      <w:rFonts w:hint="eastAsia"/>
                      <w:sz w:val="21"/>
                      <w:szCs w:val="21"/>
                    </w:rPr>
                    <w:t>是</w:t>
                  </w:r>
                </w:p>
              </w:tc>
              <w:tc>
                <w:tcPr>
                  <w:tcW w:w="215" w:type="pct"/>
                  <w:vAlign w:val="center"/>
                </w:tcPr>
                <w:p>
                  <w:pPr>
                    <w:jc w:val="center"/>
                    <w:rPr>
                      <w:sz w:val="21"/>
                      <w:szCs w:val="21"/>
                    </w:rPr>
                  </w:pPr>
                  <w:r>
                    <w:rPr>
                      <w:rFonts w:hint="eastAsia"/>
                      <w:sz w:val="21"/>
                      <w:szCs w:val="21"/>
                    </w:rPr>
                    <w:t>厂界</w:t>
                  </w:r>
                </w:p>
              </w:tc>
              <w:tc>
                <w:tcPr>
                  <w:tcW w:w="270" w:type="pct"/>
                  <w:vAlign w:val="center"/>
                </w:tcPr>
                <w:p>
                  <w:pPr>
                    <w:jc w:val="center"/>
                    <w:rPr>
                      <w:sz w:val="21"/>
                      <w:szCs w:val="21"/>
                    </w:rPr>
                  </w:pPr>
                  <w:r>
                    <w:rPr>
                      <w:sz w:val="21"/>
                      <w:szCs w:val="21"/>
                    </w:rPr>
                    <w:t>0.12</w:t>
                  </w:r>
                </w:p>
              </w:tc>
              <w:tc>
                <w:tcPr>
                  <w:tcW w:w="326" w:type="pct"/>
                  <w:vAlign w:val="center"/>
                </w:tcPr>
                <w:p>
                  <w:pPr>
                    <w:jc w:val="center"/>
                    <w:rPr>
                      <w:sz w:val="21"/>
                      <w:szCs w:val="21"/>
                    </w:rPr>
                  </w:pPr>
                  <w:r>
                    <w:rPr>
                      <w:sz w:val="21"/>
                      <w:szCs w:val="21"/>
                    </w:rPr>
                    <w:t>1200</w:t>
                  </w:r>
                </w:p>
              </w:tc>
              <w:tc>
                <w:tcPr>
                  <w:tcW w:w="326" w:type="pct"/>
                  <w:vAlign w:val="center"/>
                </w:tcPr>
                <w:p>
                  <w:pPr>
                    <w:jc w:val="center"/>
                    <w:rPr>
                      <w:sz w:val="21"/>
                      <w:szCs w:val="21"/>
                    </w:rPr>
                  </w:pPr>
                  <w:r>
                    <w:rPr>
                      <w:sz w:val="21"/>
                      <w:szCs w:val="21"/>
                    </w:rPr>
                    <w:t>0.144</w:t>
                  </w:r>
                </w:p>
              </w:tc>
              <w:tc>
                <w:tcPr>
                  <w:tcW w:w="335" w:type="pct"/>
                  <w:vAlign w:val="center"/>
                </w:tcPr>
                <w:p>
                  <w:pPr>
                    <w:jc w:val="center"/>
                    <w:rPr>
                      <w:sz w:val="21"/>
                      <w:szCs w:val="21"/>
                    </w:rPr>
                  </w:pPr>
                  <w:r>
                    <w:rPr>
                      <w:sz w:val="21"/>
                      <w:szCs w:val="21"/>
                    </w:rPr>
                    <w:t>1.0</w:t>
                  </w:r>
                  <w:r>
                    <w:rPr>
                      <w:rFonts w:hint="eastAsia"/>
                      <w:sz w:val="21"/>
                      <w:szCs w:val="21"/>
                    </w:rPr>
                    <w:t>mg</w:t>
                  </w:r>
                  <w:r>
                    <w:rPr>
                      <w:sz w:val="21"/>
                      <w:szCs w:val="21"/>
                    </w:rPr>
                    <w:t>/m</w:t>
                  </w:r>
                </w:p>
              </w:tc>
              <w:tc>
                <w:tcPr>
                  <w:tcW w:w="531" w:type="pct"/>
                  <w:vMerge w:val="continue"/>
                  <w:vAlign w:val="center"/>
                </w:tcPr>
                <w:p>
                  <w:pPr>
                    <w:jc w:val="center"/>
                    <w:rPr>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261" w:type="pct"/>
                  <w:vMerge w:val="continue"/>
                  <w:vAlign w:val="center"/>
                </w:tcPr>
                <w:p>
                  <w:pPr>
                    <w:jc w:val="center"/>
                    <w:rPr>
                      <w:sz w:val="21"/>
                      <w:szCs w:val="21"/>
                    </w:rPr>
                  </w:pPr>
                </w:p>
              </w:tc>
              <w:tc>
                <w:tcPr>
                  <w:tcW w:w="609" w:type="pct"/>
                  <w:vAlign w:val="center"/>
                </w:tcPr>
                <w:p>
                  <w:pPr>
                    <w:jc w:val="center"/>
                    <w:rPr>
                      <w:sz w:val="21"/>
                      <w:szCs w:val="21"/>
                    </w:rPr>
                  </w:pPr>
                  <w:r>
                    <w:rPr>
                      <w:rFonts w:hint="eastAsia"/>
                      <w:sz w:val="21"/>
                      <w:szCs w:val="21"/>
                    </w:rPr>
                    <w:t>原料卸料、贮存</w:t>
                  </w:r>
                </w:p>
              </w:tc>
              <w:tc>
                <w:tcPr>
                  <w:tcW w:w="324" w:type="pct"/>
                  <w:vAlign w:val="center"/>
                </w:tcPr>
                <w:p>
                  <w:pPr>
                    <w:jc w:val="center"/>
                    <w:rPr>
                      <w:sz w:val="21"/>
                      <w:szCs w:val="21"/>
                    </w:rPr>
                  </w:pPr>
                  <w:r>
                    <w:rPr>
                      <w:rFonts w:hint="eastAsia"/>
                      <w:sz w:val="21"/>
                      <w:szCs w:val="21"/>
                    </w:rPr>
                    <w:t>颗粒物</w:t>
                  </w:r>
                </w:p>
              </w:tc>
              <w:tc>
                <w:tcPr>
                  <w:tcW w:w="328" w:type="pct"/>
                  <w:vAlign w:val="center"/>
                </w:tcPr>
                <w:p>
                  <w:pPr>
                    <w:jc w:val="center"/>
                    <w:rPr>
                      <w:sz w:val="21"/>
                      <w:szCs w:val="21"/>
                    </w:rPr>
                  </w:pPr>
                  <w:r>
                    <w:rPr>
                      <w:sz w:val="21"/>
                      <w:szCs w:val="21"/>
                    </w:rPr>
                    <w:t>5.833</w:t>
                  </w:r>
                </w:p>
              </w:tc>
              <w:tc>
                <w:tcPr>
                  <w:tcW w:w="222" w:type="pct"/>
                  <w:vAlign w:val="center"/>
                </w:tcPr>
                <w:p>
                  <w:pPr>
                    <w:pStyle w:val="64"/>
                    <w:widowControl w:val="0"/>
                    <w:spacing w:line="240" w:lineRule="auto"/>
                    <w:rPr>
                      <w:sz w:val="24"/>
                      <w:szCs w:val="21"/>
                    </w:rPr>
                  </w:pPr>
                  <w:r>
                    <w:rPr>
                      <w:rFonts w:hint="eastAsia"/>
                      <w:sz w:val="24"/>
                      <w:szCs w:val="21"/>
                    </w:rPr>
                    <w:t>/</w:t>
                  </w:r>
                </w:p>
              </w:tc>
              <w:tc>
                <w:tcPr>
                  <w:tcW w:w="540" w:type="pct"/>
                  <w:vMerge w:val="restart"/>
                  <w:vAlign w:val="center"/>
                </w:tcPr>
                <w:p>
                  <w:pPr>
                    <w:jc w:val="center"/>
                    <w:rPr>
                      <w:sz w:val="21"/>
                      <w:szCs w:val="21"/>
                    </w:rPr>
                  </w:pPr>
                  <w:r>
                    <w:rPr>
                      <w:rFonts w:hint="eastAsia"/>
                      <w:sz w:val="21"/>
                      <w:szCs w:val="21"/>
                    </w:rPr>
                    <w:t>原料库密闭、喷淋、沉降</w:t>
                  </w:r>
                </w:p>
              </w:tc>
              <w:tc>
                <w:tcPr>
                  <w:tcW w:w="227" w:type="pct"/>
                  <w:vAlign w:val="center"/>
                </w:tcPr>
                <w:p>
                  <w:pPr>
                    <w:jc w:val="center"/>
                    <w:rPr>
                      <w:sz w:val="21"/>
                      <w:szCs w:val="21"/>
                    </w:rPr>
                  </w:pPr>
                  <w:r>
                    <w:rPr>
                      <w:sz w:val="21"/>
                      <w:szCs w:val="21"/>
                    </w:rPr>
                    <w:t>1.167</w:t>
                  </w:r>
                </w:p>
              </w:tc>
              <w:tc>
                <w:tcPr>
                  <w:tcW w:w="216" w:type="pct"/>
                  <w:vAlign w:val="center"/>
                </w:tcPr>
                <w:p>
                  <w:pPr>
                    <w:jc w:val="center"/>
                    <w:rPr>
                      <w:sz w:val="21"/>
                      <w:szCs w:val="21"/>
                    </w:rPr>
                  </w:pPr>
                  <w:r>
                    <w:rPr>
                      <w:sz w:val="21"/>
                      <w:szCs w:val="21"/>
                    </w:rPr>
                    <w:t>80</w:t>
                  </w:r>
                </w:p>
              </w:tc>
              <w:tc>
                <w:tcPr>
                  <w:tcW w:w="270" w:type="pct"/>
                  <w:vAlign w:val="center"/>
                </w:tcPr>
                <w:p>
                  <w:pPr>
                    <w:jc w:val="center"/>
                    <w:rPr>
                      <w:sz w:val="21"/>
                      <w:szCs w:val="21"/>
                    </w:rPr>
                  </w:pPr>
                  <w:r>
                    <w:rPr>
                      <w:rFonts w:hint="eastAsia"/>
                      <w:sz w:val="21"/>
                      <w:szCs w:val="21"/>
                    </w:rPr>
                    <w:t>是</w:t>
                  </w:r>
                </w:p>
              </w:tc>
              <w:tc>
                <w:tcPr>
                  <w:tcW w:w="215" w:type="pct"/>
                  <w:vAlign w:val="center"/>
                </w:tcPr>
                <w:p>
                  <w:pPr>
                    <w:jc w:val="center"/>
                    <w:rPr>
                      <w:sz w:val="21"/>
                      <w:szCs w:val="21"/>
                    </w:rPr>
                  </w:pPr>
                  <w:r>
                    <w:rPr>
                      <w:rFonts w:hint="eastAsia"/>
                      <w:sz w:val="21"/>
                      <w:szCs w:val="21"/>
                    </w:rPr>
                    <w:t>厂界</w:t>
                  </w:r>
                </w:p>
              </w:tc>
              <w:tc>
                <w:tcPr>
                  <w:tcW w:w="270" w:type="pct"/>
                  <w:vAlign w:val="center"/>
                </w:tcPr>
                <w:p>
                  <w:pPr>
                    <w:jc w:val="center"/>
                    <w:rPr>
                      <w:sz w:val="21"/>
                      <w:szCs w:val="21"/>
                    </w:rPr>
                  </w:pPr>
                  <w:r>
                    <w:rPr>
                      <w:sz w:val="21"/>
                      <w:szCs w:val="21"/>
                    </w:rPr>
                    <w:t>0.049</w:t>
                  </w:r>
                </w:p>
              </w:tc>
              <w:tc>
                <w:tcPr>
                  <w:tcW w:w="326" w:type="pct"/>
                  <w:vAlign w:val="center"/>
                </w:tcPr>
                <w:p>
                  <w:pPr>
                    <w:jc w:val="center"/>
                    <w:rPr>
                      <w:sz w:val="21"/>
                      <w:szCs w:val="21"/>
                    </w:rPr>
                  </w:pPr>
                  <w:r>
                    <w:rPr>
                      <w:rFonts w:hint="eastAsia"/>
                      <w:sz w:val="21"/>
                      <w:szCs w:val="21"/>
                    </w:rPr>
                    <w:t>4</w:t>
                  </w:r>
                  <w:r>
                    <w:rPr>
                      <w:sz w:val="21"/>
                      <w:szCs w:val="21"/>
                    </w:rPr>
                    <w:t>800</w:t>
                  </w:r>
                </w:p>
              </w:tc>
              <w:tc>
                <w:tcPr>
                  <w:tcW w:w="326" w:type="pct"/>
                  <w:vAlign w:val="center"/>
                </w:tcPr>
                <w:p>
                  <w:pPr>
                    <w:jc w:val="center"/>
                    <w:rPr>
                      <w:sz w:val="21"/>
                      <w:szCs w:val="21"/>
                    </w:rPr>
                  </w:pPr>
                  <w:r>
                    <w:rPr>
                      <w:sz w:val="21"/>
                      <w:szCs w:val="21"/>
                    </w:rPr>
                    <w:t>0.233</w:t>
                  </w:r>
                </w:p>
              </w:tc>
              <w:tc>
                <w:tcPr>
                  <w:tcW w:w="335" w:type="pct"/>
                  <w:vAlign w:val="center"/>
                </w:tcPr>
                <w:p>
                  <w:pPr>
                    <w:jc w:val="center"/>
                    <w:rPr>
                      <w:sz w:val="21"/>
                      <w:szCs w:val="21"/>
                    </w:rPr>
                  </w:pPr>
                  <w:r>
                    <w:rPr>
                      <w:sz w:val="21"/>
                      <w:szCs w:val="21"/>
                    </w:rPr>
                    <w:t>1.0</w:t>
                  </w:r>
                  <w:r>
                    <w:rPr>
                      <w:rFonts w:hint="eastAsia"/>
                      <w:sz w:val="21"/>
                      <w:szCs w:val="21"/>
                    </w:rPr>
                    <w:t>mg</w:t>
                  </w:r>
                  <w:r>
                    <w:rPr>
                      <w:sz w:val="21"/>
                      <w:szCs w:val="21"/>
                    </w:rPr>
                    <w:t>/m</w:t>
                  </w:r>
                </w:p>
              </w:tc>
              <w:tc>
                <w:tcPr>
                  <w:tcW w:w="531" w:type="pct"/>
                  <w:vMerge w:val="continue"/>
                  <w:vAlign w:val="center"/>
                </w:tcPr>
                <w:p>
                  <w:pPr>
                    <w:jc w:val="center"/>
                    <w:rPr>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261" w:type="pct"/>
                  <w:vMerge w:val="continue"/>
                  <w:vAlign w:val="center"/>
                </w:tcPr>
                <w:p>
                  <w:pPr>
                    <w:jc w:val="center"/>
                    <w:rPr>
                      <w:sz w:val="21"/>
                      <w:szCs w:val="21"/>
                    </w:rPr>
                  </w:pPr>
                </w:p>
              </w:tc>
              <w:tc>
                <w:tcPr>
                  <w:tcW w:w="609" w:type="pct"/>
                  <w:vAlign w:val="center"/>
                </w:tcPr>
                <w:p>
                  <w:pPr>
                    <w:jc w:val="center"/>
                    <w:rPr>
                      <w:sz w:val="21"/>
                      <w:szCs w:val="21"/>
                    </w:rPr>
                  </w:pPr>
                  <w:r>
                    <w:rPr>
                      <w:rFonts w:hint="eastAsia"/>
                      <w:sz w:val="21"/>
                      <w:szCs w:val="21"/>
                    </w:rPr>
                    <w:t>砂石原料上料</w:t>
                  </w:r>
                </w:p>
              </w:tc>
              <w:tc>
                <w:tcPr>
                  <w:tcW w:w="324" w:type="pct"/>
                  <w:vAlign w:val="center"/>
                </w:tcPr>
                <w:p>
                  <w:pPr>
                    <w:jc w:val="center"/>
                    <w:rPr>
                      <w:sz w:val="21"/>
                      <w:szCs w:val="21"/>
                    </w:rPr>
                  </w:pPr>
                  <w:r>
                    <w:rPr>
                      <w:rFonts w:hint="eastAsia"/>
                      <w:sz w:val="21"/>
                      <w:szCs w:val="21"/>
                    </w:rPr>
                    <w:t>颗粒物</w:t>
                  </w:r>
                </w:p>
              </w:tc>
              <w:tc>
                <w:tcPr>
                  <w:tcW w:w="328" w:type="pct"/>
                  <w:vAlign w:val="center"/>
                </w:tcPr>
                <w:p>
                  <w:pPr>
                    <w:jc w:val="center"/>
                    <w:rPr>
                      <w:sz w:val="21"/>
                      <w:szCs w:val="21"/>
                    </w:rPr>
                  </w:pPr>
                  <w:r>
                    <w:rPr>
                      <w:sz w:val="21"/>
                      <w:szCs w:val="21"/>
                    </w:rPr>
                    <w:t>4.075</w:t>
                  </w:r>
                </w:p>
              </w:tc>
              <w:tc>
                <w:tcPr>
                  <w:tcW w:w="222" w:type="pct"/>
                  <w:vAlign w:val="center"/>
                </w:tcPr>
                <w:p>
                  <w:pPr>
                    <w:pStyle w:val="64"/>
                    <w:widowControl w:val="0"/>
                    <w:spacing w:line="240" w:lineRule="auto"/>
                    <w:rPr>
                      <w:sz w:val="24"/>
                      <w:szCs w:val="21"/>
                    </w:rPr>
                  </w:pPr>
                  <w:r>
                    <w:rPr>
                      <w:rFonts w:hint="eastAsia"/>
                      <w:sz w:val="24"/>
                      <w:szCs w:val="21"/>
                    </w:rPr>
                    <w:t>/</w:t>
                  </w:r>
                </w:p>
              </w:tc>
              <w:tc>
                <w:tcPr>
                  <w:tcW w:w="540" w:type="pct"/>
                  <w:vMerge w:val="continue"/>
                  <w:vAlign w:val="center"/>
                </w:tcPr>
                <w:p>
                  <w:pPr>
                    <w:jc w:val="center"/>
                    <w:rPr>
                      <w:sz w:val="21"/>
                      <w:szCs w:val="21"/>
                    </w:rPr>
                  </w:pPr>
                </w:p>
              </w:tc>
              <w:tc>
                <w:tcPr>
                  <w:tcW w:w="227" w:type="pct"/>
                  <w:vAlign w:val="center"/>
                </w:tcPr>
                <w:p>
                  <w:pPr>
                    <w:jc w:val="center"/>
                    <w:rPr>
                      <w:sz w:val="21"/>
                      <w:szCs w:val="21"/>
                    </w:rPr>
                  </w:pPr>
                  <w:r>
                    <w:rPr>
                      <w:sz w:val="21"/>
                      <w:szCs w:val="21"/>
                    </w:rPr>
                    <w:t>0.656</w:t>
                  </w:r>
                </w:p>
              </w:tc>
              <w:tc>
                <w:tcPr>
                  <w:tcW w:w="216" w:type="pct"/>
                  <w:vAlign w:val="center"/>
                </w:tcPr>
                <w:p>
                  <w:pPr>
                    <w:jc w:val="center"/>
                    <w:rPr>
                      <w:sz w:val="21"/>
                      <w:szCs w:val="21"/>
                    </w:rPr>
                  </w:pPr>
                  <w:r>
                    <w:rPr>
                      <w:sz w:val="21"/>
                      <w:szCs w:val="21"/>
                    </w:rPr>
                    <w:t>80</w:t>
                  </w:r>
                </w:p>
              </w:tc>
              <w:tc>
                <w:tcPr>
                  <w:tcW w:w="270" w:type="pct"/>
                  <w:vAlign w:val="center"/>
                </w:tcPr>
                <w:p>
                  <w:pPr>
                    <w:jc w:val="center"/>
                    <w:rPr>
                      <w:sz w:val="21"/>
                      <w:szCs w:val="21"/>
                    </w:rPr>
                  </w:pPr>
                  <w:r>
                    <w:rPr>
                      <w:rFonts w:hint="eastAsia"/>
                      <w:sz w:val="21"/>
                      <w:szCs w:val="21"/>
                    </w:rPr>
                    <w:t>是</w:t>
                  </w:r>
                </w:p>
              </w:tc>
              <w:tc>
                <w:tcPr>
                  <w:tcW w:w="215" w:type="pct"/>
                  <w:vAlign w:val="center"/>
                </w:tcPr>
                <w:p>
                  <w:pPr>
                    <w:jc w:val="center"/>
                    <w:rPr>
                      <w:sz w:val="21"/>
                      <w:szCs w:val="21"/>
                    </w:rPr>
                  </w:pPr>
                  <w:r>
                    <w:rPr>
                      <w:rFonts w:hint="eastAsia"/>
                      <w:sz w:val="21"/>
                      <w:szCs w:val="21"/>
                    </w:rPr>
                    <w:t>厂界</w:t>
                  </w:r>
                </w:p>
              </w:tc>
              <w:tc>
                <w:tcPr>
                  <w:tcW w:w="270" w:type="pct"/>
                  <w:vAlign w:val="center"/>
                </w:tcPr>
                <w:p>
                  <w:pPr>
                    <w:jc w:val="center"/>
                    <w:rPr>
                      <w:sz w:val="21"/>
                      <w:szCs w:val="21"/>
                    </w:rPr>
                  </w:pPr>
                  <w:r>
                    <w:rPr>
                      <w:sz w:val="21"/>
                      <w:szCs w:val="21"/>
                    </w:rPr>
                    <w:t>0.027</w:t>
                  </w:r>
                </w:p>
              </w:tc>
              <w:tc>
                <w:tcPr>
                  <w:tcW w:w="326" w:type="pct"/>
                  <w:vAlign w:val="center"/>
                </w:tcPr>
                <w:p>
                  <w:pPr>
                    <w:jc w:val="center"/>
                    <w:rPr>
                      <w:sz w:val="21"/>
                      <w:szCs w:val="21"/>
                    </w:rPr>
                  </w:pPr>
                  <w:r>
                    <w:rPr>
                      <w:rFonts w:hint="eastAsia"/>
                      <w:sz w:val="21"/>
                      <w:szCs w:val="21"/>
                    </w:rPr>
                    <w:t>4</w:t>
                  </w:r>
                  <w:r>
                    <w:rPr>
                      <w:sz w:val="21"/>
                      <w:szCs w:val="21"/>
                    </w:rPr>
                    <w:t>800</w:t>
                  </w:r>
                </w:p>
              </w:tc>
              <w:tc>
                <w:tcPr>
                  <w:tcW w:w="326" w:type="pct"/>
                  <w:vAlign w:val="center"/>
                </w:tcPr>
                <w:p>
                  <w:pPr>
                    <w:jc w:val="center"/>
                    <w:rPr>
                      <w:sz w:val="21"/>
                      <w:szCs w:val="21"/>
                    </w:rPr>
                  </w:pPr>
                  <w:r>
                    <w:rPr>
                      <w:sz w:val="21"/>
                      <w:szCs w:val="21"/>
                    </w:rPr>
                    <w:t>0.1</w:t>
                  </w:r>
                  <w:r>
                    <w:rPr>
                      <w:rFonts w:hint="eastAsia"/>
                      <w:sz w:val="21"/>
                      <w:szCs w:val="21"/>
                    </w:rPr>
                    <w:t>63</w:t>
                  </w:r>
                </w:p>
              </w:tc>
              <w:tc>
                <w:tcPr>
                  <w:tcW w:w="335" w:type="pct"/>
                  <w:vAlign w:val="center"/>
                </w:tcPr>
                <w:p>
                  <w:pPr>
                    <w:jc w:val="center"/>
                    <w:rPr>
                      <w:sz w:val="21"/>
                      <w:szCs w:val="21"/>
                    </w:rPr>
                  </w:pPr>
                  <w:r>
                    <w:rPr>
                      <w:sz w:val="21"/>
                      <w:szCs w:val="21"/>
                    </w:rPr>
                    <w:t>1.0</w:t>
                  </w:r>
                  <w:r>
                    <w:rPr>
                      <w:rFonts w:hint="eastAsia"/>
                      <w:sz w:val="21"/>
                      <w:szCs w:val="21"/>
                    </w:rPr>
                    <w:t>mg</w:t>
                  </w:r>
                  <w:r>
                    <w:rPr>
                      <w:sz w:val="21"/>
                      <w:szCs w:val="21"/>
                    </w:rPr>
                    <w:t>/m</w:t>
                  </w:r>
                </w:p>
              </w:tc>
              <w:tc>
                <w:tcPr>
                  <w:tcW w:w="531" w:type="pct"/>
                  <w:vMerge w:val="continue"/>
                  <w:vAlign w:val="center"/>
                </w:tcPr>
                <w:p>
                  <w:pPr>
                    <w:jc w:val="center"/>
                    <w:rPr>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261" w:type="pct"/>
                  <w:vMerge w:val="continue"/>
                  <w:vAlign w:val="center"/>
                </w:tcPr>
                <w:p>
                  <w:pPr>
                    <w:jc w:val="center"/>
                    <w:rPr>
                      <w:sz w:val="21"/>
                      <w:szCs w:val="21"/>
                    </w:rPr>
                  </w:pPr>
                </w:p>
              </w:tc>
              <w:tc>
                <w:tcPr>
                  <w:tcW w:w="609" w:type="pct"/>
                  <w:vAlign w:val="center"/>
                </w:tcPr>
                <w:p>
                  <w:pPr>
                    <w:jc w:val="center"/>
                    <w:rPr>
                      <w:sz w:val="21"/>
                      <w:szCs w:val="21"/>
                    </w:rPr>
                  </w:pPr>
                  <w:r>
                    <w:rPr>
                      <w:rFonts w:hint="eastAsia"/>
                      <w:sz w:val="21"/>
                      <w:szCs w:val="21"/>
                    </w:rPr>
                    <w:t>原料及产品运输</w:t>
                  </w:r>
                </w:p>
              </w:tc>
              <w:tc>
                <w:tcPr>
                  <w:tcW w:w="324" w:type="pct"/>
                  <w:vAlign w:val="center"/>
                </w:tcPr>
                <w:p>
                  <w:pPr>
                    <w:jc w:val="center"/>
                    <w:rPr>
                      <w:sz w:val="21"/>
                      <w:szCs w:val="21"/>
                    </w:rPr>
                  </w:pPr>
                  <w:r>
                    <w:rPr>
                      <w:rFonts w:hint="eastAsia"/>
                      <w:sz w:val="21"/>
                      <w:szCs w:val="21"/>
                    </w:rPr>
                    <w:t>颗粒物</w:t>
                  </w:r>
                </w:p>
              </w:tc>
              <w:tc>
                <w:tcPr>
                  <w:tcW w:w="328" w:type="pct"/>
                  <w:vAlign w:val="center"/>
                </w:tcPr>
                <w:p>
                  <w:pPr>
                    <w:jc w:val="center"/>
                    <w:rPr>
                      <w:sz w:val="21"/>
                      <w:szCs w:val="21"/>
                    </w:rPr>
                  </w:pPr>
                  <w:r>
                    <w:rPr>
                      <w:rFonts w:hint="eastAsia"/>
                      <w:sz w:val="21"/>
                      <w:szCs w:val="21"/>
                    </w:rPr>
                    <w:t>3</w:t>
                  </w:r>
                  <w:r>
                    <w:rPr>
                      <w:sz w:val="21"/>
                      <w:szCs w:val="21"/>
                    </w:rPr>
                    <w:t>.980</w:t>
                  </w:r>
                </w:p>
              </w:tc>
              <w:tc>
                <w:tcPr>
                  <w:tcW w:w="222" w:type="pct"/>
                  <w:vAlign w:val="center"/>
                </w:tcPr>
                <w:p>
                  <w:pPr>
                    <w:pStyle w:val="64"/>
                    <w:widowControl w:val="0"/>
                    <w:spacing w:line="240" w:lineRule="auto"/>
                    <w:rPr>
                      <w:sz w:val="24"/>
                      <w:szCs w:val="21"/>
                    </w:rPr>
                  </w:pPr>
                  <w:r>
                    <w:rPr>
                      <w:rFonts w:hint="eastAsia"/>
                      <w:sz w:val="24"/>
                      <w:szCs w:val="21"/>
                    </w:rPr>
                    <w:t>/</w:t>
                  </w:r>
                </w:p>
              </w:tc>
              <w:tc>
                <w:tcPr>
                  <w:tcW w:w="540" w:type="pct"/>
                  <w:vAlign w:val="center"/>
                </w:tcPr>
                <w:p>
                  <w:pPr>
                    <w:jc w:val="center"/>
                    <w:rPr>
                      <w:sz w:val="21"/>
                      <w:szCs w:val="21"/>
                    </w:rPr>
                  </w:pPr>
                  <w:r>
                    <w:rPr>
                      <w:rFonts w:hint="eastAsia"/>
                      <w:sz w:val="21"/>
                      <w:szCs w:val="21"/>
                    </w:rPr>
                    <w:t>喷淋、清扫</w:t>
                  </w:r>
                </w:p>
              </w:tc>
              <w:tc>
                <w:tcPr>
                  <w:tcW w:w="227" w:type="pct"/>
                  <w:vAlign w:val="center"/>
                </w:tcPr>
                <w:p>
                  <w:pPr>
                    <w:jc w:val="center"/>
                    <w:rPr>
                      <w:sz w:val="21"/>
                      <w:szCs w:val="21"/>
                    </w:rPr>
                  </w:pPr>
                  <w:r>
                    <w:rPr>
                      <w:sz w:val="21"/>
                      <w:szCs w:val="21"/>
                    </w:rPr>
                    <w:t>3.98</w:t>
                  </w:r>
                </w:p>
              </w:tc>
              <w:tc>
                <w:tcPr>
                  <w:tcW w:w="216" w:type="pct"/>
                  <w:vAlign w:val="center"/>
                </w:tcPr>
                <w:p>
                  <w:pPr>
                    <w:jc w:val="center"/>
                    <w:rPr>
                      <w:sz w:val="21"/>
                      <w:szCs w:val="21"/>
                    </w:rPr>
                  </w:pPr>
                  <w:r>
                    <w:rPr>
                      <w:sz w:val="21"/>
                      <w:szCs w:val="21"/>
                    </w:rPr>
                    <w:t>90</w:t>
                  </w:r>
                </w:p>
              </w:tc>
              <w:tc>
                <w:tcPr>
                  <w:tcW w:w="270" w:type="pct"/>
                  <w:vAlign w:val="center"/>
                </w:tcPr>
                <w:p>
                  <w:pPr>
                    <w:jc w:val="center"/>
                    <w:rPr>
                      <w:sz w:val="21"/>
                      <w:szCs w:val="21"/>
                    </w:rPr>
                  </w:pPr>
                  <w:r>
                    <w:rPr>
                      <w:rFonts w:hint="eastAsia"/>
                      <w:sz w:val="21"/>
                      <w:szCs w:val="21"/>
                    </w:rPr>
                    <w:t>是</w:t>
                  </w:r>
                </w:p>
              </w:tc>
              <w:tc>
                <w:tcPr>
                  <w:tcW w:w="215" w:type="pct"/>
                  <w:vAlign w:val="center"/>
                </w:tcPr>
                <w:p>
                  <w:pPr>
                    <w:jc w:val="center"/>
                    <w:rPr>
                      <w:sz w:val="21"/>
                      <w:szCs w:val="21"/>
                    </w:rPr>
                  </w:pPr>
                  <w:r>
                    <w:rPr>
                      <w:rFonts w:hint="eastAsia"/>
                      <w:sz w:val="21"/>
                      <w:szCs w:val="21"/>
                    </w:rPr>
                    <w:t>厂界</w:t>
                  </w:r>
                </w:p>
              </w:tc>
              <w:tc>
                <w:tcPr>
                  <w:tcW w:w="270" w:type="pct"/>
                  <w:vAlign w:val="center"/>
                </w:tcPr>
                <w:p>
                  <w:pPr>
                    <w:jc w:val="center"/>
                    <w:rPr>
                      <w:sz w:val="21"/>
                      <w:szCs w:val="21"/>
                    </w:rPr>
                  </w:pPr>
                  <w:r>
                    <w:rPr>
                      <w:sz w:val="21"/>
                      <w:szCs w:val="21"/>
                    </w:rPr>
                    <w:t>0.111</w:t>
                  </w:r>
                </w:p>
              </w:tc>
              <w:tc>
                <w:tcPr>
                  <w:tcW w:w="326" w:type="pct"/>
                  <w:vAlign w:val="center"/>
                </w:tcPr>
                <w:p>
                  <w:pPr>
                    <w:jc w:val="center"/>
                    <w:rPr>
                      <w:sz w:val="21"/>
                      <w:szCs w:val="21"/>
                    </w:rPr>
                  </w:pPr>
                  <w:r>
                    <w:rPr>
                      <w:sz w:val="21"/>
                      <w:szCs w:val="21"/>
                    </w:rPr>
                    <w:t>3600</w:t>
                  </w:r>
                </w:p>
              </w:tc>
              <w:tc>
                <w:tcPr>
                  <w:tcW w:w="326" w:type="pct"/>
                  <w:vAlign w:val="center"/>
                </w:tcPr>
                <w:p>
                  <w:pPr>
                    <w:jc w:val="center"/>
                    <w:rPr>
                      <w:sz w:val="21"/>
                      <w:szCs w:val="21"/>
                    </w:rPr>
                  </w:pPr>
                  <w:r>
                    <w:rPr>
                      <w:sz w:val="21"/>
                      <w:szCs w:val="21"/>
                    </w:rPr>
                    <w:t>0.398</w:t>
                  </w:r>
                </w:p>
              </w:tc>
              <w:tc>
                <w:tcPr>
                  <w:tcW w:w="335" w:type="pct"/>
                  <w:vAlign w:val="center"/>
                </w:tcPr>
                <w:p>
                  <w:pPr>
                    <w:jc w:val="center"/>
                    <w:rPr>
                      <w:sz w:val="21"/>
                      <w:szCs w:val="21"/>
                    </w:rPr>
                  </w:pPr>
                  <w:r>
                    <w:rPr>
                      <w:sz w:val="21"/>
                      <w:szCs w:val="21"/>
                    </w:rPr>
                    <w:t>1.0</w:t>
                  </w:r>
                  <w:r>
                    <w:rPr>
                      <w:rFonts w:hint="eastAsia"/>
                      <w:sz w:val="21"/>
                      <w:szCs w:val="21"/>
                    </w:rPr>
                    <w:t>mg</w:t>
                  </w:r>
                  <w:r>
                    <w:rPr>
                      <w:sz w:val="21"/>
                      <w:szCs w:val="21"/>
                    </w:rPr>
                    <w:t>/m</w:t>
                  </w:r>
                </w:p>
              </w:tc>
              <w:tc>
                <w:tcPr>
                  <w:tcW w:w="531" w:type="pct"/>
                  <w:vMerge w:val="continue"/>
                  <w:vAlign w:val="center"/>
                </w:tcPr>
                <w:p>
                  <w:pPr>
                    <w:jc w:val="center"/>
                    <w:rPr>
                      <w:bCs/>
                      <w:sz w:val="21"/>
                      <w:szCs w:val="21"/>
                    </w:rPr>
                  </w:pPr>
                </w:p>
              </w:tc>
            </w:tr>
          </w:tbl>
          <w:p>
            <w:pPr>
              <w:pStyle w:val="69"/>
              <w:ind w:left="48" w:right="48"/>
              <w:jc w:val="both"/>
              <w:rPr>
                <w:sz w:val="21"/>
                <w:szCs w:val="21"/>
                <w:lang w:eastAsia="zh-CN"/>
              </w:rPr>
            </w:pPr>
            <w:r>
              <w:rPr>
                <w:rFonts w:hint="eastAsia"/>
                <w:sz w:val="21"/>
                <w:szCs w:val="21"/>
                <w:lang w:eastAsia="zh-CN"/>
              </w:rPr>
              <w:t>注：原料卸料、贮存及砂石原料上料粉尘产生量指未采取措施时理论产生量，无组织产生量指采取喷淋控尘措施后实际产生量，无组织去除率指沉降率（其中筒仓粉尘去除率指仓顶布袋除尘器去除效率）。</w:t>
            </w:r>
          </w:p>
          <w:p>
            <w:pPr>
              <w:pStyle w:val="69"/>
              <w:ind w:left="48" w:right="48"/>
              <w:jc w:val="both"/>
              <w:rPr>
                <w:b/>
                <w:bCs/>
                <w:lang w:eastAsia="zh-CN"/>
              </w:rPr>
            </w:pPr>
            <w:r>
              <w:rPr>
                <w:rFonts w:hint="eastAsia"/>
                <w:b/>
                <w:bCs/>
                <w:lang w:eastAsia="zh-CN"/>
              </w:rPr>
              <w:t>（二）排放口信息及检测要求</w:t>
            </w:r>
          </w:p>
          <w:p>
            <w:pPr>
              <w:pStyle w:val="320"/>
            </w:pPr>
            <w:r>
              <w:t>表</w:t>
            </w:r>
            <w:r>
              <w:rPr>
                <w:sz w:val="20"/>
              </w:rPr>
              <w:fldChar w:fldCharType="begin"/>
            </w:r>
            <w:r>
              <w:instrText xml:space="preserve"> </w:instrText>
            </w:r>
            <w:r>
              <w:rPr>
                <w:rFonts w:hint="eastAsia"/>
              </w:rPr>
              <w:instrText xml:space="preserve">SEQ 表格 \* ARABIC</w:instrText>
            </w:r>
            <w:r>
              <w:instrText xml:space="preserve"> </w:instrText>
            </w:r>
            <w:r>
              <w:rPr>
                <w:sz w:val="20"/>
              </w:rPr>
              <w:fldChar w:fldCharType="separate"/>
            </w:r>
            <w:r>
              <w:t>25</w:t>
            </w:r>
            <w:r>
              <w:rPr>
                <w:sz w:val="20"/>
              </w:rPr>
              <w:fldChar w:fldCharType="end"/>
            </w:r>
            <w:r>
              <w:rPr>
                <w:rFonts w:hint="eastAsia"/>
              </w:rPr>
              <w:t xml:space="preserve"> </w:t>
            </w:r>
            <w:r>
              <w:t xml:space="preserve"> 大气</w:t>
            </w:r>
            <w:r>
              <w:rPr>
                <w:rFonts w:hint="eastAsia"/>
              </w:rPr>
              <w:t>污染物</w:t>
            </w:r>
            <w:r>
              <w:t>排放口基本情况表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25"/>
              <w:gridCol w:w="940"/>
              <w:gridCol w:w="1136"/>
              <w:gridCol w:w="1873"/>
              <w:gridCol w:w="777"/>
              <w:gridCol w:w="777"/>
              <w:gridCol w:w="777"/>
              <w:gridCol w:w="829"/>
              <w:gridCol w:w="731"/>
              <w:gridCol w:w="625"/>
              <w:gridCol w:w="2506"/>
              <w:gridCol w:w="625"/>
              <w:gridCol w:w="691"/>
              <w:gridCol w:w="6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30" w:type="pct"/>
                  <w:vMerge w:val="restart"/>
                  <w:tcBorders>
                    <w:bottom w:val="single" w:color="auto" w:sz="4" w:space="0"/>
                  </w:tcBorders>
                  <w:vAlign w:val="center"/>
                </w:tcPr>
                <w:p>
                  <w:pPr>
                    <w:pStyle w:val="64"/>
                    <w:spacing w:line="240" w:lineRule="auto"/>
                    <w:rPr>
                      <w:szCs w:val="21"/>
                    </w:rPr>
                  </w:pPr>
                  <w:r>
                    <w:rPr>
                      <w:szCs w:val="21"/>
                    </w:rPr>
                    <w:t>排放口编号</w:t>
                  </w:r>
                </w:p>
              </w:tc>
              <w:tc>
                <w:tcPr>
                  <w:tcW w:w="346" w:type="pct"/>
                  <w:vMerge w:val="restart"/>
                  <w:tcBorders>
                    <w:bottom w:val="single" w:color="auto" w:sz="4" w:space="0"/>
                  </w:tcBorders>
                  <w:vAlign w:val="center"/>
                </w:tcPr>
                <w:p>
                  <w:pPr>
                    <w:pStyle w:val="64"/>
                    <w:spacing w:line="240" w:lineRule="auto"/>
                    <w:rPr>
                      <w:szCs w:val="21"/>
                    </w:rPr>
                  </w:pPr>
                  <w:r>
                    <w:rPr>
                      <w:rFonts w:hint="eastAsia"/>
                      <w:szCs w:val="21"/>
                    </w:rPr>
                    <w:t>排放口名称</w:t>
                  </w:r>
                </w:p>
              </w:tc>
              <w:tc>
                <w:tcPr>
                  <w:tcW w:w="418" w:type="pct"/>
                  <w:vMerge w:val="restart"/>
                  <w:tcBorders>
                    <w:bottom w:val="single" w:color="auto" w:sz="4" w:space="0"/>
                  </w:tcBorders>
                  <w:vAlign w:val="center"/>
                </w:tcPr>
                <w:p>
                  <w:pPr>
                    <w:pStyle w:val="64"/>
                    <w:spacing w:line="240" w:lineRule="auto"/>
                    <w:rPr>
                      <w:szCs w:val="21"/>
                    </w:rPr>
                  </w:pPr>
                  <w:r>
                    <w:rPr>
                      <w:rFonts w:hint="eastAsia"/>
                      <w:szCs w:val="21"/>
                    </w:rPr>
                    <w:t>排放口类型</w:t>
                  </w:r>
                </w:p>
              </w:tc>
              <w:tc>
                <w:tcPr>
                  <w:tcW w:w="689" w:type="pct"/>
                  <w:vMerge w:val="restart"/>
                  <w:tcBorders>
                    <w:bottom w:val="single" w:color="auto" w:sz="4" w:space="0"/>
                  </w:tcBorders>
                  <w:vAlign w:val="center"/>
                </w:tcPr>
                <w:p>
                  <w:pPr>
                    <w:pStyle w:val="64"/>
                    <w:spacing w:line="240" w:lineRule="auto"/>
                    <w:rPr>
                      <w:szCs w:val="21"/>
                    </w:rPr>
                  </w:pPr>
                  <w:r>
                    <w:rPr>
                      <w:szCs w:val="21"/>
                    </w:rPr>
                    <w:t>排放口地理坐标</w:t>
                  </w:r>
                  <w:r>
                    <w:rPr>
                      <w:rFonts w:hint="eastAsia"/>
                      <w:szCs w:val="21"/>
                    </w:rPr>
                    <w:t>/</w:t>
                  </w:r>
                  <w:r>
                    <w:rPr>
                      <w:szCs w:val="21"/>
                    </w:rPr>
                    <w:t>经度</w:t>
                  </w:r>
                  <w:r>
                    <w:rPr>
                      <w:rFonts w:hint="eastAsia"/>
                      <w:szCs w:val="21"/>
                    </w:rPr>
                    <w:t>/</w:t>
                  </w:r>
                  <w:r>
                    <w:rPr>
                      <w:szCs w:val="21"/>
                    </w:rPr>
                    <w:t>纬度</w:t>
                  </w:r>
                </w:p>
              </w:tc>
              <w:tc>
                <w:tcPr>
                  <w:tcW w:w="1163" w:type="pct"/>
                  <w:gridSpan w:val="4"/>
                  <w:tcBorders>
                    <w:bottom w:val="single" w:color="auto" w:sz="4" w:space="0"/>
                  </w:tcBorders>
                  <w:vAlign w:val="center"/>
                </w:tcPr>
                <w:p>
                  <w:pPr>
                    <w:pStyle w:val="64"/>
                    <w:spacing w:line="240" w:lineRule="auto"/>
                    <w:rPr>
                      <w:szCs w:val="21"/>
                    </w:rPr>
                  </w:pPr>
                  <w:r>
                    <w:rPr>
                      <w:rFonts w:hint="eastAsia"/>
                      <w:szCs w:val="21"/>
                    </w:rPr>
                    <w:t>排气筒参数</w:t>
                  </w:r>
                </w:p>
              </w:tc>
              <w:tc>
                <w:tcPr>
                  <w:tcW w:w="269" w:type="pct"/>
                  <w:vMerge w:val="restart"/>
                  <w:tcBorders>
                    <w:bottom w:val="single" w:color="auto" w:sz="4" w:space="0"/>
                  </w:tcBorders>
                  <w:vAlign w:val="center"/>
                </w:tcPr>
                <w:p>
                  <w:pPr>
                    <w:pStyle w:val="64"/>
                    <w:spacing w:line="240" w:lineRule="auto"/>
                    <w:rPr>
                      <w:szCs w:val="21"/>
                    </w:rPr>
                  </w:pPr>
                  <w:r>
                    <w:rPr>
                      <w:rFonts w:hint="eastAsia"/>
                      <w:szCs w:val="21"/>
                    </w:rPr>
                    <w:t>污染物种类</w:t>
                  </w:r>
                </w:p>
              </w:tc>
              <w:tc>
                <w:tcPr>
                  <w:tcW w:w="1152" w:type="pct"/>
                  <w:gridSpan w:val="2"/>
                  <w:tcBorders>
                    <w:bottom w:val="single" w:color="auto" w:sz="4" w:space="0"/>
                  </w:tcBorders>
                  <w:vAlign w:val="center"/>
                </w:tcPr>
                <w:p>
                  <w:pPr>
                    <w:pStyle w:val="64"/>
                    <w:spacing w:line="240" w:lineRule="auto"/>
                    <w:rPr>
                      <w:rFonts w:cs="Times New Roman"/>
                      <w:szCs w:val="21"/>
                    </w:rPr>
                  </w:pPr>
                  <w:r>
                    <w:rPr>
                      <w:rFonts w:hint="eastAsia" w:cs="Times New Roman"/>
                      <w:szCs w:val="21"/>
                    </w:rPr>
                    <w:t>排放标准</w:t>
                  </w:r>
                </w:p>
              </w:tc>
              <w:tc>
                <w:tcPr>
                  <w:tcW w:w="230" w:type="pct"/>
                  <w:vMerge w:val="restart"/>
                  <w:tcBorders>
                    <w:bottom w:val="single" w:color="auto" w:sz="4" w:space="0"/>
                  </w:tcBorders>
                  <w:vAlign w:val="center"/>
                </w:tcPr>
                <w:p>
                  <w:pPr>
                    <w:pStyle w:val="64"/>
                    <w:spacing w:line="240" w:lineRule="auto"/>
                    <w:rPr>
                      <w:rFonts w:cs="Times New Roman"/>
                      <w:szCs w:val="21"/>
                    </w:rPr>
                  </w:pPr>
                  <w:r>
                    <w:rPr>
                      <w:rFonts w:hint="eastAsia" w:cs="Times New Roman"/>
                      <w:szCs w:val="21"/>
                    </w:rPr>
                    <w:t>监测点位名称</w:t>
                  </w:r>
                </w:p>
              </w:tc>
              <w:tc>
                <w:tcPr>
                  <w:tcW w:w="254" w:type="pct"/>
                  <w:vMerge w:val="restart"/>
                  <w:tcBorders>
                    <w:bottom w:val="single" w:color="auto" w:sz="4" w:space="0"/>
                  </w:tcBorders>
                  <w:vAlign w:val="center"/>
                </w:tcPr>
                <w:p>
                  <w:pPr>
                    <w:pStyle w:val="64"/>
                    <w:spacing w:line="240" w:lineRule="auto"/>
                    <w:rPr>
                      <w:szCs w:val="21"/>
                    </w:rPr>
                  </w:pPr>
                  <w:r>
                    <w:rPr>
                      <w:rFonts w:hint="eastAsia"/>
                      <w:szCs w:val="21"/>
                    </w:rPr>
                    <w:t>监测因子</w:t>
                  </w:r>
                </w:p>
              </w:tc>
              <w:tc>
                <w:tcPr>
                  <w:tcW w:w="249" w:type="pct"/>
                  <w:vMerge w:val="restart"/>
                  <w:tcBorders>
                    <w:bottom w:val="single" w:color="auto" w:sz="4" w:space="0"/>
                  </w:tcBorders>
                  <w:vAlign w:val="center"/>
                </w:tcPr>
                <w:p>
                  <w:pPr>
                    <w:pStyle w:val="64"/>
                    <w:spacing w:line="240" w:lineRule="auto"/>
                    <w:rPr>
                      <w:szCs w:val="21"/>
                    </w:rPr>
                  </w:pPr>
                  <w:r>
                    <w:rPr>
                      <w:rFonts w:hint="eastAsia"/>
                      <w:szCs w:val="21"/>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30" w:type="pct"/>
                  <w:vMerge w:val="continue"/>
                  <w:vAlign w:val="center"/>
                </w:tcPr>
                <w:p>
                  <w:pPr>
                    <w:pStyle w:val="64"/>
                    <w:spacing w:line="240" w:lineRule="auto"/>
                    <w:rPr>
                      <w:szCs w:val="21"/>
                    </w:rPr>
                  </w:pPr>
                </w:p>
              </w:tc>
              <w:tc>
                <w:tcPr>
                  <w:tcW w:w="346" w:type="pct"/>
                  <w:vMerge w:val="continue"/>
                  <w:vAlign w:val="center"/>
                </w:tcPr>
                <w:p>
                  <w:pPr>
                    <w:pStyle w:val="64"/>
                    <w:spacing w:line="240" w:lineRule="auto"/>
                    <w:rPr>
                      <w:szCs w:val="21"/>
                    </w:rPr>
                  </w:pPr>
                </w:p>
              </w:tc>
              <w:tc>
                <w:tcPr>
                  <w:tcW w:w="418" w:type="pct"/>
                  <w:vMerge w:val="continue"/>
                  <w:vAlign w:val="center"/>
                </w:tcPr>
                <w:p>
                  <w:pPr>
                    <w:pStyle w:val="64"/>
                    <w:spacing w:line="240" w:lineRule="auto"/>
                    <w:rPr>
                      <w:szCs w:val="21"/>
                    </w:rPr>
                  </w:pPr>
                </w:p>
              </w:tc>
              <w:tc>
                <w:tcPr>
                  <w:tcW w:w="689" w:type="pct"/>
                  <w:vMerge w:val="continue"/>
                  <w:vAlign w:val="center"/>
                </w:tcPr>
                <w:p>
                  <w:pPr>
                    <w:pStyle w:val="64"/>
                    <w:spacing w:line="240" w:lineRule="auto"/>
                    <w:rPr>
                      <w:szCs w:val="21"/>
                    </w:rPr>
                  </w:pPr>
                </w:p>
              </w:tc>
              <w:tc>
                <w:tcPr>
                  <w:tcW w:w="286" w:type="pct"/>
                  <w:vAlign w:val="center"/>
                </w:tcPr>
                <w:p>
                  <w:pPr>
                    <w:pStyle w:val="64"/>
                    <w:spacing w:line="240" w:lineRule="auto"/>
                    <w:rPr>
                      <w:szCs w:val="21"/>
                    </w:rPr>
                  </w:pPr>
                  <w:r>
                    <w:rPr>
                      <w:szCs w:val="21"/>
                    </w:rPr>
                    <w:t>高度（m）</w:t>
                  </w:r>
                </w:p>
              </w:tc>
              <w:tc>
                <w:tcPr>
                  <w:tcW w:w="286" w:type="pct"/>
                  <w:vAlign w:val="center"/>
                </w:tcPr>
                <w:p>
                  <w:pPr>
                    <w:pStyle w:val="64"/>
                    <w:spacing w:line="240" w:lineRule="auto"/>
                    <w:rPr>
                      <w:szCs w:val="21"/>
                    </w:rPr>
                  </w:pPr>
                  <w:r>
                    <w:rPr>
                      <w:szCs w:val="21"/>
                    </w:rPr>
                    <w:t>出口</w:t>
                  </w:r>
                </w:p>
                <w:p>
                  <w:pPr>
                    <w:pStyle w:val="64"/>
                    <w:spacing w:line="240" w:lineRule="auto"/>
                    <w:rPr>
                      <w:szCs w:val="21"/>
                    </w:rPr>
                  </w:pPr>
                  <w:r>
                    <w:rPr>
                      <w:szCs w:val="21"/>
                    </w:rPr>
                    <w:t>内径</w:t>
                  </w:r>
                  <w:r>
                    <w:rPr>
                      <w:rFonts w:hint="eastAsia"/>
                      <w:szCs w:val="21"/>
                    </w:rPr>
                    <w:t>（m）</w:t>
                  </w:r>
                </w:p>
              </w:tc>
              <w:tc>
                <w:tcPr>
                  <w:tcW w:w="286" w:type="pct"/>
                  <w:vAlign w:val="center"/>
                </w:tcPr>
                <w:p>
                  <w:pPr>
                    <w:pStyle w:val="64"/>
                    <w:spacing w:line="240" w:lineRule="auto"/>
                    <w:rPr>
                      <w:szCs w:val="21"/>
                    </w:rPr>
                  </w:pPr>
                  <w:r>
                    <w:rPr>
                      <w:szCs w:val="21"/>
                    </w:rPr>
                    <w:t>排气</w:t>
                  </w:r>
                </w:p>
                <w:p>
                  <w:pPr>
                    <w:pStyle w:val="64"/>
                    <w:spacing w:line="240" w:lineRule="auto"/>
                    <w:rPr>
                      <w:szCs w:val="21"/>
                    </w:rPr>
                  </w:pPr>
                  <w:r>
                    <w:rPr>
                      <w:szCs w:val="21"/>
                    </w:rPr>
                    <w:t>温度</w:t>
                  </w:r>
                  <w:r>
                    <w:rPr>
                      <w:rFonts w:hint="eastAsia"/>
                      <w:szCs w:val="21"/>
                    </w:rPr>
                    <w:t>（℃）</w:t>
                  </w:r>
                </w:p>
              </w:tc>
              <w:tc>
                <w:tcPr>
                  <w:tcW w:w="305" w:type="pct"/>
                  <w:vAlign w:val="center"/>
                </w:tcPr>
                <w:p>
                  <w:pPr>
                    <w:pStyle w:val="64"/>
                    <w:spacing w:line="240" w:lineRule="auto"/>
                    <w:rPr>
                      <w:rFonts w:cs="Times New Roman"/>
                      <w:szCs w:val="21"/>
                    </w:rPr>
                  </w:pPr>
                  <w:r>
                    <w:rPr>
                      <w:rFonts w:hint="eastAsia" w:cs="Times New Roman"/>
                      <w:szCs w:val="21"/>
                    </w:rPr>
                    <w:t>设计</w:t>
                  </w:r>
                </w:p>
                <w:p>
                  <w:pPr>
                    <w:pStyle w:val="64"/>
                    <w:spacing w:line="240" w:lineRule="auto"/>
                    <w:rPr>
                      <w:rFonts w:cs="Times New Roman"/>
                      <w:szCs w:val="21"/>
                    </w:rPr>
                  </w:pPr>
                  <w:r>
                    <w:rPr>
                      <w:rFonts w:hint="eastAsia" w:cs="Times New Roman"/>
                      <w:szCs w:val="21"/>
                    </w:rPr>
                    <w:t>风量（m</w:t>
                  </w:r>
                  <w:r>
                    <w:rPr>
                      <w:rFonts w:cs="Times New Roman"/>
                      <w:szCs w:val="21"/>
                      <w:vertAlign w:val="superscript"/>
                    </w:rPr>
                    <w:t>3</w:t>
                  </w:r>
                  <w:r>
                    <w:rPr>
                      <w:rFonts w:cs="Times New Roman"/>
                      <w:szCs w:val="21"/>
                    </w:rPr>
                    <w:t>/h</w:t>
                  </w:r>
                  <w:r>
                    <w:rPr>
                      <w:rFonts w:hint="eastAsia" w:cs="Times New Roman"/>
                      <w:szCs w:val="21"/>
                    </w:rPr>
                    <w:t>）</w:t>
                  </w:r>
                </w:p>
              </w:tc>
              <w:tc>
                <w:tcPr>
                  <w:tcW w:w="269" w:type="pct"/>
                  <w:vMerge w:val="continue"/>
                  <w:vAlign w:val="center"/>
                </w:tcPr>
                <w:p>
                  <w:pPr>
                    <w:pStyle w:val="64"/>
                    <w:spacing w:line="240" w:lineRule="auto"/>
                    <w:rPr>
                      <w:szCs w:val="21"/>
                    </w:rPr>
                  </w:pPr>
                </w:p>
              </w:tc>
              <w:tc>
                <w:tcPr>
                  <w:tcW w:w="230" w:type="pct"/>
                  <w:vAlign w:val="center"/>
                </w:tcPr>
                <w:p>
                  <w:pPr>
                    <w:pStyle w:val="64"/>
                    <w:rPr>
                      <w:rFonts w:cs="Times New Roman"/>
                      <w:szCs w:val="21"/>
                    </w:rPr>
                  </w:pPr>
                  <w:r>
                    <w:rPr>
                      <w:rFonts w:hint="eastAsia" w:cs="Times New Roman"/>
                      <w:szCs w:val="21"/>
                    </w:rPr>
                    <w:t>限值</w:t>
                  </w:r>
                </w:p>
                <w:p>
                  <w:pPr>
                    <w:pStyle w:val="64"/>
                    <w:rPr>
                      <w:rFonts w:cs="Times New Roman"/>
                      <w:szCs w:val="21"/>
                    </w:rPr>
                  </w:pPr>
                  <w:r>
                    <w:rPr>
                      <w:rFonts w:hint="eastAsia" w:cs="Times New Roman"/>
                      <w:szCs w:val="21"/>
                    </w:rPr>
                    <w:t>mg</w:t>
                  </w:r>
                  <w:r>
                    <w:rPr>
                      <w:rFonts w:cs="Times New Roman"/>
                      <w:szCs w:val="21"/>
                    </w:rPr>
                    <w:t>/m</w:t>
                  </w:r>
                  <w:r>
                    <w:rPr>
                      <w:rFonts w:cs="Times New Roman"/>
                      <w:szCs w:val="21"/>
                      <w:vertAlign w:val="superscript"/>
                    </w:rPr>
                    <w:t>3</w:t>
                  </w:r>
                </w:p>
              </w:tc>
              <w:tc>
                <w:tcPr>
                  <w:tcW w:w="922" w:type="pct"/>
                  <w:vAlign w:val="center"/>
                </w:tcPr>
                <w:p>
                  <w:pPr>
                    <w:pStyle w:val="64"/>
                    <w:spacing w:line="240" w:lineRule="auto"/>
                    <w:rPr>
                      <w:rFonts w:cs="Times New Roman"/>
                      <w:szCs w:val="21"/>
                    </w:rPr>
                  </w:pPr>
                  <w:r>
                    <w:rPr>
                      <w:rFonts w:hint="eastAsia" w:cs="Times New Roman"/>
                      <w:szCs w:val="21"/>
                    </w:rPr>
                    <w:t>名称</w:t>
                  </w:r>
                </w:p>
              </w:tc>
              <w:tc>
                <w:tcPr>
                  <w:tcW w:w="230" w:type="pct"/>
                  <w:vMerge w:val="continue"/>
                  <w:vAlign w:val="center"/>
                </w:tcPr>
                <w:p>
                  <w:pPr>
                    <w:pStyle w:val="64"/>
                    <w:spacing w:line="240" w:lineRule="auto"/>
                    <w:rPr>
                      <w:rFonts w:cs="Times New Roman"/>
                      <w:szCs w:val="21"/>
                    </w:rPr>
                  </w:pPr>
                </w:p>
              </w:tc>
              <w:tc>
                <w:tcPr>
                  <w:tcW w:w="254" w:type="pct"/>
                  <w:vMerge w:val="continue"/>
                  <w:vAlign w:val="center"/>
                </w:tcPr>
                <w:p>
                  <w:pPr>
                    <w:pStyle w:val="64"/>
                    <w:spacing w:line="240" w:lineRule="auto"/>
                    <w:rPr>
                      <w:szCs w:val="21"/>
                    </w:rPr>
                  </w:pPr>
                </w:p>
              </w:tc>
              <w:tc>
                <w:tcPr>
                  <w:tcW w:w="249" w:type="pct"/>
                  <w:vMerge w:val="continue"/>
                  <w:vAlign w:val="center"/>
                </w:tcPr>
                <w:p>
                  <w:pPr>
                    <w:pStyle w:val="64"/>
                    <w:spacing w:line="240" w:lineRule="auto"/>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30" w:type="pct"/>
                  <w:vAlign w:val="center"/>
                </w:tcPr>
                <w:p>
                  <w:pPr>
                    <w:pStyle w:val="64"/>
                    <w:spacing w:line="240" w:lineRule="auto"/>
                    <w:rPr>
                      <w:szCs w:val="21"/>
                    </w:rPr>
                  </w:pPr>
                  <w:r>
                    <w:rPr>
                      <w:rFonts w:hint="eastAsia"/>
                      <w:szCs w:val="21"/>
                    </w:rPr>
                    <w:t>DA00</w:t>
                  </w:r>
                  <w:r>
                    <w:rPr>
                      <w:szCs w:val="21"/>
                    </w:rPr>
                    <w:t>1</w:t>
                  </w:r>
                </w:p>
              </w:tc>
              <w:tc>
                <w:tcPr>
                  <w:tcW w:w="346" w:type="pct"/>
                  <w:vAlign w:val="center"/>
                </w:tcPr>
                <w:p>
                  <w:pPr>
                    <w:pStyle w:val="64"/>
                    <w:spacing w:line="240" w:lineRule="auto"/>
                    <w:rPr>
                      <w:szCs w:val="21"/>
                    </w:rPr>
                  </w:pPr>
                  <w:r>
                    <w:rPr>
                      <w:rFonts w:hint="eastAsia"/>
                      <w:szCs w:val="21"/>
                    </w:rPr>
                    <w:t>混凝土搅拌废气</w:t>
                  </w:r>
                  <w:r>
                    <w:rPr>
                      <w:szCs w:val="21"/>
                    </w:rPr>
                    <w:t>排气筒</w:t>
                  </w:r>
                </w:p>
              </w:tc>
              <w:tc>
                <w:tcPr>
                  <w:tcW w:w="418" w:type="pct"/>
                  <w:vAlign w:val="center"/>
                </w:tcPr>
                <w:p>
                  <w:pPr>
                    <w:pStyle w:val="64"/>
                    <w:spacing w:line="240" w:lineRule="auto"/>
                    <w:rPr>
                      <w:szCs w:val="21"/>
                    </w:rPr>
                  </w:pPr>
                  <w:r>
                    <w:rPr>
                      <w:rFonts w:hint="eastAsia"/>
                      <w:szCs w:val="21"/>
                    </w:rPr>
                    <w:t>一般排放口</w:t>
                  </w:r>
                </w:p>
              </w:tc>
              <w:tc>
                <w:tcPr>
                  <w:tcW w:w="689" w:type="pct"/>
                  <w:vAlign w:val="center"/>
                </w:tcPr>
                <w:p>
                  <w:pPr>
                    <w:pStyle w:val="64"/>
                    <w:spacing w:line="240" w:lineRule="auto"/>
                    <w:rPr>
                      <w:rFonts w:cs="Times New Roman"/>
                      <w:szCs w:val="21"/>
                    </w:rPr>
                  </w:pPr>
                  <w:r>
                    <w:rPr>
                      <w:rFonts w:cs="Times New Roman"/>
                      <w:szCs w:val="21"/>
                    </w:rPr>
                    <w:t>117.5437</w:t>
                  </w:r>
                  <w:r>
                    <w:rPr>
                      <w:rFonts w:hint="eastAsia" w:cs="Times New Roman"/>
                      <w:szCs w:val="21"/>
                    </w:rPr>
                    <w:t>，3</w:t>
                  </w:r>
                  <w:r>
                    <w:rPr>
                      <w:rFonts w:cs="Times New Roman"/>
                      <w:szCs w:val="21"/>
                    </w:rPr>
                    <w:t>5.0754</w:t>
                  </w:r>
                </w:p>
              </w:tc>
              <w:tc>
                <w:tcPr>
                  <w:tcW w:w="286" w:type="pct"/>
                  <w:vAlign w:val="center"/>
                </w:tcPr>
                <w:p>
                  <w:pPr>
                    <w:pStyle w:val="64"/>
                    <w:spacing w:line="240" w:lineRule="auto"/>
                    <w:rPr>
                      <w:szCs w:val="21"/>
                    </w:rPr>
                  </w:pPr>
                  <w:r>
                    <w:rPr>
                      <w:rFonts w:hint="eastAsia"/>
                      <w:szCs w:val="21"/>
                    </w:rPr>
                    <w:t>1</w:t>
                  </w:r>
                  <w:r>
                    <w:rPr>
                      <w:szCs w:val="21"/>
                    </w:rPr>
                    <w:t>5</w:t>
                  </w:r>
                </w:p>
              </w:tc>
              <w:tc>
                <w:tcPr>
                  <w:tcW w:w="286" w:type="pct"/>
                  <w:vAlign w:val="center"/>
                </w:tcPr>
                <w:p>
                  <w:pPr>
                    <w:pStyle w:val="64"/>
                    <w:spacing w:line="240" w:lineRule="auto"/>
                    <w:rPr>
                      <w:szCs w:val="21"/>
                    </w:rPr>
                  </w:pPr>
                  <w:r>
                    <w:rPr>
                      <w:rFonts w:hint="eastAsia"/>
                      <w:szCs w:val="21"/>
                    </w:rPr>
                    <w:t>0</w:t>
                  </w:r>
                  <w:r>
                    <w:rPr>
                      <w:szCs w:val="21"/>
                    </w:rPr>
                    <w:t>.7</w:t>
                  </w:r>
                </w:p>
              </w:tc>
              <w:tc>
                <w:tcPr>
                  <w:tcW w:w="286" w:type="pct"/>
                  <w:vAlign w:val="center"/>
                </w:tcPr>
                <w:p>
                  <w:pPr>
                    <w:pStyle w:val="64"/>
                    <w:spacing w:line="240" w:lineRule="auto"/>
                    <w:rPr>
                      <w:szCs w:val="21"/>
                    </w:rPr>
                  </w:pPr>
                  <w:r>
                    <w:rPr>
                      <w:rFonts w:hint="eastAsia"/>
                      <w:szCs w:val="21"/>
                    </w:rPr>
                    <w:t>2</w:t>
                  </w:r>
                  <w:r>
                    <w:rPr>
                      <w:szCs w:val="21"/>
                    </w:rPr>
                    <w:t>0</w:t>
                  </w:r>
                </w:p>
              </w:tc>
              <w:tc>
                <w:tcPr>
                  <w:tcW w:w="305" w:type="pct"/>
                  <w:vAlign w:val="center"/>
                </w:tcPr>
                <w:p>
                  <w:pPr>
                    <w:pStyle w:val="64"/>
                    <w:spacing w:line="240" w:lineRule="auto"/>
                    <w:rPr>
                      <w:szCs w:val="21"/>
                    </w:rPr>
                  </w:pPr>
                  <w:r>
                    <w:rPr>
                      <w:szCs w:val="21"/>
                    </w:rPr>
                    <w:t>20000</w:t>
                  </w:r>
                </w:p>
              </w:tc>
              <w:tc>
                <w:tcPr>
                  <w:tcW w:w="269" w:type="pct"/>
                  <w:vAlign w:val="center"/>
                </w:tcPr>
                <w:p>
                  <w:pPr>
                    <w:pStyle w:val="64"/>
                    <w:spacing w:line="240" w:lineRule="auto"/>
                    <w:rPr>
                      <w:szCs w:val="21"/>
                    </w:rPr>
                  </w:pPr>
                  <w:r>
                    <w:rPr>
                      <w:rFonts w:hint="eastAsia"/>
                      <w:szCs w:val="21"/>
                    </w:rPr>
                    <w:t>颗粒物</w:t>
                  </w:r>
                </w:p>
              </w:tc>
              <w:tc>
                <w:tcPr>
                  <w:tcW w:w="230" w:type="pct"/>
                  <w:vAlign w:val="center"/>
                </w:tcPr>
                <w:p>
                  <w:pPr>
                    <w:pStyle w:val="64"/>
                    <w:spacing w:line="240" w:lineRule="auto"/>
                    <w:rPr>
                      <w:szCs w:val="21"/>
                    </w:rPr>
                  </w:pPr>
                  <w:r>
                    <w:rPr>
                      <w:szCs w:val="21"/>
                    </w:rPr>
                    <w:t>10</w:t>
                  </w:r>
                </w:p>
              </w:tc>
              <w:tc>
                <w:tcPr>
                  <w:tcW w:w="922" w:type="pct"/>
                  <w:vAlign w:val="center"/>
                </w:tcPr>
                <w:p>
                  <w:pPr>
                    <w:pStyle w:val="64"/>
                    <w:spacing w:line="240" w:lineRule="auto"/>
                    <w:rPr>
                      <w:rFonts w:ascii="宋体" w:hAnsi="宋体"/>
                      <w:szCs w:val="21"/>
                    </w:rPr>
                  </w:pPr>
                  <w:r>
                    <w:rPr>
                      <w:rFonts w:ascii="宋体" w:hAnsi="宋体"/>
                      <w:bCs/>
                      <w:szCs w:val="21"/>
                    </w:rPr>
                    <w:t>（</w:t>
                  </w:r>
                  <w:r>
                    <w:rPr>
                      <w:rFonts w:hint="eastAsia" w:ascii="宋体" w:hAnsi="宋体"/>
                      <w:bCs/>
                      <w:szCs w:val="21"/>
                    </w:rPr>
                    <w:t>《建材工业大气污染物排放标准》（</w:t>
                  </w:r>
                  <w:r>
                    <w:rPr>
                      <w:rFonts w:ascii="宋体" w:hAnsi="宋体"/>
                      <w:bCs/>
                      <w:szCs w:val="21"/>
                    </w:rPr>
                    <w:t>DB37/2373-2018</w:t>
                  </w:r>
                  <w:r>
                    <w:rPr>
                      <w:rFonts w:hint="eastAsia" w:ascii="宋体" w:hAnsi="宋体"/>
                      <w:bCs/>
                      <w:szCs w:val="21"/>
                    </w:rPr>
                    <w:t>）表2重点控制区排放限值</w:t>
                  </w:r>
                </w:p>
              </w:tc>
              <w:tc>
                <w:tcPr>
                  <w:tcW w:w="230" w:type="pct"/>
                  <w:vAlign w:val="center"/>
                </w:tcPr>
                <w:p>
                  <w:pPr>
                    <w:pStyle w:val="64"/>
                    <w:spacing w:line="240" w:lineRule="auto"/>
                    <w:rPr>
                      <w:rFonts w:ascii="宋体" w:hAnsi="宋体"/>
                      <w:szCs w:val="21"/>
                    </w:rPr>
                  </w:pPr>
                  <w:r>
                    <w:rPr>
                      <w:rFonts w:hint="eastAsia" w:ascii="宋体" w:hAnsi="宋体"/>
                      <w:szCs w:val="21"/>
                    </w:rPr>
                    <w:t>DA00</w:t>
                  </w:r>
                  <w:r>
                    <w:rPr>
                      <w:rFonts w:ascii="宋体" w:hAnsi="宋体"/>
                      <w:szCs w:val="21"/>
                    </w:rPr>
                    <w:t>1排气筒出口</w:t>
                  </w:r>
                </w:p>
              </w:tc>
              <w:tc>
                <w:tcPr>
                  <w:tcW w:w="254" w:type="pct"/>
                  <w:vAlign w:val="center"/>
                </w:tcPr>
                <w:p>
                  <w:pPr>
                    <w:pStyle w:val="64"/>
                    <w:spacing w:line="240" w:lineRule="auto"/>
                    <w:rPr>
                      <w:szCs w:val="21"/>
                    </w:rPr>
                  </w:pPr>
                  <w:r>
                    <w:rPr>
                      <w:rFonts w:hint="eastAsia"/>
                      <w:szCs w:val="21"/>
                    </w:rPr>
                    <w:t>颗粒物</w:t>
                  </w:r>
                </w:p>
              </w:tc>
              <w:tc>
                <w:tcPr>
                  <w:tcW w:w="249" w:type="pct"/>
                  <w:vAlign w:val="center"/>
                </w:tcPr>
                <w:p>
                  <w:pPr>
                    <w:pStyle w:val="64"/>
                    <w:spacing w:line="240" w:lineRule="auto"/>
                    <w:rPr>
                      <w:rFonts w:ascii="宋体" w:hAnsi="宋体"/>
                      <w:szCs w:val="21"/>
                    </w:rPr>
                  </w:pPr>
                  <w:r>
                    <w:rPr>
                      <w:rFonts w:hint="eastAsia" w:ascii="宋体" w:hAnsi="宋体"/>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30" w:type="pct"/>
                  <w:vAlign w:val="center"/>
                </w:tcPr>
                <w:p>
                  <w:pPr>
                    <w:pStyle w:val="64"/>
                    <w:spacing w:line="240" w:lineRule="auto"/>
                    <w:rPr>
                      <w:szCs w:val="21"/>
                    </w:rPr>
                  </w:pPr>
                  <w:r>
                    <w:rPr>
                      <w:rFonts w:hint="eastAsia"/>
                      <w:szCs w:val="21"/>
                    </w:rPr>
                    <w:t>厂界</w:t>
                  </w:r>
                </w:p>
              </w:tc>
              <w:tc>
                <w:tcPr>
                  <w:tcW w:w="346" w:type="pct"/>
                  <w:vAlign w:val="center"/>
                </w:tcPr>
                <w:p>
                  <w:pPr>
                    <w:pStyle w:val="64"/>
                    <w:spacing w:line="240" w:lineRule="auto"/>
                    <w:rPr>
                      <w:szCs w:val="21"/>
                    </w:rPr>
                  </w:pPr>
                  <w:r>
                    <w:rPr>
                      <w:rFonts w:hint="eastAsia"/>
                      <w:szCs w:val="21"/>
                    </w:rPr>
                    <w:t>厂界</w:t>
                  </w:r>
                </w:p>
              </w:tc>
              <w:tc>
                <w:tcPr>
                  <w:tcW w:w="418" w:type="pct"/>
                  <w:vAlign w:val="center"/>
                </w:tcPr>
                <w:p>
                  <w:pPr>
                    <w:pStyle w:val="64"/>
                    <w:spacing w:line="240" w:lineRule="auto"/>
                    <w:rPr>
                      <w:szCs w:val="21"/>
                    </w:rPr>
                  </w:pPr>
                  <w:r>
                    <w:rPr>
                      <w:rFonts w:hint="eastAsia"/>
                      <w:szCs w:val="21"/>
                    </w:rPr>
                    <w:t>/</w:t>
                  </w:r>
                </w:p>
              </w:tc>
              <w:tc>
                <w:tcPr>
                  <w:tcW w:w="689" w:type="pct"/>
                  <w:vAlign w:val="center"/>
                </w:tcPr>
                <w:p>
                  <w:pPr>
                    <w:pStyle w:val="64"/>
                    <w:spacing w:line="240" w:lineRule="auto"/>
                    <w:rPr>
                      <w:szCs w:val="21"/>
                    </w:rPr>
                  </w:pPr>
                  <w:r>
                    <w:rPr>
                      <w:rFonts w:hint="eastAsia"/>
                      <w:szCs w:val="21"/>
                    </w:rPr>
                    <w:t>/</w:t>
                  </w:r>
                </w:p>
              </w:tc>
              <w:tc>
                <w:tcPr>
                  <w:tcW w:w="286" w:type="pct"/>
                  <w:vAlign w:val="center"/>
                </w:tcPr>
                <w:p>
                  <w:pPr>
                    <w:pStyle w:val="64"/>
                    <w:spacing w:line="240" w:lineRule="auto"/>
                    <w:rPr>
                      <w:szCs w:val="21"/>
                    </w:rPr>
                  </w:pPr>
                  <w:r>
                    <w:rPr>
                      <w:rFonts w:hint="eastAsia"/>
                      <w:szCs w:val="21"/>
                    </w:rPr>
                    <w:t>/</w:t>
                  </w:r>
                </w:p>
              </w:tc>
              <w:tc>
                <w:tcPr>
                  <w:tcW w:w="286" w:type="pct"/>
                  <w:vAlign w:val="center"/>
                </w:tcPr>
                <w:p>
                  <w:pPr>
                    <w:pStyle w:val="64"/>
                    <w:spacing w:line="240" w:lineRule="auto"/>
                    <w:rPr>
                      <w:szCs w:val="21"/>
                    </w:rPr>
                  </w:pPr>
                  <w:r>
                    <w:rPr>
                      <w:rFonts w:hint="eastAsia"/>
                      <w:szCs w:val="21"/>
                    </w:rPr>
                    <w:t>/</w:t>
                  </w:r>
                </w:p>
              </w:tc>
              <w:tc>
                <w:tcPr>
                  <w:tcW w:w="286" w:type="pct"/>
                  <w:vAlign w:val="center"/>
                </w:tcPr>
                <w:p>
                  <w:pPr>
                    <w:pStyle w:val="64"/>
                    <w:spacing w:line="240" w:lineRule="auto"/>
                    <w:rPr>
                      <w:szCs w:val="21"/>
                    </w:rPr>
                  </w:pPr>
                  <w:r>
                    <w:rPr>
                      <w:rFonts w:hint="eastAsia"/>
                      <w:szCs w:val="21"/>
                    </w:rPr>
                    <w:t>/</w:t>
                  </w:r>
                </w:p>
              </w:tc>
              <w:tc>
                <w:tcPr>
                  <w:tcW w:w="305" w:type="pct"/>
                  <w:vAlign w:val="center"/>
                </w:tcPr>
                <w:p>
                  <w:pPr>
                    <w:pStyle w:val="64"/>
                    <w:spacing w:line="240" w:lineRule="auto"/>
                    <w:rPr>
                      <w:szCs w:val="21"/>
                    </w:rPr>
                  </w:pPr>
                  <w:r>
                    <w:rPr>
                      <w:rFonts w:hint="eastAsia"/>
                      <w:szCs w:val="21"/>
                    </w:rPr>
                    <w:t>/</w:t>
                  </w:r>
                </w:p>
              </w:tc>
              <w:tc>
                <w:tcPr>
                  <w:tcW w:w="269" w:type="pct"/>
                  <w:vAlign w:val="center"/>
                </w:tcPr>
                <w:p>
                  <w:pPr>
                    <w:pStyle w:val="64"/>
                    <w:spacing w:line="240" w:lineRule="auto"/>
                    <w:rPr>
                      <w:szCs w:val="21"/>
                    </w:rPr>
                  </w:pPr>
                  <w:r>
                    <w:rPr>
                      <w:rFonts w:hint="eastAsia"/>
                      <w:szCs w:val="21"/>
                    </w:rPr>
                    <w:t>颗粒物</w:t>
                  </w:r>
                </w:p>
              </w:tc>
              <w:tc>
                <w:tcPr>
                  <w:tcW w:w="230" w:type="pct"/>
                  <w:vAlign w:val="center"/>
                </w:tcPr>
                <w:p>
                  <w:pPr>
                    <w:pStyle w:val="64"/>
                    <w:spacing w:line="240" w:lineRule="auto"/>
                    <w:rPr>
                      <w:szCs w:val="21"/>
                    </w:rPr>
                  </w:pPr>
                  <w:r>
                    <w:rPr>
                      <w:szCs w:val="21"/>
                    </w:rPr>
                    <w:t>1.0</w:t>
                  </w:r>
                </w:p>
              </w:tc>
              <w:tc>
                <w:tcPr>
                  <w:tcW w:w="922" w:type="pct"/>
                  <w:vAlign w:val="center"/>
                </w:tcPr>
                <w:p>
                  <w:pPr>
                    <w:pStyle w:val="64"/>
                    <w:spacing w:line="240" w:lineRule="auto"/>
                    <w:rPr>
                      <w:szCs w:val="21"/>
                    </w:rPr>
                  </w:pPr>
                  <w:r>
                    <w:rPr>
                      <w:rFonts w:hint="eastAsia"/>
                      <w:bCs/>
                      <w:szCs w:val="21"/>
                    </w:rPr>
                    <w:t>《建材工业大气污染物排放标准》（</w:t>
                  </w:r>
                  <w:r>
                    <w:rPr>
                      <w:bCs/>
                      <w:szCs w:val="21"/>
                    </w:rPr>
                    <w:t>DB37/2373-2018</w:t>
                  </w:r>
                  <w:r>
                    <w:rPr>
                      <w:rFonts w:hint="eastAsia"/>
                      <w:bCs/>
                      <w:szCs w:val="21"/>
                    </w:rPr>
                    <w:t>）表</w:t>
                  </w:r>
                  <w:r>
                    <w:rPr>
                      <w:bCs/>
                      <w:szCs w:val="21"/>
                    </w:rPr>
                    <w:t>3</w:t>
                  </w:r>
                  <w:r>
                    <w:rPr>
                      <w:rFonts w:hint="eastAsia"/>
                      <w:bCs/>
                      <w:szCs w:val="21"/>
                    </w:rPr>
                    <w:t>无组织排放限值</w:t>
                  </w:r>
                </w:p>
              </w:tc>
              <w:tc>
                <w:tcPr>
                  <w:tcW w:w="230" w:type="pct"/>
                  <w:vAlign w:val="center"/>
                </w:tcPr>
                <w:p>
                  <w:pPr>
                    <w:pStyle w:val="64"/>
                    <w:spacing w:line="240" w:lineRule="auto"/>
                    <w:rPr>
                      <w:szCs w:val="21"/>
                    </w:rPr>
                  </w:pPr>
                  <w:r>
                    <w:rPr>
                      <w:rFonts w:hint="eastAsia"/>
                      <w:szCs w:val="21"/>
                    </w:rPr>
                    <w:t>厂界</w:t>
                  </w:r>
                </w:p>
              </w:tc>
              <w:tc>
                <w:tcPr>
                  <w:tcW w:w="254" w:type="pct"/>
                  <w:vAlign w:val="center"/>
                </w:tcPr>
                <w:p>
                  <w:pPr>
                    <w:pStyle w:val="64"/>
                    <w:spacing w:line="240" w:lineRule="auto"/>
                    <w:rPr>
                      <w:szCs w:val="21"/>
                    </w:rPr>
                  </w:pPr>
                  <w:r>
                    <w:rPr>
                      <w:szCs w:val="21"/>
                    </w:rPr>
                    <w:t>颗粒物</w:t>
                  </w:r>
                </w:p>
              </w:tc>
              <w:tc>
                <w:tcPr>
                  <w:tcW w:w="249" w:type="pct"/>
                  <w:vAlign w:val="center"/>
                </w:tcPr>
                <w:p>
                  <w:pPr>
                    <w:pStyle w:val="64"/>
                    <w:spacing w:line="240" w:lineRule="auto"/>
                    <w:rPr>
                      <w:rFonts w:ascii="宋体" w:hAnsi="宋体"/>
                      <w:szCs w:val="21"/>
                    </w:rPr>
                  </w:pPr>
                  <w:r>
                    <w:rPr>
                      <w:rFonts w:hint="eastAsia" w:ascii="宋体" w:hAnsi="宋体"/>
                      <w:szCs w:val="21"/>
                    </w:rPr>
                    <w:t>1次/年</w:t>
                  </w:r>
                </w:p>
              </w:tc>
            </w:tr>
          </w:tbl>
          <w:p>
            <w:pPr>
              <w:pStyle w:val="69"/>
              <w:ind w:left="48" w:right="48"/>
              <w:jc w:val="both"/>
              <w:rPr>
                <w:b/>
                <w:bCs/>
                <w:lang w:eastAsia="zh-CN"/>
              </w:rPr>
            </w:pPr>
            <w:r>
              <w:rPr>
                <w:rFonts w:hint="eastAsia"/>
                <w:b/>
                <w:bCs/>
                <w:lang w:eastAsia="zh-CN"/>
              </w:rPr>
              <w:t>（三）非正常工况分析</w:t>
            </w:r>
          </w:p>
          <w:p>
            <w:pPr>
              <w:pStyle w:val="69"/>
              <w:ind w:left="48" w:right="48"/>
              <w:jc w:val="both"/>
              <w:rPr>
                <w:b/>
                <w:bCs/>
                <w:lang w:eastAsia="zh-CN"/>
              </w:rPr>
            </w:pPr>
            <w:r>
              <w:rPr>
                <w:rFonts w:hint="eastAsia"/>
                <w:b/>
                <w:bCs/>
                <w:lang w:eastAsia="zh-CN"/>
              </w:rPr>
              <w:t>1、非正常工况污染物产排分析</w:t>
            </w:r>
          </w:p>
          <w:p>
            <w:pPr>
              <w:pStyle w:val="69"/>
              <w:ind w:left="48" w:right="48"/>
              <w:jc w:val="both"/>
              <w:rPr>
                <w:lang w:eastAsia="zh-CN"/>
              </w:rPr>
            </w:pPr>
            <w:r>
              <w:rPr>
                <w:lang w:eastAsia="zh-CN"/>
              </w:rPr>
              <w:t>本项目非正常工况主要</w:t>
            </w:r>
            <w:r>
              <w:rPr>
                <w:rFonts w:hint="eastAsia"/>
                <w:lang w:eastAsia="zh-CN"/>
              </w:rPr>
              <w:t>考虑混凝土搅拌废气治理设施出现故障，废气治理设施故障以废气治理设施去除率降为正常情况下6</w:t>
            </w:r>
            <w:r>
              <w:rPr>
                <w:lang w:eastAsia="zh-CN"/>
              </w:rPr>
              <w:t>0%</w:t>
            </w:r>
            <w:r>
              <w:rPr>
                <w:rFonts w:hint="eastAsia"/>
                <w:lang w:eastAsia="zh-CN"/>
              </w:rPr>
              <w:t>计。</w:t>
            </w:r>
            <w:r>
              <w:rPr>
                <w:lang w:eastAsia="zh-CN"/>
              </w:rPr>
              <w:t>项目</w:t>
            </w:r>
            <w:r>
              <w:rPr>
                <w:rFonts w:hint="eastAsia"/>
                <w:lang w:eastAsia="zh-CN"/>
              </w:rPr>
              <w:t>废气治理设施出现故障状况下</w:t>
            </w:r>
            <w:r>
              <w:rPr>
                <w:lang w:eastAsia="zh-CN"/>
              </w:rPr>
              <w:t>污染物排放情况见</w:t>
            </w:r>
            <w:r>
              <w:rPr>
                <w:lang w:eastAsia="zh-CN"/>
              </w:rPr>
              <w:fldChar w:fldCharType="begin"/>
            </w:r>
            <w:r>
              <w:rPr>
                <w:lang w:eastAsia="zh-CN"/>
              </w:rPr>
              <w:instrText xml:space="preserve"> REF _Ref98509687 \h  \* MERGEFORMAT </w:instrText>
            </w:r>
            <w:r>
              <w:rPr>
                <w:lang w:eastAsia="zh-CN"/>
              </w:rPr>
              <w:fldChar w:fldCharType="separate"/>
            </w:r>
            <w:r>
              <w:rPr>
                <w:lang w:eastAsia="zh-CN"/>
              </w:rPr>
              <w:t>表22</w:t>
            </w:r>
            <w:r>
              <w:rPr>
                <w:lang w:eastAsia="zh-CN"/>
              </w:rPr>
              <w:fldChar w:fldCharType="end"/>
            </w:r>
            <w:r>
              <w:rPr>
                <w:lang w:eastAsia="zh-CN"/>
              </w:rPr>
              <w:t>。</w:t>
            </w:r>
          </w:p>
          <w:p>
            <w:pPr>
              <w:pStyle w:val="320"/>
            </w:pPr>
            <w:bookmarkStart w:id="28" w:name="_Ref116407507"/>
            <w:bookmarkStart w:id="29" w:name="_Ref98509687"/>
            <w:r>
              <w:t>表</w:t>
            </w:r>
            <w:r>
              <w:fldChar w:fldCharType="begin"/>
            </w:r>
            <w:r>
              <w:instrText xml:space="preserve"> </w:instrText>
            </w:r>
            <w:r>
              <w:rPr>
                <w:rFonts w:hint="eastAsia"/>
              </w:rPr>
              <w:instrText xml:space="preserve">SEQ 表格 \* ARABIC</w:instrText>
            </w:r>
            <w:r>
              <w:instrText xml:space="preserve"> </w:instrText>
            </w:r>
            <w:r>
              <w:fldChar w:fldCharType="separate"/>
            </w:r>
            <w:r>
              <w:t>22</w:t>
            </w:r>
            <w:r>
              <w:fldChar w:fldCharType="end"/>
            </w:r>
            <w:bookmarkEnd w:id="28"/>
            <w:bookmarkEnd w:id="29"/>
            <w:r>
              <w:rPr>
                <w:rFonts w:hint="eastAsia"/>
              </w:rPr>
              <w:t xml:space="preserve"> </w:t>
            </w:r>
            <w:r>
              <w:t xml:space="preserve"> 项目</w:t>
            </w:r>
            <w:r>
              <w:rPr>
                <w:rFonts w:hint="eastAsia"/>
              </w:rPr>
              <w:t>废气治理设施出现故障状况下</w:t>
            </w:r>
            <w:r>
              <w:t>污染物排放情况分析表</w:t>
            </w:r>
          </w:p>
          <w:tbl>
            <w:tblPr>
              <w:tblStyle w:val="3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966"/>
              <w:gridCol w:w="920"/>
              <w:gridCol w:w="958"/>
              <w:gridCol w:w="1130"/>
              <w:gridCol w:w="848"/>
              <w:gridCol w:w="706"/>
              <w:gridCol w:w="785"/>
              <w:gridCol w:w="791"/>
              <w:gridCol w:w="682"/>
              <w:gridCol w:w="758"/>
              <w:gridCol w:w="696"/>
              <w:gridCol w:w="959"/>
              <w:gridCol w:w="826"/>
              <w:gridCol w:w="875"/>
              <w:gridCol w:w="951"/>
              <w:gridCol w:w="7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blHeader/>
              </w:trPr>
              <w:tc>
                <w:tcPr>
                  <w:tcW w:w="357" w:type="pct"/>
                  <w:vAlign w:val="center"/>
                </w:tcPr>
                <w:p>
                  <w:pPr>
                    <w:pStyle w:val="68"/>
                    <w:spacing w:before="24" w:after="24"/>
                    <w:ind w:left="24" w:right="24"/>
                  </w:pPr>
                  <w:r>
                    <w:rPr>
                      <w:rFonts w:hint="eastAsia"/>
                    </w:rPr>
                    <w:t>排气筒编号</w:t>
                  </w:r>
                </w:p>
              </w:tc>
              <w:tc>
                <w:tcPr>
                  <w:tcW w:w="340" w:type="pct"/>
                  <w:vAlign w:val="center"/>
                </w:tcPr>
                <w:p>
                  <w:pPr>
                    <w:pStyle w:val="68"/>
                    <w:spacing w:before="24" w:after="24"/>
                    <w:ind w:left="24" w:right="24"/>
                  </w:pPr>
                  <w:r>
                    <w:rPr>
                      <w:rFonts w:hint="eastAsia"/>
                    </w:rPr>
                    <w:t>污染物种类</w:t>
                  </w:r>
                </w:p>
              </w:tc>
              <w:tc>
                <w:tcPr>
                  <w:tcW w:w="354" w:type="pct"/>
                  <w:vAlign w:val="center"/>
                </w:tcPr>
                <w:p>
                  <w:pPr>
                    <w:pStyle w:val="68"/>
                    <w:spacing w:before="24" w:after="24"/>
                    <w:ind w:left="24" w:right="24"/>
                  </w:pPr>
                  <w:r>
                    <w:rPr>
                      <w:rFonts w:hint="eastAsia"/>
                    </w:rPr>
                    <w:t>正常工况产生速率</w:t>
                  </w:r>
                </w:p>
                <w:p>
                  <w:pPr>
                    <w:pStyle w:val="68"/>
                    <w:spacing w:before="24" w:after="24"/>
                    <w:ind w:left="24" w:right="24"/>
                  </w:pPr>
                  <w:r>
                    <w:rPr>
                      <w:rFonts w:hint="eastAsia"/>
                    </w:rPr>
                    <w:t>/</w:t>
                  </w:r>
                  <w:r>
                    <w:t>kg/h</w:t>
                  </w:r>
                </w:p>
              </w:tc>
              <w:tc>
                <w:tcPr>
                  <w:tcW w:w="417" w:type="pct"/>
                  <w:vAlign w:val="center"/>
                </w:tcPr>
                <w:p>
                  <w:pPr>
                    <w:pStyle w:val="68"/>
                    <w:spacing w:before="24" w:after="24"/>
                    <w:ind w:left="24" w:right="24"/>
                  </w:pPr>
                  <w:r>
                    <w:t>治理设施名称</w:t>
                  </w:r>
                </w:p>
              </w:tc>
              <w:tc>
                <w:tcPr>
                  <w:tcW w:w="313" w:type="pct"/>
                  <w:vAlign w:val="center"/>
                </w:tcPr>
                <w:p>
                  <w:pPr>
                    <w:pStyle w:val="68"/>
                    <w:spacing w:before="24" w:after="24"/>
                    <w:ind w:left="24" w:right="24"/>
                  </w:pPr>
                  <w:r>
                    <w:t>治理设施</w:t>
                  </w:r>
                  <w:r>
                    <w:rPr>
                      <w:rFonts w:hint="eastAsia"/>
                    </w:rPr>
                    <w:t>工艺</w:t>
                  </w:r>
                </w:p>
              </w:tc>
              <w:tc>
                <w:tcPr>
                  <w:tcW w:w="261" w:type="pct"/>
                  <w:vAlign w:val="center"/>
                </w:tcPr>
                <w:p>
                  <w:pPr>
                    <w:pStyle w:val="68"/>
                    <w:spacing w:before="24" w:after="24"/>
                    <w:ind w:left="24" w:right="24"/>
                  </w:pPr>
                  <w:r>
                    <w:rPr>
                      <w:rFonts w:hint="eastAsia"/>
                    </w:rPr>
                    <w:t>收集效率(%)</w:t>
                  </w:r>
                </w:p>
              </w:tc>
              <w:tc>
                <w:tcPr>
                  <w:tcW w:w="290" w:type="pct"/>
                  <w:vAlign w:val="center"/>
                </w:tcPr>
                <w:p>
                  <w:pPr>
                    <w:pStyle w:val="68"/>
                    <w:spacing w:before="24" w:after="24"/>
                    <w:ind w:left="24" w:right="24"/>
                  </w:pPr>
                  <w:r>
                    <w:rPr>
                      <w:rFonts w:hint="eastAsia"/>
                    </w:rPr>
                    <w:t>正常工况去除率(%)</w:t>
                  </w:r>
                </w:p>
              </w:tc>
              <w:tc>
                <w:tcPr>
                  <w:tcW w:w="292" w:type="pct"/>
                  <w:vAlign w:val="center"/>
                </w:tcPr>
                <w:p>
                  <w:pPr>
                    <w:pStyle w:val="68"/>
                    <w:spacing w:before="24" w:after="24"/>
                    <w:ind w:left="24" w:right="24"/>
                  </w:pPr>
                  <w:r>
                    <w:rPr>
                      <w:rFonts w:hint="eastAsia"/>
                    </w:rPr>
                    <w:t>去除率降低为正常工况的(%)</w:t>
                  </w:r>
                </w:p>
              </w:tc>
              <w:tc>
                <w:tcPr>
                  <w:tcW w:w="252" w:type="pct"/>
                </w:tcPr>
                <w:p>
                  <w:pPr>
                    <w:pStyle w:val="68"/>
                    <w:spacing w:before="24" w:after="24"/>
                    <w:ind w:left="24" w:right="24"/>
                  </w:pPr>
                  <w:r>
                    <w:rPr>
                      <w:rFonts w:hint="eastAsia"/>
                    </w:rPr>
                    <w:t>非正常工工况去除率(%)</w:t>
                  </w:r>
                </w:p>
              </w:tc>
              <w:tc>
                <w:tcPr>
                  <w:tcW w:w="261" w:type="pct"/>
                  <w:vAlign w:val="center"/>
                </w:tcPr>
                <w:p>
                  <w:pPr>
                    <w:pStyle w:val="68"/>
                    <w:spacing w:before="24" w:after="24"/>
                    <w:ind w:left="24" w:right="24"/>
                  </w:pPr>
                  <w:r>
                    <w:rPr>
                      <w:rFonts w:hint="eastAsia"/>
                    </w:rPr>
                    <w:t>排放浓度</w:t>
                  </w:r>
                  <w:r>
                    <w:t>mg/m</w:t>
                  </w:r>
                  <w:r>
                    <w:rPr>
                      <w:rFonts w:hint="eastAsia"/>
                    </w:rPr>
                    <w:t>³</w:t>
                  </w:r>
                </w:p>
              </w:tc>
              <w:tc>
                <w:tcPr>
                  <w:tcW w:w="257" w:type="pct"/>
                  <w:vAlign w:val="center"/>
                </w:tcPr>
                <w:p>
                  <w:pPr>
                    <w:pStyle w:val="68"/>
                    <w:spacing w:before="24" w:after="24"/>
                    <w:ind w:left="24" w:right="24"/>
                  </w:pPr>
                  <w:r>
                    <w:rPr>
                      <w:rFonts w:hint="eastAsia"/>
                    </w:rPr>
                    <w:t>排放速率/</w:t>
                  </w:r>
                  <w:r>
                    <w:t>kg/h</w:t>
                  </w:r>
                </w:p>
              </w:tc>
              <w:tc>
                <w:tcPr>
                  <w:tcW w:w="354" w:type="pct"/>
                  <w:vAlign w:val="center"/>
                </w:tcPr>
                <w:p>
                  <w:pPr>
                    <w:pStyle w:val="68"/>
                    <w:spacing w:before="24" w:after="24"/>
                    <w:ind w:left="24" w:right="24"/>
                  </w:pPr>
                  <w:r>
                    <w:rPr>
                      <w:rFonts w:hint="eastAsia"/>
                    </w:rPr>
                    <w:t>单次事故排放时间（m</w:t>
                  </w:r>
                  <w:r>
                    <w:t>in</w:t>
                  </w:r>
                  <w:r>
                    <w:rPr>
                      <w:rFonts w:hint="eastAsia"/>
                    </w:rPr>
                    <w:t>）</w:t>
                  </w:r>
                </w:p>
              </w:tc>
              <w:tc>
                <w:tcPr>
                  <w:tcW w:w="305" w:type="pct"/>
                  <w:vAlign w:val="center"/>
                </w:tcPr>
                <w:p>
                  <w:pPr>
                    <w:pStyle w:val="68"/>
                    <w:spacing w:before="24" w:after="24"/>
                    <w:ind w:left="24" w:right="24"/>
                  </w:pPr>
                  <w:r>
                    <w:t>事故频次</w:t>
                  </w:r>
                  <w:r>
                    <w:rPr>
                      <w:rFonts w:hint="eastAsia"/>
                    </w:rPr>
                    <w:t>（次</w:t>
                  </w:r>
                  <w:r>
                    <w:t>/</w:t>
                  </w:r>
                  <w:r>
                    <w:rPr>
                      <w:rFonts w:hint="eastAsia"/>
                    </w:rPr>
                    <w:t>a</w:t>
                  </w:r>
                  <w:r>
                    <w:t>)</w:t>
                  </w:r>
                </w:p>
              </w:tc>
              <w:tc>
                <w:tcPr>
                  <w:tcW w:w="323" w:type="pct"/>
                  <w:vAlign w:val="center"/>
                </w:tcPr>
                <w:p>
                  <w:pPr>
                    <w:pStyle w:val="68"/>
                    <w:spacing w:before="24" w:after="24"/>
                    <w:ind w:left="24" w:right="24"/>
                  </w:pPr>
                  <w:r>
                    <w:rPr>
                      <w:rFonts w:hint="eastAsia"/>
                    </w:rPr>
                    <w:t>排放量（k</w:t>
                  </w:r>
                  <w:r>
                    <w:t>g/</w:t>
                  </w:r>
                  <w:r>
                    <w:rPr>
                      <w:rFonts w:hint="eastAsia"/>
                    </w:rPr>
                    <w:t>a</w:t>
                  </w:r>
                  <w:r>
                    <w:t>)</w:t>
                  </w:r>
                </w:p>
              </w:tc>
              <w:tc>
                <w:tcPr>
                  <w:tcW w:w="351" w:type="pct"/>
                  <w:vAlign w:val="center"/>
                </w:tcPr>
                <w:p>
                  <w:pPr>
                    <w:pStyle w:val="68"/>
                    <w:spacing w:before="24" w:after="24"/>
                    <w:ind w:left="24" w:right="24"/>
                  </w:pPr>
                  <w:r>
                    <w:rPr>
                      <w:rFonts w:hint="eastAsia"/>
                    </w:rPr>
                    <w:t>标准限值</w:t>
                  </w:r>
                </w:p>
                <w:p>
                  <w:pPr>
                    <w:pStyle w:val="68"/>
                    <w:spacing w:before="24" w:after="24"/>
                    <w:ind w:left="24" w:right="24"/>
                  </w:pPr>
                  <w:r>
                    <w:rPr>
                      <w:rFonts w:hint="eastAsia"/>
                    </w:rPr>
                    <w:t>mg</w:t>
                  </w:r>
                  <w:r>
                    <w:t>/m</w:t>
                  </w:r>
                  <w:r>
                    <w:rPr>
                      <w:vertAlign w:val="superscript"/>
                    </w:rPr>
                    <w:t>3</w:t>
                  </w:r>
                </w:p>
              </w:tc>
              <w:tc>
                <w:tcPr>
                  <w:tcW w:w="273" w:type="pct"/>
                  <w:vAlign w:val="center"/>
                </w:tcPr>
                <w:p>
                  <w:pPr>
                    <w:pStyle w:val="68"/>
                    <w:spacing w:before="24" w:after="24"/>
                    <w:ind w:left="24" w:right="24"/>
                  </w:pPr>
                  <w:r>
                    <w:rPr>
                      <w:rFonts w:hint="eastAsia"/>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57" w:type="pct"/>
                  <w:vAlign w:val="center"/>
                </w:tcPr>
                <w:p>
                  <w:pPr>
                    <w:pStyle w:val="68"/>
                    <w:spacing w:before="24" w:after="24"/>
                    <w:ind w:left="24" w:right="24"/>
                  </w:pPr>
                  <w:r>
                    <w:rPr>
                      <w:rFonts w:hint="eastAsia"/>
                    </w:rPr>
                    <w:t>DA00</w:t>
                  </w:r>
                  <w:r>
                    <w:t>1</w:t>
                  </w:r>
                </w:p>
              </w:tc>
              <w:tc>
                <w:tcPr>
                  <w:tcW w:w="340" w:type="pct"/>
                  <w:vAlign w:val="center"/>
                </w:tcPr>
                <w:p>
                  <w:pPr>
                    <w:pStyle w:val="68"/>
                    <w:spacing w:before="24" w:after="24"/>
                    <w:ind w:left="24" w:right="24"/>
                  </w:pPr>
                  <w:r>
                    <w:rPr>
                      <w:rFonts w:hint="eastAsia"/>
                    </w:rPr>
                    <w:t>颗粒物</w:t>
                  </w:r>
                </w:p>
              </w:tc>
              <w:tc>
                <w:tcPr>
                  <w:tcW w:w="354" w:type="pct"/>
                  <w:vAlign w:val="center"/>
                </w:tcPr>
                <w:p>
                  <w:pPr>
                    <w:pStyle w:val="68"/>
                    <w:spacing w:before="24" w:after="24"/>
                    <w:ind w:left="24" w:right="24"/>
                  </w:pPr>
                  <w:r>
                    <w:t>19.05</w:t>
                  </w:r>
                </w:p>
              </w:tc>
              <w:tc>
                <w:tcPr>
                  <w:tcW w:w="417" w:type="pct"/>
                  <w:vAlign w:val="center"/>
                </w:tcPr>
                <w:p>
                  <w:pPr>
                    <w:pStyle w:val="68"/>
                    <w:spacing w:before="24" w:after="24"/>
                    <w:ind w:left="24" w:right="24"/>
                  </w:pPr>
                  <w:r>
                    <w:t>搅拌废气治理装置</w:t>
                  </w:r>
                </w:p>
              </w:tc>
              <w:tc>
                <w:tcPr>
                  <w:tcW w:w="313" w:type="pct"/>
                  <w:vAlign w:val="center"/>
                </w:tcPr>
                <w:p>
                  <w:pPr>
                    <w:pStyle w:val="68"/>
                    <w:spacing w:before="24" w:after="24"/>
                    <w:ind w:left="24" w:right="24"/>
                  </w:pPr>
                  <w:r>
                    <w:rPr>
                      <w:rFonts w:hint="eastAsia"/>
                    </w:rPr>
                    <w:t>布袋除尘</w:t>
                  </w:r>
                </w:p>
              </w:tc>
              <w:tc>
                <w:tcPr>
                  <w:tcW w:w="261" w:type="pct"/>
                  <w:vAlign w:val="center"/>
                </w:tcPr>
                <w:p>
                  <w:pPr>
                    <w:pStyle w:val="68"/>
                    <w:spacing w:before="24" w:after="24"/>
                    <w:ind w:left="24" w:right="24"/>
                  </w:pPr>
                  <w:r>
                    <w:t>98</w:t>
                  </w:r>
                </w:p>
              </w:tc>
              <w:tc>
                <w:tcPr>
                  <w:tcW w:w="290" w:type="pct"/>
                  <w:vAlign w:val="center"/>
                </w:tcPr>
                <w:p>
                  <w:pPr>
                    <w:pStyle w:val="68"/>
                    <w:spacing w:before="24" w:after="24"/>
                    <w:ind w:left="24" w:right="24"/>
                  </w:pPr>
                  <w:r>
                    <w:t>99</w:t>
                  </w:r>
                </w:p>
              </w:tc>
              <w:tc>
                <w:tcPr>
                  <w:tcW w:w="292" w:type="pct"/>
                  <w:vAlign w:val="center"/>
                </w:tcPr>
                <w:p>
                  <w:pPr>
                    <w:pStyle w:val="68"/>
                    <w:spacing w:before="24" w:after="24"/>
                    <w:ind w:left="24" w:right="24"/>
                  </w:pPr>
                  <w:r>
                    <w:t>60</w:t>
                  </w:r>
                </w:p>
              </w:tc>
              <w:tc>
                <w:tcPr>
                  <w:tcW w:w="252" w:type="pct"/>
                  <w:vAlign w:val="center"/>
                </w:tcPr>
                <w:p>
                  <w:pPr>
                    <w:pStyle w:val="68"/>
                    <w:spacing w:before="24" w:after="24"/>
                    <w:ind w:left="24" w:right="24"/>
                  </w:pPr>
                  <w:r>
                    <w:t>59.</w:t>
                  </w:r>
                  <w:r>
                    <w:rPr>
                      <w:rFonts w:hint="eastAsia"/>
                    </w:rPr>
                    <w:t>7</w:t>
                  </w:r>
                </w:p>
              </w:tc>
              <w:tc>
                <w:tcPr>
                  <w:tcW w:w="261" w:type="pct"/>
                  <w:vAlign w:val="center"/>
                </w:tcPr>
                <w:p>
                  <w:pPr>
                    <w:pStyle w:val="68"/>
                    <w:spacing w:before="24" w:after="24"/>
                    <w:ind w:left="24" w:right="24"/>
                  </w:pPr>
                  <w:r>
                    <w:rPr>
                      <w:rFonts w:hint="eastAsia"/>
                    </w:rPr>
                    <w:t>380</w:t>
                  </w:r>
                </w:p>
              </w:tc>
              <w:tc>
                <w:tcPr>
                  <w:tcW w:w="257" w:type="pct"/>
                  <w:vAlign w:val="center"/>
                </w:tcPr>
                <w:p>
                  <w:pPr>
                    <w:pStyle w:val="68"/>
                    <w:spacing w:before="24" w:after="24"/>
                    <w:ind w:left="24" w:right="24"/>
                  </w:pPr>
                  <w:r>
                    <w:t>7.6</w:t>
                  </w:r>
                  <w:r>
                    <w:rPr>
                      <w:rFonts w:hint="eastAsia"/>
                    </w:rPr>
                    <w:t>0</w:t>
                  </w:r>
                </w:p>
              </w:tc>
              <w:tc>
                <w:tcPr>
                  <w:tcW w:w="354" w:type="pct"/>
                  <w:vAlign w:val="center"/>
                </w:tcPr>
                <w:p>
                  <w:pPr>
                    <w:pStyle w:val="68"/>
                    <w:spacing w:before="24" w:after="24"/>
                    <w:ind w:left="24" w:right="24"/>
                  </w:pPr>
                  <w:r>
                    <w:t>30</w:t>
                  </w:r>
                </w:p>
              </w:tc>
              <w:tc>
                <w:tcPr>
                  <w:tcW w:w="305" w:type="pct"/>
                  <w:vAlign w:val="center"/>
                </w:tcPr>
                <w:p>
                  <w:pPr>
                    <w:pStyle w:val="68"/>
                    <w:spacing w:before="24" w:after="24"/>
                    <w:ind w:left="24" w:right="24"/>
                  </w:pPr>
                  <w:r>
                    <w:t>2</w:t>
                  </w:r>
                </w:p>
              </w:tc>
              <w:tc>
                <w:tcPr>
                  <w:tcW w:w="323" w:type="pct"/>
                  <w:vAlign w:val="center"/>
                </w:tcPr>
                <w:p>
                  <w:pPr>
                    <w:pStyle w:val="68"/>
                    <w:spacing w:before="24" w:after="24"/>
                    <w:ind w:left="24" w:right="24"/>
                  </w:pPr>
                  <w:r>
                    <w:t>7.6</w:t>
                  </w:r>
                  <w:r>
                    <w:rPr>
                      <w:rFonts w:hint="eastAsia"/>
                    </w:rPr>
                    <w:t>0</w:t>
                  </w:r>
                </w:p>
              </w:tc>
              <w:tc>
                <w:tcPr>
                  <w:tcW w:w="351" w:type="pct"/>
                  <w:vAlign w:val="center"/>
                </w:tcPr>
                <w:p>
                  <w:pPr>
                    <w:pStyle w:val="68"/>
                    <w:spacing w:before="24" w:after="24"/>
                    <w:ind w:left="24" w:right="24"/>
                  </w:pPr>
                  <w:r>
                    <w:t>10</w:t>
                  </w:r>
                </w:p>
              </w:tc>
              <w:tc>
                <w:tcPr>
                  <w:tcW w:w="273" w:type="pct"/>
                  <w:vAlign w:val="center"/>
                </w:tcPr>
                <w:p>
                  <w:pPr>
                    <w:pStyle w:val="68"/>
                    <w:spacing w:before="24" w:after="24"/>
                    <w:ind w:left="24" w:right="24"/>
                  </w:pPr>
                  <w:r>
                    <w:rPr>
                      <w:color w:val="FF0000"/>
                    </w:rPr>
                    <w:t>超标</w:t>
                  </w:r>
                </w:p>
              </w:tc>
            </w:tr>
          </w:tbl>
          <w:p>
            <w:pPr>
              <w:pStyle w:val="69"/>
              <w:ind w:left="48" w:right="48" w:firstLine="480"/>
              <w:jc w:val="both"/>
              <w:rPr>
                <w:b/>
                <w:bCs/>
                <w:lang w:eastAsia="zh-CN"/>
              </w:rPr>
            </w:pPr>
            <w:r>
              <w:rPr>
                <w:rFonts w:hint="eastAsia"/>
                <w:b/>
                <w:bCs/>
                <w:lang w:eastAsia="zh-CN"/>
              </w:rPr>
              <w:t>2、非正常工况环境影响分析及预防措施</w:t>
            </w:r>
          </w:p>
          <w:p>
            <w:pPr>
              <w:pStyle w:val="69"/>
              <w:ind w:left="48" w:right="48" w:firstLine="480"/>
              <w:jc w:val="left"/>
              <w:rPr>
                <w:lang w:eastAsia="zh-CN"/>
              </w:rPr>
            </w:pPr>
            <w:r>
              <w:rPr>
                <w:rFonts w:hint="eastAsia"/>
                <w:lang w:eastAsia="zh-CN"/>
              </w:rPr>
              <w:t>根据以上分析，污染物治理设施出现故障下，DA00</w:t>
            </w:r>
            <w:r>
              <w:rPr>
                <w:lang w:eastAsia="zh-CN"/>
              </w:rPr>
              <w:t>1排气筒</w:t>
            </w:r>
            <w:r>
              <w:rPr>
                <w:rFonts w:hint="eastAsia"/>
                <w:lang w:eastAsia="zh-CN"/>
              </w:rPr>
              <w:t>颗粒物出现</w:t>
            </w:r>
            <w:r>
              <w:rPr>
                <w:lang w:eastAsia="zh-CN"/>
              </w:rPr>
              <w:t>超标排放</w:t>
            </w:r>
            <w:r>
              <w:rPr>
                <w:rFonts w:hint="eastAsia"/>
                <w:lang w:eastAsia="zh-CN"/>
              </w:rPr>
              <w:t>情况。由此可见，项目废气治理设施出现故障等非正常工况下，污染物排放对环境影响较大。</w:t>
            </w:r>
          </w:p>
          <w:p>
            <w:pPr>
              <w:pStyle w:val="69"/>
              <w:ind w:left="48" w:right="48" w:firstLine="480"/>
              <w:jc w:val="both"/>
              <w:rPr>
                <w:lang w:eastAsia="zh-CN"/>
              </w:rPr>
            </w:pPr>
            <w:r>
              <w:rPr>
                <w:lang w:eastAsia="zh-CN"/>
              </w:rPr>
              <w:t>针对非正常工况，</w:t>
            </w:r>
            <w:r>
              <w:rPr>
                <w:rFonts w:hint="eastAsia"/>
                <w:lang w:eastAsia="zh-CN"/>
              </w:rPr>
              <w:t>企业应</w:t>
            </w:r>
            <w:r>
              <w:rPr>
                <w:lang w:eastAsia="zh-CN"/>
              </w:rPr>
              <w:t>定期对</w:t>
            </w:r>
            <w:r>
              <w:rPr>
                <w:rFonts w:hint="eastAsia"/>
                <w:lang w:eastAsia="zh-CN"/>
              </w:rPr>
              <w:t>环保</w:t>
            </w:r>
            <w:r>
              <w:rPr>
                <w:lang w:eastAsia="zh-CN"/>
              </w:rPr>
              <w:t>设施进行检查，确保其正常工作状态；设置专人负责，保证正常去除效率。检查、核查等工作做好记录，一旦发现问题，应立即停止生产工序，待净化设施等恢复正常工作并具</w:t>
            </w:r>
            <w:r>
              <w:rPr>
                <w:rFonts w:hint="eastAsia"/>
                <w:lang w:eastAsia="zh-CN"/>
              </w:rPr>
              <w:t>有</w:t>
            </w:r>
            <w:r>
              <w:rPr>
                <w:lang w:eastAsia="zh-CN"/>
              </w:rPr>
              <w:t>稳定废气去除效率后，开工生产，杜绝废气排放事故发生。加强企业的运行管理，设立专门人员负责厂内环保设施管理、监测等工作。</w:t>
            </w:r>
          </w:p>
          <w:p>
            <w:pPr>
              <w:pStyle w:val="69"/>
              <w:ind w:left="48" w:right="48" w:firstLine="480"/>
              <w:jc w:val="both"/>
              <w:rPr>
                <w:lang w:eastAsia="zh-CN"/>
              </w:rPr>
            </w:pPr>
          </w:p>
          <w:p>
            <w:pPr>
              <w:pStyle w:val="69"/>
              <w:ind w:left="48" w:right="48" w:firstLine="480"/>
              <w:jc w:val="both"/>
              <w:rPr>
                <w:lang w:eastAsia="zh-CN"/>
              </w:rPr>
            </w:pPr>
          </w:p>
        </w:tc>
      </w:tr>
    </w:tbl>
    <w:p/>
    <w:p>
      <w:pPr>
        <w:spacing w:before="240" w:after="48" w:line="245" w:lineRule="auto"/>
        <w:jc w:val="center"/>
        <w:rPr>
          <w:color w:val="4472C4" w:themeColor="accent1"/>
          <w14:textFill>
            <w14:solidFill>
              <w14:schemeClr w14:val="accent1"/>
            </w14:solidFill>
          </w14:textFill>
        </w:rPr>
        <w:sectPr>
          <w:pgSz w:w="16838" w:h="11906" w:orient="landscape"/>
          <w:pgMar w:top="1247" w:right="1418" w:bottom="1247" w:left="1418" w:header="851" w:footer="454" w:gutter="0"/>
          <w:cols w:space="425" w:num="1"/>
          <w:docGrid w:linePitch="312" w:charSpace="0"/>
        </w:sectPr>
      </w:pPr>
    </w:p>
    <w:tbl>
      <w:tblPr>
        <w:tblStyle w:val="3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73"/>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7" w:type="pct"/>
            <w:vAlign w:val="center"/>
          </w:tcPr>
          <w:p>
            <w:pPr>
              <w:spacing w:before="240" w:after="48" w:line="245" w:lineRule="auto"/>
              <w:jc w:val="center"/>
              <w:rPr>
                <w:color w:val="4472C4" w:themeColor="accent1"/>
                <w14:textFill>
                  <w14:solidFill>
                    <w14:schemeClr w14:val="accent1"/>
                  </w14:solidFill>
                </w14:textFill>
              </w:rPr>
            </w:pPr>
            <w:r>
              <w:t>运营期环境影响</w:t>
            </w:r>
            <w:r>
              <w:rPr>
                <w:rFonts w:hint="eastAsia"/>
              </w:rPr>
              <w:t>和</w:t>
            </w:r>
            <w:r>
              <w:t>保护措施</w:t>
            </w:r>
          </w:p>
        </w:tc>
        <w:tc>
          <w:tcPr>
            <w:tcW w:w="4803" w:type="pct"/>
          </w:tcPr>
          <w:p>
            <w:pPr>
              <w:pStyle w:val="69"/>
              <w:ind w:left="48" w:right="48"/>
              <w:jc w:val="both"/>
              <w:rPr>
                <w:b/>
                <w:bCs/>
                <w:lang w:eastAsia="zh-CN"/>
              </w:rPr>
            </w:pPr>
            <w:bookmarkStart w:id="30" w:name="_Hlk69319984"/>
            <w:r>
              <w:rPr>
                <w:b/>
                <w:bCs/>
                <w:lang w:eastAsia="zh-CN"/>
              </w:rPr>
              <w:t>（三）</w:t>
            </w:r>
            <w:r>
              <w:rPr>
                <w:rFonts w:hint="eastAsia"/>
                <w:b/>
                <w:bCs/>
                <w:lang w:eastAsia="zh-CN"/>
              </w:rPr>
              <w:t>污染源强核算过程简要说明</w:t>
            </w:r>
          </w:p>
          <w:p>
            <w:pPr>
              <w:pStyle w:val="69"/>
              <w:ind w:left="48" w:right="48"/>
              <w:jc w:val="both"/>
              <w:rPr>
                <w:lang w:eastAsia="zh-CN"/>
              </w:rPr>
            </w:pPr>
            <w:r>
              <w:rPr>
                <w:rFonts w:hint="eastAsia"/>
                <w:lang w:eastAsia="zh-CN"/>
              </w:rPr>
              <w:t>1、废气污染源产生、治理及走向概述</w:t>
            </w:r>
          </w:p>
          <w:p>
            <w:pPr>
              <w:pStyle w:val="69"/>
              <w:ind w:left="48" w:right="48"/>
              <w:jc w:val="both"/>
              <w:rPr>
                <w:lang w:eastAsia="zh-CN"/>
              </w:rPr>
            </w:pPr>
            <w:r>
              <w:rPr>
                <w:rFonts w:hint="eastAsia"/>
                <w:lang w:eastAsia="zh-CN"/>
              </w:rPr>
              <w:t>项目营运期废气主要为混凝土搅拌产生的粉尘，筒仓储存输送粉状原料产生的粉尘，砂石料卸料、贮存粉尘，砂石料投料及车辆运输扬尘等。</w:t>
            </w:r>
          </w:p>
          <w:p>
            <w:pPr>
              <w:pStyle w:val="69"/>
              <w:ind w:left="48" w:right="48" w:firstLine="480"/>
              <w:jc w:val="left"/>
              <w:rPr>
                <w:lang w:eastAsia="zh-CN"/>
              </w:rPr>
            </w:pPr>
            <w:r>
              <w:rPr>
                <w:rFonts w:hint="eastAsia"/>
                <w:lang w:eastAsia="zh-CN"/>
              </w:rPr>
              <w:t>搅拌工序在密闭搅拌楼内运行，搅拌产生的粉尘经集气罩收集后引入布袋除尘器处理后经15m高排气筒DA001排放，未收集的搅拌粉尘大部分沉降在搅拌楼内（定期收集回用），极少量未收集到的搅拌粉尘逸出搅拌楼无组织排放。</w:t>
            </w:r>
          </w:p>
          <w:p>
            <w:pPr>
              <w:pStyle w:val="69"/>
              <w:ind w:left="48" w:right="48"/>
              <w:jc w:val="left"/>
              <w:rPr>
                <w:lang w:eastAsia="zh-CN"/>
              </w:rPr>
            </w:pPr>
            <w:r>
              <w:rPr>
                <w:rFonts w:hint="eastAsia"/>
                <w:lang w:eastAsia="zh-CN"/>
              </w:rPr>
              <w:t>粉料筒仓仓顶均设置脉冲反吹式布袋除尘器，各筒仓粉尘分别经脉冲反吹式布袋除尘器处理后无组织排放。</w:t>
            </w:r>
          </w:p>
          <w:p>
            <w:pPr>
              <w:pStyle w:val="69"/>
              <w:ind w:left="48" w:right="48"/>
              <w:jc w:val="left"/>
              <w:rPr>
                <w:lang w:eastAsia="zh-CN"/>
              </w:rPr>
            </w:pPr>
            <w:r>
              <w:rPr>
                <w:rFonts w:hint="eastAsia"/>
                <w:lang w:eastAsia="zh-CN"/>
              </w:rPr>
              <w:t>砂石料库房为封闭库房，地面水泥硬化，库房内设置有固定式雾化喷水喷头对砂石料卸料、贮存过程喷水控尘。</w:t>
            </w:r>
          </w:p>
          <w:p>
            <w:pPr>
              <w:pStyle w:val="69"/>
              <w:ind w:left="48" w:right="48"/>
              <w:jc w:val="left"/>
              <w:rPr>
                <w:lang w:eastAsia="zh-CN"/>
              </w:rPr>
            </w:pPr>
            <w:r>
              <w:rPr>
                <w:rFonts w:hint="eastAsia"/>
                <w:lang w:eastAsia="zh-CN"/>
              </w:rPr>
              <w:t>针对砂石料上料产生的粉尘，在上料斗上方设置雾化喷嘴喷雾控尘。</w:t>
            </w:r>
          </w:p>
          <w:p>
            <w:pPr>
              <w:pStyle w:val="69"/>
              <w:ind w:left="48" w:right="48"/>
              <w:jc w:val="left"/>
              <w:rPr>
                <w:lang w:eastAsia="zh-CN"/>
              </w:rPr>
            </w:pPr>
            <w:r>
              <w:rPr>
                <w:rFonts w:hint="eastAsia"/>
                <w:lang w:eastAsia="zh-CN"/>
              </w:rPr>
              <w:t>针对车辆运输扬尘，项目要求对厂区内路面进行水泥硬化，定期对路面进行清扫、道路冲洗。同时，对散料运输车辆加盖篷布，做好遮掩工作，并控制车速，减少运输扬尘产生量。</w:t>
            </w:r>
          </w:p>
          <w:p>
            <w:pPr>
              <w:pStyle w:val="69"/>
              <w:ind w:left="48" w:right="48"/>
              <w:jc w:val="both"/>
              <w:rPr>
                <w:lang w:eastAsia="zh-CN"/>
              </w:rPr>
            </w:pPr>
            <w:r>
              <w:rPr>
                <w:rFonts w:hint="eastAsia"/>
                <w:lang w:eastAsia="zh-CN"/>
              </w:rPr>
              <w:t>项目废气产生、治理、排放走向见</w:t>
            </w:r>
            <w:r>
              <w:rPr>
                <w:lang w:eastAsia="zh-CN"/>
              </w:rPr>
              <w:fldChar w:fldCharType="begin"/>
            </w:r>
            <w:r>
              <w:rPr>
                <w:lang w:eastAsia="zh-CN"/>
              </w:rPr>
              <w:instrText xml:space="preserve"> </w:instrText>
            </w:r>
            <w:r>
              <w:rPr>
                <w:rFonts w:hint="eastAsia"/>
                <w:lang w:eastAsia="zh-CN"/>
              </w:rPr>
              <w:instrText xml:space="preserve">REF _Ref116407531 \h</w:instrText>
            </w:r>
            <w:r>
              <w:rPr>
                <w:lang w:eastAsia="zh-CN"/>
              </w:rPr>
              <w:instrText xml:space="preserve"> </w:instrText>
            </w:r>
            <w:r>
              <w:rPr>
                <w:lang w:eastAsia="zh-CN"/>
              </w:rPr>
              <w:fldChar w:fldCharType="separate"/>
            </w:r>
            <w:r>
              <w:rPr>
                <w:rFonts w:hint="eastAsia"/>
                <w:lang w:eastAsia="zh-CN"/>
              </w:rPr>
              <w:t>图</w:t>
            </w:r>
            <w:r>
              <w:rPr>
                <w:lang w:eastAsia="zh-CN"/>
              </w:rPr>
              <w:t>4</w:t>
            </w:r>
            <w:r>
              <w:rPr>
                <w:lang w:eastAsia="zh-CN"/>
              </w:rPr>
              <w:fldChar w:fldCharType="end"/>
            </w:r>
            <w:r>
              <w:rPr>
                <w:rFonts w:hint="eastAsia"/>
                <w:lang w:eastAsia="zh-CN"/>
              </w:rPr>
              <w:t>。</w:t>
            </w:r>
          </w:p>
          <w:p>
            <w:pPr>
              <w:pStyle w:val="70"/>
              <w:spacing w:before="120"/>
            </w:pPr>
            <w:r>
              <w:drawing>
                <wp:inline distT="0" distB="0" distL="0" distR="0">
                  <wp:extent cx="5248275" cy="3388360"/>
                  <wp:effectExtent l="0" t="0" r="0" b="2540"/>
                  <wp:docPr id="377556481" name="图片 1" descr="图示,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56481" name="图片 1" descr="图示, 文本&#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5448" cy="3393259"/>
                          </a:xfrm>
                          <a:prstGeom prst="rect">
                            <a:avLst/>
                          </a:prstGeom>
                        </pic:spPr>
                      </pic:pic>
                    </a:graphicData>
                  </a:graphic>
                </wp:inline>
              </w:drawing>
            </w:r>
          </w:p>
          <w:p>
            <w:pPr>
              <w:pStyle w:val="70"/>
              <w:spacing w:before="0" w:beforeLines="0"/>
              <w:rPr>
                <w:lang w:eastAsia="zh-CN"/>
              </w:rPr>
            </w:pPr>
            <w:bookmarkStart w:id="31" w:name="_Ref116407531"/>
            <w:r>
              <w:rPr>
                <w:rFonts w:hint="eastAsia"/>
                <w:lang w:eastAsia="zh-CN"/>
              </w:rPr>
              <w:t>图</w:t>
            </w:r>
            <w:r>
              <w:fldChar w:fldCharType="begin"/>
            </w:r>
            <w:r>
              <w:rPr>
                <w:lang w:eastAsia="zh-CN"/>
              </w:rPr>
              <w:instrText xml:space="preserve"> </w:instrText>
            </w:r>
            <w:r>
              <w:rPr>
                <w:rFonts w:hint="eastAsia"/>
                <w:lang w:eastAsia="zh-CN"/>
              </w:rPr>
              <w:instrText xml:space="preserve">SEQ 图表 \* ARABIC</w:instrText>
            </w:r>
            <w:r>
              <w:rPr>
                <w:lang w:eastAsia="zh-CN"/>
              </w:rPr>
              <w:instrText xml:space="preserve"> </w:instrText>
            </w:r>
            <w:r>
              <w:fldChar w:fldCharType="separate"/>
            </w:r>
            <w:r>
              <w:rPr>
                <w:lang w:eastAsia="zh-CN"/>
              </w:rPr>
              <w:t>4</w:t>
            </w:r>
            <w:r>
              <w:fldChar w:fldCharType="end"/>
            </w:r>
            <w:bookmarkEnd w:id="31"/>
            <w:r>
              <w:rPr>
                <w:lang w:eastAsia="zh-CN"/>
              </w:rPr>
              <w:t xml:space="preserve"> </w:t>
            </w:r>
            <w:r>
              <w:rPr>
                <w:rFonts w:hint="eastAsia"/>
                <w:lang w:eastAsia="zh-CN"/>
              </w:rPr>
              <w:t>项目废气产生、治理及排放走向图</w:t>
            </w:r>
          </w:p>
          <w:p>
            <w:pPr>
              <w:pStyle w:val="69"/>
              <w:ind w:left="48" w:right="48"/>
              <w:jc w:val="both"/>
              <w:rPr>
                <w:lang w:eastAsia="zh-CN"/>
              </w:rPr>
            </w:pPr>
            <w:r>
              <w:rPr>
                <w:rFonts w:hint="eastAsia"/>
                <w:lang w:eastAsia="zh-CN"/>
              </w:rPr>
              <w:t>2、污染源强核算说明</w:t>
            </w:r>
          </w:p>
          <w:p>
            <w:pPr>
              <w:pStyle w:val="69"/>
              <w:ind w:left="48" w:right="48"/>
              <w:jc w:val="both"/>
              <w:rPr>
                <w:lang w:eastAsia="zh-CN"/>
              </w:rPr>
            </w:pPr>
            <w:r>
              <w:rPr>
                <w:rFonts w:hint="eastAsia"/>
                <w:lang w:eastAsia="zh-CN"/>
              </w:rPr>
              <w:t>（1）混凝土搅拌产生的粉尘</w:t>
            </w:r>
          </w:p>
          <w:p>
            <w:pPr>
              <w:pStyle w:val="69"/>
              <w:ind w:left="48" w:right="48"/>
              <w:jc w:val="both"/>
              <w:rPr>
                <w:lang w:eastAsia="zh-CN"/>
              </w:rPr>
            </w:pPr>
            <w:r>
              <w:rPr>
                <w:rFonts w:hint="eastAsia"/>
                <w:lang w:eastAsia="zh-CN"/>
              </w:rPr>
              <w:t>1）产生源强核算</w:t>
            </w:r>
          </w:p>
          <w:p>
            <w:pPr>
              <w:pStyle w:val="69"/>
              <w:ind w:left="48" w:right="48"/>
              <w:jc w:val="left"/>
              <w:rPr>
                <w:lang w:eastAsia="zh-CN"/>
              </w:rPr>
            </w:pPr>
            <w:r>
              <w:rPr>
                <w:rFonts w:hint="eastAsia"/>
                <w:lang w:eastAsia="zh-CN"/>
              </w:rPr>
              <w:t>项目搅拌楼全封闭，筒仓内的水泥、矿粉、粉煤灰经计量装置计量后经密闭螺旋输送机输送至搅拌机内，石子、砂通过装载机送入配料机，通过计量装置称重后经密闭的皮带传送机将配比好的砂石料送入搅拌机内，搅拌用水通过计量泵和管道输送至搅拌机内。此过程砂石料的输送在密闭条件下进行，原料投料过程中采用水喷淋降尘，物料表面保持一定含水率，落入搅拌机内产生少量的粉尘；水泥、矿粉、粉煤灰落入搅拌机内产生少量的粉尘；搅拌机混料时需加水搅拌，由于物料含水率较高，搅拌过程产生的粉尘量较少。</w:t>
            </w:r>
          </w:p>
          <w:p>
            <w:pPr>
              <w:pStyle w:val="69"/>
              <w:ind w:left="48" w:right="48"/>
              <w:jc w:val="both"/>
              <w:rPr>
                <w:lang w:eastAsia="zh-CN"/>
              </w:rPr>
            </w:pPr>
            <w:r>
              <w:rPr>
                <w:rFonts w:hint="eastAsia"/>
                <w:lang w:eastAsia="zh-CN"/>
              </w:rPr>
              <w:t>根据《排放源统计调查产污核算方法和系数手册》“3021 水泥制品制造”中混凝土制品“物料混合搅拌”工艺的产污系数计算，该产污系数为0.13 千克/吨-产品。项目商品混凝土年产量为3</w:t>
            </w:r>
            <w:r>
              <w:rPr>
                <w:lang w:eastAsia="zh-CN"/>
              </w:rPr>
              <w:t>0</w:t>
            </w:r>
            <w:r>
              <w:rPr>
                <w:rFonts w:hint="eastAsia"/>
                <w:lang w:eastAsia="zh-CN"/>
              </w:rPr>
              <w:t>万立方米（根据原料用量核算，约7</w:t>
            </w:r>
            <w:r>
              <w:rPr>
                <w:lang w:eastAsia="zh-CN"/>
              </w:rPr>
              <w:t>0.32</w:t>
            </w:r>
            <w:r>
              <w:rPr>
                <w:rFonts w:hint="eastAsia"/>
                <w:lang w:eastAsia="zh-CN"/>
              </w:rPr>
              <w:t>万吨），经估算，搅拌废气颗粒物产生量为9</w:t>
            </w:r>
            <w:r>
              <w:rPr>
                <w:lang w:eastAsia="zh-CN"/>
              </w:rPr>
              <w:t>1</w:t>
            </w:r>
            <w:r>
              <w:rPr>
                <w:rFonts w:hint="eastAsia"/>
                <w:lang w:eastAsia="zh-CN"/>
              </w:rPr>
              <w:t>t/a，搅拌机年工作时间为4</w:t>
            </w:r>
            <w:r>
              <w:rPr>
                <w:lang w:eastAsia="zh-CN"/>
              </w:rPr>
              <w:t>800</w:t>
            </w:r>
            <w:r>
              <w:rPr>
                <w:rFonts w:hint="eastAsia"/>
                <w:lang w:eastAsia="zh-CN"/>
              </w:rPr>
              <w:t>h，产生速率1</w:t>
            </w:r>
            <w:r>
              <w:rPr>
                <w:lang w:eastAsia="zh-CN"/>
              </w:rPr>
              <w:t>9.045</w:t>
            </w:r>
            <w:r>
              <w:rPr>
                <w:rFonts w:hint="eastAsia"/>
                <w:lang w:eastAsia="zh-CN"/>
              </w:rPr>
              <w:t>kg</w:t>
            </w:r>
            <w:r>
              <w:rPr>
                <w:lang w:eastAsia="zh-CN"/>
              </w:rPr>
              <w:t>/h</w:t>
            </w:r>
            <w:r>
              <w:rPr>
                <w:rFonts w:hint="eastAsia"/>
                <w:lang w:eastAsia="zh-CN"/>
              </w:rPr>
              <w:t>。</w:t>
            </w:r>
          </w:p>
          <w:p>
            <w:pPr>
              <w:pStyle w:val="69"/>
              <w:ind w:left="48" w:right="48"/>
              <w:jc w:val="both"/>
              <w:rPr>
                <w:lang w:eastAsia="zh-CN"/>
              </w:rPr>
            </w:pPr>
            <w:r>
              <w:rPr>
                <w:rFonts w:hint="eastAsia"/>
                <w:lang w:eastAsia="zh-CN"/>
              </w:rPr>
              <w:t>2）搅拌废气治理措施及治理后排放源强</w:t>
            </w:r>
          </w:p>
          <w:p>
            <w:pPr>
              <w:pStyle w:val="69"/>
              <w:ind w:left="48" w:right="48"/>
              <w:jc w:val="left"/>
              <w:rPr>
                <w:lang w:eastAsia="zh-CN"/>
              </w:rPr>
            </w:pPr>
            <w:r>
              <w:rPr>
                <w:rFonts w:hint="eastAsia"/>
                <w:lang w:eastAsia="zh-CN"/>
              </w:rPr>
              <w:t>项目于搅拌楼内安装2台搅拌机，搅拌楼密闭，搅拌机卸料口配备防喷溅设施，每台搅拌机顶部配置有一台脉冲式布袋除尘器，搅拌粉尘收集后经高效脉冲反冲布袋除尘器处理后经15m高排气筒DA001排放。布袋除尘器与搅拌机排气口通过全密闭管道连接，且搅拌废气仅在物料搅拌过程中产生，该过程中搅拌机进料口处于关闭状态搅拌机废气仅通过搅拌机排气口排放，因此废气收集效率较高，本次取值99%。脉冲袋式除尘器属于《排放源统计调查产污核算方法和系数手册》（生态环境部公告2021 年第24 号）“3021 水泥制品制造”中混凝土制品“物料混合搅拌”工艺的“袋式除尘”末端治理技术，处理效率可达99.7%，本次处理效率保守取值为9</w:t>
            </w:r>
            <w:r>
              <w:rPr>
                <w:lang w:eastAsia="zh-CN"/>
              </w:rPr>
              <w:t>9</w:t>
            </w:r>
            <w:r>
              <w:rPr>
                <w:rFonts w:hint="eastAsia"/>
                <w:lang w:eastAsia="zh-CN"/>
              </w:rPr>
              <w:t>.5</w:t>
            </w:r>
            <w:r>
              <w:rPr>
                <w:lang w:eastAsia="zh-CN"/>
              </w:rPr>
              <w:t>%</w:t>
            </w:r>
            <w:r>
              <w:rPr>
                <w:rFonts w:hint="eastAsia"/>
                <w:lang w:eastAsia="zh-CN"/>
              </w:rPr>
              <w:t>。项目搅拌机年工作时间为4</w:t>
            </w:r>
            <w:r>
              <w:rPr>
                <w:lang w:eastAsia="zh-CN"/>
              </w:rPr>
              <w:t>8</w:t>
            </w:r>
            <w:r>
              <w:rPr>
                <w:rFonts w:hint="eastAsia"/>
                <w:lang w:eastAsia="zh-CN"/>
              </w:rPr>
              <w:t>00h，则搅拌废气经管道收集后经布袋除尘器处理后经排气筒DA001排放，颗粒物有组织排放量为0.453t/a，排放速率为0.094kg/h 。</w:t>
            </w:r>
          </w:p>
          <w:p>
            <w:pPr>
              <w:pStyle w:val="69"/>
              <w:ind w:left="48" w:right="48"/>
              <w:jc w:val="left"/>
              <w:rPr>
                <w:lang w:eastAsia="zh-CN"/>
              </w:rPr>
            </w:pPr>
            <w:r>
              <w:rPr>
                <w:rFonts w:hint="eastAsia"/>
                <w:lang w:eastAsia="zh-CN"/>
              </w:rPr>
              <w:t>未收集的粉尘无组织排放，通过搅拌楼密闭、墙体阻隔、自然沉降等方式可降低80%无组织排放量。则搅拌工序粉尘无组织排放量为0</w:t>
            </w:r>
            <w:r>
              <w:rPr>
                <w:lang w:eastAsia="zh-CN"/>
              </w:rPr>
              <w:t>.183</w:t>
            </w:r>
            <w:r>
              <w:rPr>
                <w:rFonts w:hint="eastAsia"/>
                <w:lang w:eastAsia="zh-CN"/>
              </w:rPr>
              <w:t>t/a，排放速率为0.0</w:t>
            </w:r>
            <w:r>
              <w:rPr>
                <w:lang w:eastAsia="zh-CN"/>
              </w:rPr>
              <w:t>38</w:t>
            </w:r>
            <w:r>
              <w:rPr>
                <w:rFonts w:hint="eastAsia"/>
                <w:lang w:eastAsia="zh-CN"/>
              </w:rPr>
              <w:t>kg/h。</w:t>
            </w:r>
          </w:p>
          <w:p>
            <w:pPr>
              <w:pStyle w:val="69"/>
              <w:ind w:left="48" w:right="48"/>
              <w:jc w:val="both"/>
              <w:rPr>
                <w:lang w:eastAsia="zh-CN"/>
              </w:rPr>
            </w:pPr>
            <w:r>
              <w:rPr>
                <w:rFonts w:hint="eastAsia"/>
                <w:lang w:eastAsia="zh-CN"/>
              </w:rPr>
              <w:t>（2）筒仓储存输送粉状原料粉尘</w:t>
            </w:r>
          </w:p>
          <w:p>
            <w:pPr>
              <w:pStyle w:val="69"/>
              <w:ind w:left="48" w:right="48"/>
              <w:jc w:val="both"/>
              <w:rPr>
                <w:lang w:eastAsia="zh-CN"/>
              </w:rPr>
            </w:pPr>
            <w:r>
              <w:rPr>
                <w:rFonts w:hint="eastAsia"/>
                <w:lang w:eastAsia="zh-CN"/>
              </w:rPr>
              <w:t>1）产生源强核算</w:t>
            </w:r>
          </w:p>
          <w:p>
            <w:pPr>
              <w:pStyle w:val="69"/>
              <w:ind w:left="48" w:right="48"/>
              <w:jc w:val="both"/>
              <w:rPr>
                <w:lang w:eastAsia="zh-CN"/>
              </w:rPr>
            </w:pPr>
            <w:r>
              <w:rPr>
                <w:rFonts w:hint="eastAsia"/>
                <w:lang w:eastAsia="zh-CN"/>
              </w:rPr>
              <w:t>项目水泥、矿粉、粉煤灰均采用全封闭式进仓方式，用车载气泵将原料打入筒仓内，在仓顶排放口会有粉尘产生。筒仓进料时粉尘产生量参考《逸散性工业粉尘控制技术》中“表22-1 混凝土分批搅拌厂的散逸尘排放因子”中“卸水泥至高架贮仓”排污系数为0.12kg/t 粉料。项目水泥、矿粉、粉煤灰用量共约1</w:t>
            </w:r>
            <w:r>
              <w:rPr>
                <w:lang w:eastAsia="zh-CN"/>
              </w:rPr>
              <w:t>2</w:t>
            </w:r>
            <w:r>
              <w:rPr>
                <w:rFonts w:hint="eastAsia"/>
                <w:lang w:eastAsia="zh-CN"/>
              </w:rPr>
              <w:t>万t/a，粉尘产生量1</w:t>
            </w:r>
            <w:r>
              <w:rPr>
                <w:lang w:eastAsia="zh-CN"/>
              </w:rPr>
              <w:t>4.4</w:t>
            </w:r>
            <w:r>
              <w:rPr>
                <w:rFonts w:hint="eastAsia"/>
                <w:lang w:eastAsia="zh-CN"/>
              </w:rPr>
              <w:t>t/a。</w:t>
            </w:r>
          </w:p>
          <w:p>
            <w:pPr>
              <w:pStyle w:val="69"/>
              <w:ind w:left="48" w:right="48"/>
              <w:jc w:val="both"/>
              <w:rPr>
                <w:lang w:eastAsia="zh-CN"/>
              </w:rPr>
            </w:pPr>
            <w:r>
              <w:rPr>
                <w:rFonts w:hint="eastAsia"/>
                <w:lang w:eastAsia="zh-CN"/>
              </w:rPr>
              <w:t>2）治理措施及治理后排放源强</w:t>
            </w:r>
          </w:p>
          <w:p>
            <w:pPr>
              <w:pStyle w:val="69"/>
              <w:ind w:left="48" w:right="48"/>
              <w:jc w:val="both"/>
              <w:rPr>
                <w:lang w:eastAsia="zh-CN"/>
              </w:rPr>
            </w:pPr>
            <w:r>
              <w:rPr>
                <w:rFonts w:hint="eastAsia"/>
                <w:lang w:eastAsia="zh-CN"/>
              </w:rPr>
              <w:t>各筒仓仓顶均设置脉冲反吹式布袋除尘器，粉尘经脉冲反吹式布袋除尘器处理（处理效率99%）后无组织排放。筒仓粉尘无组织排放量为0.118t/a，排放时间1</w:t>
            </w:r>
            <w:r>
              <w:rPr>
                <w:lang w:eastAsia="zh-CN"/>
              </w:rPr>
              <w:t>200</w:t>
            </w:r>
            <w:r>
              <w:rPr>
                <w:rFonts w:hint="eastAsia"/>
                <w:lang w:eastAsia="zh-CN"/>
              </w:rPr>
              <w:t>h，排放速率均为0</w:t>
            </w:r>
            <w:r>
              <w:rPr>
                <w:lang w:eastAsia="zh-CN"/>
              </w:rPr>
              <w:t>.12</w:t>
            </w:r>
            <w:r>
              <w:rPr>
                <w:rFonts w:hint="eastAsia"/>
                <w:lang w:eastAsia="zh-CN"/>
              </w:rPr>
              <w:t>kg/h。</w:t>
            </w:r>
          </w:p>
          <w:p>
            <w:pPr>
              <w:pStyle w:val="69"/>
              <w:ind w:left="48" w:right="48"/>
              <w:jc w:val="both"/>
              <w:rPr>
                <w:lang w:eastAsia="zh-CN"/>
              </w:rPr>
            </w:pPr>
            <w:r>
              <w:rPr>
                <w:rFonts w:hint="eastAsia"/>
                <w:lang w:eastAsia="zh-CN"/>
              </w:rPr>
              <w:t>（3）项目原料卸料、贮存粉尘</w:t>
            </w:r>
          </w:p>
          <w:p>
            <w:pPr>
              <w:pStyle w:val="69"/>
              <w:ind w:left="48" w:right="48"/>
              <w:jc w:val="both"/>
              <w:rPr>
                <w:lang w:eastAsia="zh-CN"/>
              </w:rPr>
            </w:pPr>
            <w:r>
              <w:rPr>
                <w:rFonts w:hint="eastAsia"/>
                <w:lang w:eastAsia="zh-CN"/>
              </w:rPr>
              <w:t>1）产生源强核算</w:t>
            </w:r>
          </w:p>
          <w:p>
            <w:pPr>
              <w:pStyle w:val="69"/>
              <w:ind w:left="48" w:right="48"/>
              <w:jc w:val="both"/>
              <w:rPr>
                <w:lang w:eastAsia="zh-CN"/>
              </w:rPr>
            </w:pPr>
            <w:r>
              <w:rPr>
                <w:rFonts w:hint="eastAsia"/>
                <w:lang w:eastAsia="zh-CN"/>
              </w:rPr>
              <w:t>参考《逸散性工业粉尘控制技术》“第十八章、粒料加工厂”表18-1，卸料粉尘排放因子为0.01kg/t 原料，参考《逸散性工业粉尘控制技术》中“表18-1 粒料加工厂逸散尘的排放因子”中“贮堆”排污系数为0.0007kg/t 进料。项目原料库砂石原料卸料、贮存量均以5</w:t>
            </w:r>
            <w:r>
              <w:rPr>
                <w:lang w:eastAsia="zh-CN"/>
              </w:rPr>
              <w:t>4.51</w:t>
            </w:r>
            <w:r>
              <w:rPr>
                <w:rFonts w:hint="eastAsia"/>
                <w:lang w:eastAsia="zh-CN"/>
              </w:rPr>
              <w:t>万t/a（石子2</w:t>
            </w:r>
            <w:r>
              <w:rPr>
                <w:lang w:eastAsia="zh-CN"/>
              </w:rPr>
              <w:t>7.51</w:t>
            </w:r>
            <w:r>
              <w:rPr>
                <w:rFonts w:hint="eastAsia"/>
                <w:lang w:eastAsia="zh-CN"/>
              </w:rPr>
              <w:t>万t/a、砂子2</w:t>
            </w:r>
            <w:r>
              <w:rPr>
                <w:lang w:eastAsia="zh-CN"/>
              </w:rPr>
              <w:t>7</w:t>
            </w:r>
            <w:r>
              <w:rPr>
                <w:rFonts w:hint="eastAsia"/>
                <w:lang w:eastAsia="zh-CN"/>
              </w:rPr>
              <w:t>万t/a）计，则理论原料库原料卸料颗粒物产生量为5</w:t>
            </w:r>
            <w:r>
              <w:rPr>
                <w:lang w:eastAsia="zh-CN"/>
              </w:rPr>
              <w:t>.451</w:t>
            </w:r>
            <w:r>
              <w:rPr>
                <w:rFonts w:hint="eastAsia"/>
                <w:lang w:eastAsia="zh-CN"/>
              </w:rPr>
              <w:t>t/a，原料库原料贮存颗粒物产生量为0</w:t>
            </w:r>
            <w:r>
              <w:rPr>
                <w:lang w:eastAsia="zh-CN"/>
              </w:rPr>
              <w:t>.382</w:t>
            </w:r>
            <w:r>
              <w:rPr>
                <w:rFonts w:hint="eastAsia"/>
                <w:lang w:eastAsia="zh-CN"/>
              </w:rPr>
              <w:t>t/a。</w:t>
            </w:r>
          </w:p>
          <w:p>
            <w:pPr>
              <w:pStyle w:val="69"/>
              <w:ind w:left="48" w:right="48"/>
              <w:jc w:val="both"/>
              <w:rPr>
                <w:lang w:eastAsia="zh-CN"/>
              </w:rPr>
            </w:pPr>
            <w:r>
              <w:rPr>
                <w:rFonts w:hint="eastAsia"/>
                <w:lang w:eastAsia="zh-CN"/>
              </w:rPr>
              <w:t>2）治理措施及治理后排放源强</w:t>
            </w:r>
          </w:p>
          <w:p>
            <w:pPr>
              <w:pStyle w:val="69"/>
              <w:ind w:left="48" w:right="48"/>
              <w:jc w:val="both"/>
              <w:rPr>
                <w:lang w:eastAsia="zh-CN"/>
              </w:rPr>
            </w:pPr>
            <w:r>
              <w:rPr>
                <w:rFonts w:hint="eastAsia"/>
                <w:lang w:eastAsia="zh-CN"/>
              </w:rPr>
              <w:t>项目石子、砂子等原料粒径较大且含有一定水分，起尘量较小，原料卸料、车间贮存时采取喷淋降尘，使表面含水率大于8%，保持产品表面的湿度，减少无组织排放。采取以上措施后项目原料卸料、贮存排放的粉尘量较小。</w:t>
            </w:r>
          </w:p>
          <w:p>
            <w:pPr>
              <w:pStyle w:val="69"/>
              <w:ind w:left="48" w:right="48"/>
              <w:jc w:val="both"/>
              <w:rPr>
                <w:lang w:eastAsia="zh-CN"/>
              </w:rPr>
            </w:pPr>
            <w:r>
              <w:rPr>
                <w:rFonts w:hint="eastAsia"/>
                <w:lang w:eastAsia="zh-CN"/>
              </w:rPr>
              <w:t>项目原料库砂石原料年储量为5</w:t>
            </w:r>
            <w:r>
              <w:rPr>
                <w:lang w:eastAsia="zh-CN"/>
              </w:rPr>
              <w:t>4.51</w:t>
            </w:r>
            <w:r>
              <w:rPr>
                <w:rFonts w:hint="eastAsia"/>
                <w:lang w:eastAsia="zh-CN"/>
              </w:rPr>
              <w:t>万t/a，水喷淋降尘等抑尘效率不低于80%，原料库原料卸料过程颗粒物产生量为1</w:t>
            </w:r>
            <w:r>
              <w:rPr>
                <w:lang w:eastAsia="zh-CN"/>
              </w:rPr>
              <w:t>.09</w:t>
            </w:r>
            <w:r>
              <w:rPr>
                <w:rFonts w:hint="eastAsia"/>
                <w:lang w:eastAsia="zh-CN"/>
              </w:rPr>
              <w:t>t/a，原料库原料储存过程颗粒物产生量为0.</w:t>
            </w:r>
            <w:r>
              <w:rPr>
                <w:lang w:eastAsia="zh-CN"/>
              </w:rPr>
              <w:t>076</w:t>
            </w:r>
            <w:r>
              <w:rPr>
                <w:rFonts w:hint="eastAsia"/>
                <w:lang w:eastAsia="zh-CN"/>
              </w:rPr>
              <w:t>t/a。通过原料库密闭、墙体阻隔、自然沉降等方式可降低80%排放量。原料库原料卸料、储存过程粉尘无组织排放量分别为0</w:t>
            </w:r>
            <w:r>
              <w:rPr>
                <w:lang w:eastAsia="zh-CN"/>
              </w:rPr>
              <w:t>.218</w:t>
            </w:r>
            <w:r>
              <w:rPr>
                <w:rFonts w:hint="eastAsia"/>
                <w:lang w:eastAsia="zh-CN"/>
              </w:rPr>
              <w:t>t/a、0.0</w:t>
            </w:r>
            <w:r>
              <w:rPr>
                <w:lang w:eastAsia="zh-CN"/>
              </w:rPr>
              <w:t>1</w:t>
            </w:r>
            <w:r>
              <w:rPr>
                <w:rFonts w:hint="eastAsia"/>
                <w:lang w:eastAsia="zh-CN"/>
              </w:rPr>
              <w:t>5t/a，年工作时间4800h，排放速率分别为0.</w:t>
            </w:r>
            <w:r>
              <w:rPr>
                <w:lang w:eastAsia="zh-CN"/>
              </w:rPr>
              <w:t>045</w:t>
            </w:r>
            <w:r>
              <w:rPr>
                <w:rFonts w:hint="eastAsia"/>
                <w:lang w:eastAsia="zh-CN"/>
              </w:rPr>
              <w:t>kg/h，0.0</w:t>
            </w:r>
            <w:r>
              <w:rPr>
                <w:lang w:eastAsia="zh-CN"/>
              </w:rPr>
              <w:t>03</w:t>
            </w:r>
            <w:r>
              <w:rPr>
                <w:rFonts w:hint="eastAsia"/>
                <w:lang w:eastAsia="zh-CN"/>
              </w:rPr>
              <w:t>kg/h。</w:t>
            </w:r>
          </w:p>
          <w:p>
            <w:pPr>
              <w:pStyle w:val="69"/>
              <w:ind w:left="48" w:right="48"/>
              <w:jc w:val="both"/>
              <w:rPr>
                <w:lang w:eastAsia="zh-CN"/>
              </w:rPr>
            </w:pPr>
            <w:r>
              <w:rPr>
                <w:rFonts w:hint="eastAsia"/>
                <w:lang w:eastAsia="zh-CN"/>
              </w:rPr>
              <w:t>（4）砂石料上料粉尘</w:t>
            </w:r>
          </w:p>
          <w:p>
            <w:pPr>
              <w:pStyle w:val="69"/>
              <w:ind w:left="48" w:right="48"/>
              <w:jc w:val="both"/>
              <w:rPr>
                <w:lang w:eastAsia="zh-CN"/>
              </w:rPr>
            </w:pPr>
            <w:r>
              <w:rPr>
                <w:rFonts w:hint="eastAsia"/>
                <w:lang w:eastAsia="zh-CN"/>
              </w:rPr>
              <w:t>1）产生源强核算</w:t>
            </w:r>
          </w:p>
          <w:p>
            <w:pPr>
              <w:pStyle w:val="69"/>
              <w:ind w:left="48" w:right="48"/>
              <w:jc w:val="both"/>
              <w:rPr>
                <w:lang w:eastAsia="zh-CN"/>
              </w:rPr>
            </w:pPr>
            <w:r>
              <w:rPr>
                <w:rFonts w:hint="eastAsia"/>
                <w:lang w:eastAsia="zh-CN"/>
              </w:rPr>
              <w:t>项目砂石料通过装载机装料转运至上料斗，装料过程扬尘产生量参照交通部水运研究所和武汉水运工程学院提出的经验公式计算：</w:t>
            </w:r>
          </w:p>
          <w:p>
            <w:pPr>
              <w:pStyle w:val="69"/>
              <w:ind w:left="48" w:right="48"/>
              <w:jc w:val="both"/>
              <w:rPr>
                <w:lang w:eastAsia="zh-CN"/>
              </w:rPr>
            </w:pPr>
            <w:r>
              <w:rPr>
                <w:rFonts w:hint="eastAsia"/>
                <w:lang w:eastAsia="zh-CN"/>
              </w:rPr>
              <w:t>式中：Q—起尘量，kg/a；</w:t>
            </w:r>
          </w:p>
          <w:p>
            <w:pPr>
              <w:pStyle w:val="69"/>
              <w:ind w:left="48" w:right="48"/>
              <w:jc w:val="both"/>
              <w:rPr>
                <w:lang w:eastAsia="zh-CN"/>
              </w:rPr>
            </w:pPr>
            <w:r>
              <w:rPr>
                <w:rFonts w:hint="eastAsia"/>
                <w:lang w:eastAsia="zh-CN"/>
              </w:rPr>
              <w:t>H—物料装卸平均高度，m；</w:t>
            </w:r>
          </w:p>
          <w:p>
            <w:pPr>
              <w:pStyle w:val="69"/>
              <w:ind w:left="48" w:right="48"/>
              <w:jc w:val="both"/>
              <w:rPr>
                <w:lang w:eastAsia="zh-CN"/>
              </w:rPr>
            </w:pPr>
            <w:r>
              <w:rPr>
                <w:rFonts w:hint="eastAsia"/>
                <w:lang w:eastAsia="zh-CN"/>
              </w:rPr>
              <w:t>G—年装卸物料量，t；</w:t>
            </w:r>
          </w:p>
          <w:p>
            <w:pPr>
              <w:pStyle w:val="69"/>
              <w:ind w:left="48" w:right="48"/>
              <w:jc w:val="both"/>
              <w:rPr>
                <w:lang w:eastAsia="zh-CN"/>
              </w:rPr>
            </w:pPr>
            <w:r>
              <w:rPr>
                <w:rFonts w:hint="eastAsia"/>
                <w:lang w:eastAsia="zh-CN"/>
              </w:rPr>
              <w:t>V—风速，m/s，装料在室内，风速取1.6m/s；</w:t>
            </w:r>
          </w:p>
          <w:p>
            <w:pPr>
              <w:pStyle w:val="69"/>
              <w:ind w:left="48" w:right="48"/>
              <w:jc w:val="both"/>
              <w:rPr>
                <w:lang w:eastAsia="zh-CN"/>
              </w:rPr>
            </w:pPr>
            <w:r>
              <w:rPr>
                <w:rFonts w:hint="eastAsia"/>
                <w:lang w:eastAsia="zh-CN"/>
              </w:rPr>
              <w:t>W—物料含水率，%。</w:t>
            </w:r>
          </w:p>
          <w:p>
            <w:pPr>
              <w:pStyle w:val="69"/>
              <w:ind w:left="48" w:right="48"/>
              <w:jc w:val="both"/>
              <w:rPr>
                <w:lang w:eastAsia="zh-CN"/>
              </w:rPr>
            </w:pPr>
            <w:r>
              <w:rPr>
                <w:rFonts w:hint="eastAsia"/>
                <w:lang w:eastAsia="zh-CN"/>
              </w:rPr>
              <w:t>项目石子上料量2</w:t>
            </w:r>
            <w:r>
              <w:rPr>
                <w:lang w:eastAsia="zh-CN"/>
              </w:rPr>
              <w:t>7.51</w:t>
            </w:r>
            <w:r>
              <w:rPr>
                <w:rFonts w:hint="eastAsia"/>
                <w:lang w:eastAsia="zh-CN"/>
              </w:rPr>
              <w:t>万t，砂子上料量2</w:t>
            </w:r>
            <w:r>
              <w:rPr>
                <w:lang w:eastAsia="zh-CN"/>
              </w:rPr>
              <w:t>7</w:t>
            </w:r>
            <w:r>
              <w:rPr>
                <w:rFonts w:hint="eastAsia"/>
                <w:lang w:eastAsia="zh-CN"/>
              </w:rPr>
              <w:t>万t，石子含水率为5%，砂子含水率为10%，卸料高度均为0.8m。经计算，在不采取任何控尘措施的情况下，装料扬尘产生量约为4</w:t>
            </w:r>
            <w:r>
              <w:rPr>
                <w:lang w:eastAsia="zh-CN"/>
              </w:rPr>
              <w:t>.075</w:t>
            </w:r>
            <w:r>
              <w:rPr>
                <w:rFonts w:hint="eastAsia"/>
                <w:lang w:eastAsia="zh-CN"/>
              </w:rPr>
              <w:t>t/a。</w:t>
            </w:r>
          </w:p>
          <w:p>
            <w:pPr>
              <w:pStyle w:val="69"/>
              <w:ind w:left="48" w:right="48"/>
              <w:jc w:val="both"/>
              <w:rPr>
                <w:lang w:eastAsia="zh-CN"/>
              </w:rPr>
            </w:pPr>
            <w:r>
              <w:rPr>
                <w:rFonts w:hint="eastAsia"/>
                <w:lang w:eastAsia="zh-CN"/>
              </w:rPr>
              <w:t>2）治理措施及治理后排放源强</w:t>
            </w:r>
          </w:p>
          <w:p>
            <w:pPr>
              <w:pStyle w:val="69"/>
              <w:ind w:left="48" w:right="48"/>
              <w:jc w:val="both"/>
              <w:rPr>
                <w:lang w:eastAsia="zh-CN"/>
              </w:rPr>
            </w:pPr>
            <w:r>
              <w:rPr>
                <w:rFonts w:hint="eastAsia"/>
                <w:lang w:eastAsia="zh-CN"/>
              </w:rPr>
              <w:t>砂石原料库房为封闭库房，地面进行水泥硬化，库房内设置固定式雾化喷头，对砂石料卸料、堆存、上料过程喷雾控尘。喷雾控尘控制效率参考《排放源统计调查产排污核算方法和系数手册》（环境部公告2021 年第24 号）“171—303 砖瓦、石材等建筑材料制造行业系数手册”中“3039 其他建筑材料制造行业”砂石骨料采用喷雾降尘的去除效率，以80%计。装料扬尘无组织产生量约为0</w:t>
            </w:r>
            <w:r>
              <w:rPr>
                <w:lang w:eastAsia="zh-CN"/>
              </w:rPr>
              <w:t>.815</w:t>
            </w:r>
            <w:r>
              <w:rPr>
                <w:rFonts w:hint="eastAsia"/>
                <w:lang w:eastAsia="zh-CN"/>
              </w:rPr>
              <w:t>t/a。通过原料库密闭、墙体阻隔、自然沉降等方式可降低80%排放量。则装料工序粉尘无组织排放量为0</w:t>
            </w:r>
            <w:r>
              <w:rPr>
                <w:lang w:eastAsia="zh-CN"/>
              </w:rPr>
              <w:t>.163</w:t>
            </w:r>
            <w:r>
              <w:rPr>
                <w:rFonts w:hint="eastAsia"/>
                <w:lang w:eastAsia="zh-CN"/>
              </w:rPr>
              <w:t>t/a，排放速率为0.</w:t>
            </w:r>
            <w:r>
              <w:rPr>
                <w:lang w:eastAsia="zh-CN"/>
              </w:rPr>
              <w:t>034</w:t>
            </w:r>
            <w:r>
              <w:rPr>
                <w:rFonts w:hint="eastAsia"/>
                <w:lang w:eastAsia="zh-CN"/>
              </w:rPr>
              <w:t>kg/h。</w:t>
            </w:r>
          </w:p>
          <w:p>
            <w:pPr>
              <w:pStyle w:val="69"/>
              <w:ind w:left="48" w:right="48"/>
              <w:jc w:val="both"/>
              <w:rPr>
                <w:lang w:eastAsia="zh-CN"/>
              </w:rPr>
            </w:pPr>
            <w:r>
              <w:rPr>
                <w:rFonts w:hint="eastAsia"/>
                <w:lang w:eastAsia="zh-CN"/>
              </w:rPr>
              <w:t>（4）车辆运输扬尘</w:t>
            </w:r>
          </w:p>
          <w:p>
            <w:pPr>
              <w:pStyle w:val="69"/>
              <w:ind w:left="48" w:right="48"/>
              <w:jc w:val="both"/>
              <w:rPr>
                <w:lang w:eastAsia="zh-CN"/>
              </w:rPr>
            </w:pPr>
            <w:r>
              <w:rPr>
                <w:rFonts w:hint="eastAsia"/>
                <w:lang w:eastAsia="zh-CN"/>
              </w:rPr>
              <w:t>1）产生源强核算</w:t>
            </w:r>
          </w:p>
          <w:p>
            <w:pPr>
              <w:pStyle w:val="69"/>
              <w:ind w:left="48" w:right="48"/>
              <w:jc w:val="both"/>
              <w:rPr>
                <w:lang w:eastAsia="zh-CN"/>
              </w:rPr>
            </w:pPr>
            <w:r>
              <w:rPr>
                <w:rFonts w:hint="eastAsia"/>
                <w:lang w:eastAsia="zh-CN"/>
              </w:rPr>
              <w:t>本项目原料及产品在厂区内运输过程扬尘产生量按照以下经验公式估算。</w:t>
            </w:r>
          </w:p>
          <w:p>
            <w:pPr>
              <w:pStyle w:val="69"/>
              <w:ind w:left="48" w:right="48"/>
              <w:jc w:val="both"/>
              <w:rPr>
                <w:lang w:eastAsia="zh-CN"/>
              </w:rPr>
            </w:pPr>
            <w:r>
              <w:rPr>
                <w:rFonts w:hint="eastAsia"/>
                <w:lang w:eastAsia="zh-CN"/>
              </w:rPr>
              <w:t>项目砂石料通过装载机装料转运至上料斗，装料过程扬尘产生量参照交通部水运研究所和武汉水运工程学院提出的经验公式计算：</w:t>
            </w:r>
          </w:p>
          <w:p>
            <w:pPr>
              <w:pStyle w:val="69"/>
              <w:ind w:left="48" w:right="48"/>
              <w:jc w:val="both"/>
              <w:rPr>
                <w:lang w:eastAsia="zh-CN"/>
              </w:rPr>
            </w:pPr>
            <w:r>
              <w:rPr>
                <w:rFonts w:hint="eastAsia"/>
                <w:lang w:eastAsia="zh-CN"/>
              </w:rPr>
              <w:t>式中：Qy——交通运输起尘量，kg/km·辆；</w:t>
            </w:r>
          </w:p>
          <w:p>
            <w:pPr>
              <w:pStyle w:val="69"/>
              <w:ind w:left="48" w:right="48"/>
              <w:jc w:val="both"/>
              <w:rPr>
                <w:lang w:eastAsia="zh-CN"/>
              </w:rPr>
            </w:pPr>
            <w:r>
              <w:rPr>
                <w:rFonts w:hint="eastAsia"/>
                <w:lang w:eastAsia="zh-CN"/>
              </w:rPr>
              <w:t>Qt——运输途中起尘量，kg/a；</w:t>
            </w:r>
          </w:p>
          <w:p>
            <w:pPr>
              <w:pStyle w:val="69"/>
              <w:ind w:left="48" w:right="48"/>
              <w:jc w:val="both"/>
              <w:rPr>
                <w:lang w:eastAsia="zh-CN"/>
              </w:rPr>
            </w:pPr>
            <w:r>
              <w:rPr>
                <w:rFonts w:hint="eastAsia"/>
                <w:lang w:eastAsia="zh-CN"/>
              </w:rPr>
              <w:t>V——车辆行驶速度，km/h；空车20km/h，载重后10km/h；</w:t>
            </w:r>
          </w:p>
          <w:p>
            <w:pPr>
              <w:pStyle w:val="69"/>
              <w:ind w:left="48" w:right="48"/>
              <w:jc w:val="both"/>
              <w:rPr>
                <w:lang w:eastAsia="zh-CN"/>
              </w:rPr>
            </w:pPr>
            <w:r>
              <w:rPr>
                <w:rFonts w:hint="eastAsia"/>
                <w:lang w:eastAsia="zh-CN"/>
              </w:rPr>
              <w:t>P——路面状况，以每平方米路面灰尘覆盖率表示，kg/m</w:t>
            </w:r>
            <w:r>
              <w:rPr>
                <w:rFonts w:hint="eastAsia"/>
                <w:vertAlign w:val="superscript"/>
                <w:lang w:eastAsia="zh-CN"/>
              </w:rPr>
              <w:t>2</w:t>
            </w:r>
            <w:r>
              <w:rPr>
                <w:rFonts w:hint="eastAsia"/>
                <w:lang w:eastAsia="zh-CN"/>
              </w:rPr>
              <w:t>；</w:t>
            </w:r>
          </w:p>
          <w:p>
            <w:pPr>
              <w:pStyle w:val="69"/>
              <w:ind w:left="48" w:right="48"/>
              <w:jc w:val="both"/>
              <w:rPr>
                <w:lang w:eastAsia="zh-CN"/>
              </w:rPr>
            </w:pPr>
            <w:r>
              <w:rPr>
                <w:rFonts w:hint="eastAsia"/>
                <w:lang w:eastAsia="zh-CN"/>
              </w:rPr>
              <w:t>M——车辆载重，t/辆。原料运输车空车自重10t，载重后总重40t；混凝土运输车空车自重6t，载重后总重25.2t；</w:t>
            </w:r>
          </w:p>
          <w:p>
            <w:pPr>
              <w:pStyle w:val="69"/>
              <w:ind w:left="48" w:right="48"/>
              <w:jc w:val="both"/>
              <w:rPr>
                <w:lang w:eastAsia="zh-CN"/>
              </w:rPr>
            </w:pPr>
            <w:r>
              <w:rPr>
                <w:rFonts w:hint="eastAsia"/>
                <w:lang w:eastAsia="zh-CN"/>
              </w:rPr>
              <w:t>L——运输距离，km；</w:t>
            </w:r>
          </w:p>
          <w:p>
            <w:pPr>
              <w:pStyle w:val="69"/>
              <w:ind w:left="48" w:right="48"/>
              <w:jc w:val="both"/>
              <w:rPr>
                <w:lang w:eastAsia="zh-CN"/>
              </w:rPr>
            </w:pPr>
            <w:r>
              <w:rPr>
                <w:rFonts w:hint="eastAsia"/>
                <w:lang w:eastAsia="zh-CN"/>
              </w:rPr>
              <w:t>Q——运输量，t/a。</w:t>
            </w:r>
          </w:p>
          <w:p>
            <w:pPr>
              <w:pStyle w:val="69"/>
              <w:ind w:left="48" w:right="48"/>
              <w:jc w:val="both"/>
              <w:rPr>
                <w:lang w:eastAsia="zh-CN"/>
              </w:rPr>
            </w:pPr>
            <w:r>
              <w:rPr>
                <w:rFonts w:hint="eastAsia"/>
                <w:lang w:eastAsia="zh-CN"/>
              </w:rPr>
              <w:t>本项目骨料（砂石料）运输总量为5</w:t>
            </w:r>
            <w:r>
              <w:rPr>
                <w:lang w:eastAsia="zh-CN"/>
              </w:rPr>
              <w:t>4.51</w:t>
            </w:r>
            <w:r>
              <w:rPr>
                <w:rFonts w:hint="eastAsia"/>
                <w:lang w:eastAsia="zh-CN"/>
              </w:rPr>
              <w:t>万t/a，骨料运输道路长约2</w:t>
            </w:r>
            <w:r>
              <w:rPr>
                <w:lang w:eastAsia="zh-CN"/>
              </w:rPr>
              <w:t>00</w:t>
            </w:r>
            <w:r>
              <w:rPr>
                <w:rFonts w:hint="eastAsia"/>
                <w:lang w:eastAsia="zh-CN"/>
              </w:rPr>
              <w:t>m；粉料（水泥、矿粉和粉煤灰）运输总量为1</w:t>
            </w:r>
            <w:r>
              <w:rPr>
                <w:lang w:eastAsia="zh-CN"/>
              </w:rPr>
              <w:t>2</w:t>
            </w:r>
            <w:r>
              <w:rPr>
                <w:rFonts w:hint="eastAsia"/>
                <w:lang w:eastAsia="zh-CN"/>
              </w:rPr>
              <w:t>万t/a，粉料运输道路长约130m；产品运输总量为7</w:t>
            </w:r>
            <w:r>
              <w:rPr>
                <w:lang w:eastAsia="zh-CN"/>
              </w:rPr>
              <w:t>0.32</w:t>
            </w:r>
            <w:r>
              <w:rPr>
                <w:rFonts w:hint="eastAsia"/>
                <w:lang w:eastAsia="zh-CN"/>
              </w:rPr>
              <w:t>万t/a，产品运输道路长约1</w:t>
            </w:r>
            <w:r>
              <w:rPr>
                <w:lang w:eastAsia="zh-CN"/>
              </w:rPr>
              <w:t>2</w:t>
            </w:r>
            <w:r>
              <w:rPr>
                <w:rFonts w:hint="eastAsia"/>
                <w:lang w:eastAsia="zh-CN"/>
              </w:rPr>
              <w:t>0m，清扫及洒水前路面灰尘覆盖率为0.1kg/m</w:t>
            </w:r>
            <w:r>
              <w:rPr>
                <w:rFonts w:hint="eastAsia"/>
                <w:vertAlign w:val="superscript"/>
                <w:lang w:eastAsia="zh-CN"/>
              </w:rPr>
              <w:t>2</w:t>
            </w:r>
            <w:r>
              <w:rPr>
                <w:rFonts w:hint="eastAsia"/>
                <w:lang w:eastAsia="zh-CN"/>
              </w:rPr>
              <w:t>，考虑运输汽车往返。经计算，在未采取洒水等控尘措施时，项目运输扬尘产生量总计约为3</w:t>
            </w:r>
            <w:r>
              <w:rPr>
                <w:lang w:eastAsia="zh-CN"/>
              </w:rPr>
              <w:t>.98</w:t>
            </w:r>
            <w:r>
              <w:rPr>
                <w:rFonts w:hint="eastAsia"/>
                <w:lang w:eastAsia="zh-CN"/>
              </w:rPr>
              <w:t>t/a。</w:t>
            </w:r>
          </w:p>
          <w:p>
            <w:pPr>
              <w:pStyle w:val="69"/>
              <w:ind w:left="48" w:right="48"/>
              <w:jc w:val="both"/>
              <w:rPr>
                <w:lang w:eastAsia="zh-CN"/>
              </w:rPr>
            </w:pPr>
            <w:r>
              <w:rPr>
                <w:rFonts w:hint="eastAsia"/>
                <w:lang w:eastAsia="zh-CN"/>
              </w:rPr>
              <w:t>2）治理措施及治理后排放源强</w:t>
            </w:r>
          </w:p>
          <w:p>
            <w:pPr>
              <w:pStyle w:val="69"/>
              <w:ind w:left="48" w:right="48"/>
              <w:jc w:val="both"/>
              <w:rPr>
                <w:lang w:eastAsia="zh-CN"/>
              </w:rPr>
            </w:pPr>
            <w:r>
              <w:rPr>
                <w:rFonts w:hint="eastAsia"/>
                <w:lang w:eastAsia="zh-CN"/>
              </w:rPr>
              <w:t>为控制厂区道路扬尘，项目要求对厂区内路面进行水泥硬化，定期对路面进行清扫，每5天对厂区道路冲洗2次。同时，项目对散料运输车辆加盖篷布，做好遮掩工作，并控制车速，减少运输扬尘产生量。项目在厂区设置洗车台1个，本项目要求对进出车辆进行冲洗，避免车辆带泥上路。厂区设置环保除尘炮雾机间歇性喷雾降尘，严格控制车辆运输过程扬尘产生量。</w:t>
            </w:r>
          </w:p>
          <w:p>
            <w:pPr>
              <w:pStyle w:val="69"/>
              <w:ind w:left="48" w:right="48"/>
              <w:jc w:val="both"/>
              <w:rPr>
                <w:lang w:eastAsia="zh-CN"/>
              </w:rPr>
            </w:pPr>
            <w:r>
              <w:rPr>
                <w:rFonts w:hint="eastAsia"/>
                <w:lang w:eastAsia="zh-CN"/>
              </w:rPr>
              <w:t>在采取以上措施后，本项目厂区道路扬尘控制效率可达9</w:t>
            </w:r>
            <w:r>
              <w:rPr>
                <w:lang w:eastAsia="zh-CN"/>
              </w:rPr>
              <w:t>0</w:t>
            </w:r>
            <w:r>
              <w:rPr>
                <w:rFonts w:hint="eastAsia"/>
                <w:lang w:eastAsia="zh-CN"/>
              </w:rPr>
              <w:t>%，则本项目车辆运输扬尘排放量约为0.</w:t>
            </w:r>
            <w:r>
              <w:rPr>
                <w:lang w:eastAsia="zh-CN"/>
              </w:rPr>
              <w:t>398</w:t>
            </w:r>
            <w:r>
              <w:rPr>
                <w:rFonts w:hint="eastAsia"/>
                <w:lang w:eastAsia="zh-CN"/>
              </w:rPr>
              <w:t>t/a。</w:t>
            </w:r>
          </w:p>
          <w:p>
            <w:pPr>
              <w:pStyle w:val="69"/>
              <w:ind w:left="48" w:right="48"/>
              <w:jc w:val="both"/>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w:t>
            </w:r>
            <w:r>
              <w:rPr>
                <w:rFonts w:hint="eastAsia"/>
                <w:b/>
                <w:bCs/>
                <w:color w:val="000000" w:themeColor="text1"/>
                <w:lang w:eastAsia="zh-CN"/>
                <w14:textFill>
                  <w14:solidFill>
                    <w14:schemeClr w14:val="tx1"/>
                  </w14:solidFill>
                </w14:textFill>
              </w:rPr>
              <w:t>四</w:t>
            </w:r>
            <w:r>
              <w:rPr>
                <w:b/>
                <w:bCs/>
                <w:color w:val="000000" w:themeColor="text1"/>
                <w:lang w:eastAsia="zh-CN"/>
                <w14:textFill>
                  <w14:solidFill>
                    <w14:schemeClr w14:val="tx1"/>
                  </w14:solidFill>
                </w14:textFill>
              </w:rPr>
              <w:t>）</w:t>
            </w:r>
            <w:r>
              <w:rPr>
                <w:rFonts w:hint="eastAsia"/>
                <w:b/>
                <w:bCs/>
                <w:color w:val="000000" w:themeColor="text1"/>
                <w:lang w:eastAsia="zh-CN"/>
                <w14:textFill>
                  <w14:solidFill>
                    <w14:schemeClr w14:val="tx1"/>
                  </w14:solidFill>
                </w14:textFill>
              </w:rPr>
              <w:t>废气治理可行性分析</w:t>
            </w:r>
          </w:p>
          <w:p>
            <w:pPr>
              <w:pStyle w:val="69"/>
              <w:ind w:left="48" w:right="48" w:firstLine="480"/>
              <w:jc w:val="left"/>
              <w:rPr>
                <w:lang w:eastAsia="zh-CN"/>
              </w:rPr>
            </w:pPr>
            <w:r>
              <w:rPr>
                <w:rFonts w:hint="eastAsia"/>
                <w:lang w:eastAsia="zh-CN"/>
              </w:rPr>
              <w:t>根据《排污许可证申请与核发技术规范总则》（HJ942-2018）和《排污许可证申请与核发技术规范 水泥工业》（HJ847—2017），本项目混凝土搅拌、筒仓储存输送粉状原料产生的颗粒物采用布袋除尘器处理工艺为可行技术。</w:t>
            </w:r>
          </w:p>
          <w:p>
            <w:pPr>
              <w:pStyle w:val="69"/>
              <w:ind w:left="48" w:right="48" w:firstLine="480"/>
              <w:jc w:val="left"/>
              <w:rPr>
                <w:lang w:eastAsia="zh-CN"/>
              </w:rPr>
            </w:pPr>
            <w:r>
              <w:rPr>
                <w:rFonts w:hint="eastAsia"/>
                <w:lang w:eastAsia="zh-CN"/>
              </w:rPr>
              <w:t>布袋除尘器原理：布袋除尘器是基于过滤原理的过滤式除尘设备，利用有机纤维或无机纤维过滤布将气体中的粉尘过滤出来。工作时，含尘气体由进风道进入灰斗，粗尘粒直接落入灰斗底部，细尘粒随气流转折向上进入中、下箱体，粉尘积附在滤袋外表面，过滤后的气体进入上箱体至净气集合管-排风道，经排风机排至大气。清灰过程是先切断该室的净气出口风道，使该室的布袋处于无气流通过的状态。然后开启脉冲阀用压缩空气进行脉冲喷吹清灰，切断阀关闭时间足以保证在喷吹后从滤袋上剥离的粉尘沉降至灰斗，避免了粉尘在脱离滤袋表面后又随气流附集到相邻滤袋表面的现象，使滤袋清灰彻底。</w:t>
            </w:r>
          </w:p>
          <w:p>
            <w:pPr>
              <w:pStyle w:val="69"/>
              <w:ind w:left="48" w:right="48"/>
              <w:jc w:val="both"/>
              <w:rPr>
                <w:lang w:eastAsia="zh-CN"/>
              </w:rPr>
            </w:pPr>
            <w:r>
              <w:rPr>
                <w:rFonts w:hint="eastAsia"/>
                <w:lang w:eastAsia="zh-CN"/>
              </w:rPr>
              <w:t>综上分析，项目采取的废气治理措施可行。</w:t>
            </w:r>
          </w:p>
          <w:p>
            <w:pPr>
              <w:pStyle w:val="69"/>
              <w:ind w:left="48" w:right="48"/>
              <w:jc w:val="both"/>
              <w:rPr>
                <w:b/>
                <w:bCs/>
                <w:lang w:eastAsia="zh-CN"/>
              </w:rPr>
            </w:pPr>
            <w:r>
              <w:rPr>
                <w:rFonts w:hint="eastAsia"/>
                <w:b/>
                <w:bCs/>
                <w:lang w:eastAsia="zh-CN"/>
              </w:rPr>
              <w:t>（五）大气环境影响评价结论</w:t>
            </w:r>
          </w:p>
          <w:p>
            <w:pPr>
              <w:pStyle w:val="69"/>
              <w:ind w:left="48" w:right="48"/>
              <w:jc w:val="both"/>
              <w:rPr>
                <w:lang w:eastAsia="zh-CN"/>
              </w:rPr>
            </w:pPr>
            <w:r>
              <w:rPr>
                <w:rFonts w:hint="eastAsia"/>
                <w:lang w:eastAsia="zh-CN"/>
              </w:rPr>
              <w:t>项目营运期废气主要为混凝土搅拌产生的粉尘，筒仓储存输送粉状原料产生的粉尘，砂石料卸料、贮存粉尘，砂石料投料及车辆运输扬尘等。</w:t>
            </w:r>
          </w:p>
          <w:p>
            <w:pPr>
              <w:pStyle w:val="69"/>
              <w:ind w:left="48" w:right="48" w:firstLine="480"/>
              <w:jc w:val="left"/>
              <w:rPr>
                <w:lang w:eastAsia="zh-CN"/>
              </w:rPr>
            </w:pPr>
            <w:r>
              <w:rPr>
                <w:rFonts w:hint="eastAsia"/>
                <w:lang w:eastAsia="zh-CN"/>
              </w:rPr>
              <w:t>搅拌工序在密闭搅拌楼内运行，搅拌产生的粉尘经集气罩收集后引入布袋除尘器处理后经15m高排气筒DA001排放，未收集的搅拌粉尘大部分沉降在搅拌楼内（定期收集回用），极少量未收集到的搅拌粉尘逸出搅拌楼无组织排放。</w:t>
            </w:r>
          </w:p>
          <w:p>
            <w:pPr>
              <w:pStyle w:val="69"/>
              <w:ind w:left="48" w:right="48"/>
              <w:jc w:val="left"/>
              <w:rPr>
                <w:lang w:eastAsia="zh-CN"/>
              </w:rPr>
            </w:pPr>
            <w:r>
              <w:rPr>
                <w:rFonts w:hint="eastAsia"/>
                <w:lang w:eastAsia="zh-CN"/>
              </w:rPr>
              <w:t>粉料筒仓仓顶均设置脉冲反吹式布袋除尘器，各筒仓粉尘分别经脉冲反吹式布袋除尘器处理后无组织排放。</w:t>
            </w:r>
          </w:p>
          <w:p>
            <w:pPr>
              <w:pStyle w:val="69"/>
              <w:ind w:left="48" w:right="48"/>
              <w:jc w:val="left"/>
              <w:rPr>
                <w:lang w:eastAsia="zh-CN"/>
              </w:rPr>
            </w:pPr>
            <w:r>
              <w:rPr>
                <w:rFonts w:hint="eastAsia"/>
                <w:lang w:eastAsia="zh-CN"/>
              </w:rPr>
              <w:t>砂石料库房为封闭库房，地面水泥硬化，库房内设置有固定式雾化喷水喷头对砂石料卸料、贮存过程喷水控尘。</w:t>
            </w:r>
          </w:p>
          <w:p>
            <w:pPr>
              <w:pStyle w:val="69"/>
              <w:ind w:left="48" w:right="48"/>
              <w:jc w:val="left"/>
              <w:rPr>
                <w:lang w:eastAsia="zh-CN"/>
              </w:rPr>
            </w:pPr>
            <w:r>
              <w:rPr>
                <w:rFonts w:hint="eastAsia"/>
                <w:lang w:eastAsia="zh-CN"/>
              </w:rPr>
              <w:t>针对砂石料上料产生的粉尘，在上料斗上方设置雾化喷嘴喷雾控尘。</w:t>
            </w:r>
          </w:p>
          <w:p>
            <w:pPr>
              <w:pStyle w:val="69"/>
              <w:ind w:left="48" w:right="48"/>
              <w:jc w:val="left"/>
              <w:rPr>
                <w:lang w:eastAsia="zh-CN"/>
              </w:rPr>
            </w:pPr>
            <w:r>
              <w:rPr>
                <w:rFonts w:hint="eastAsia"/>
                <w:lang w:eastAsia="zh-CN"/>
              </w:rPr>
              <w:t>针对车辆运输扬尘，项目要求对厂区内路面进行水泥硬化，定期对路面进行清扫、道路冲洗。同时，对散料运输车辆加盖篷布，做好遮掩工作，并控制车速，减少运输扬尘产生量。</w:t>
            </w:r>
          </w:p>
          <w:p>
            <w:pPr>
              <w:pStyle w:val="69"/>
              <w:ind w:left="48" w:right="48" w:firstLine="480"/>
              <w:jc w:val="both"/>
              <w:rPr>
                <w:bCs/>
                <w:lang w:eastAsia="zh-CN"/>
              </w:rPr>
            </w:pPr>
            <w:r>
              <w:rPr>
                <w:rFonts w:hint="eastAsia"/>
                <w:lang w:eastAsia="zh-CN"/>
              </w:rPr>
              <w:t>经采取以上措施，项目颗粒物有组织排放满足</w:t>
            </w:r>
            <w:r>
              <w:rPr>
                <w:rFonts w:hint="eastAsia"/>
                <w:bCs/>
                <w:lang w:eastAsia="zh-CN"/>
              </w:rPr>
              <w:t>《建材工业大气污染物排放标准》（</w:t>
            </w:r>
            <w:r>
              <w:rPr>
                <w:bCs/>
                <w:lang w:eastAsia="zh-CN"/>
              </w:rPr>
              <w:t>DB37/2373-2018</w:t>
            </w:r>
            <w:r>
              <w:rPr>
                <w:rFonts w:hint="eastAsia"/>
                <w:bCs/>
                <w:lang w:eastAsia="zh-CN"/>
              </w:rPr>
              <w:t>）表2重点控制区排放限值要求</w:t>
            </w:r>
            <w:r>
              <w:rPr>
                <w:bCs/>
                <w:lang w:eastAsia="zh-CN"/>
              </w:rPr>
              <w:t>(</w:t>
            </w:r>
            <w:r>
              <w:rPr>
                <w:rFonts w:hint="eastAsia"/>
                <w:bCs/>
                <w:lang w:eastAsia="zh-CN"/>
              </w:rPr>
              <w:t>颗粒物≦1</w:t>
            </w:r>
            <w:r>
              <w:rPr>
                <w:bCs/>
                <w:lang w:eastAsia="zh-CN"/>
              </w:rPr>
              <w:t>0mg/m</w:t>
            </w:r>
            <w:r>
              <w:rPr>
                <w:bCs/>
                <w:vertAlign w:val="superscript"/>
                <w:lang w:eastAsia="zh-CN"/>
              </w:rPr>
              <w:t>3</w:t>
            </w:r>
            <w:r>
              <w:rPr>
                <w:bCs/>
                <w:lang w:eastAsia="zh-CN"/>
              </w:rPr>
              <w:t>）</w:t>
            </w:r>
            <w:r>
              <w:rPr>
                <w:rFonts w:hint="eastAsia"/>
                <w:bCs/>
                <w:lang w:eastAsia="zh-CN"/>
              </w:rPr>
              <w:t>。厂界颗粒物</w:t>
            </w:r>
            <w:r>
              <w:rPr>
                <w:rFonts w:hint="eastAsia"/>
                <w:lang w:eastAsia="zh-CN"/>
              </w:rPr>
              <w:t>无组织</w:t>
            </w:r>
            <w:r>
              <w:rPr>
                <w:rFonts w:hint="eastAsia"/>
                <w:bCs/>
                <w:lang w:eastAsia="zh-CN"/>
              </w:rPr>
              <w:t>排放满足《建材工业大气污染物排放标准》（</w:t>
            </w:r>
            <w:r>
              <w:rPr>
                <w:bCs/>
                <w:lang w:eastAsia="zh-CN"/>
              </w:rPr>
              <w:t>DB37/2373-2018</w:t>
            </w:r>
            <w:r>
              <w:rPr>
                <w:rFonts w:hint="eastAsia"/>
                <w:bCs/>
                <w:lang w:eastAsia="zh-CN"/>
              </w:rPr>
              <w:t>）表</w:t>
            </w:r>
            <w:r>
              <w:rPr>
                <w:bCs/>
                <w:lang w:eastAsia="zh-CN"/>
              </w:rPr>
              <w:t>3</w:t>
            </w:r>
            <w:r>
              <w:rPr>
                <w:rFonts w:hint="eastAsia"/>
                <w:bCs/>
                <w:lang w:eastAsia="zh-CN"/>
              </w:rPr>
              <w:t>排放限值</w:t>
            </w:r>
            <w:r>
              <w:rPr>
                <w:bCs/>
                <w:lang w:eastAsia="zh-CN"/>
              </w:rPr>
              <w:t>(</w:t>
            </w:r>
            <w:r>
              <w:rPr>
                <w:rFonts w:hint="eastAsia"/>
                <w:bCs/>
                <w:lang w:eastAsia="zh-CN"/>
              </w:rPr>
              <w:t>颗粒物≦1</w:t>
            </w:r>
            <w:r>
              <w:rPr>
                <w:bCs/>
                <w:lang w:eastAsia="zh-CN"/>
              </w:rPr>
              <w:t>.0mg/m</w:t>
            </w:r>
            <w:r>
              <w:rPr>
                <w:bCs/>
                <w:vertAlign w:val="superscript"/>
                <w:lang w:eastAsia="zh-CN"/>
              </w:rPr>
              <w:t>3</w:t>
            </w:r>
            <w:r>
              <w:rPr>
                <w:bCs/>
                <w:lang w:eastAsia="zh-CN"/>
              </w:rPr>
              <w:t>）</w:t>
            </w:r>
            <w:r>
              <w:rPr>
                <w:rFonts w:hint="eastAsia"/>
                <w:bCs/>
                <w:lang w:eastAsia="zh-CN"/>
              </w:rPr>
              <w:t>。项目废气污染物均达标排放，对周围大气环境影响较小。</w:t>
            </w:r>
          </w:p>
          <w:bookmarkEnd w:id="30"/>
          <w:p>
            <w:pPr>
              <w:spacing w:line="360" w:lineRule="auto"/>
              <w:ind w:firstLine="482"/>
              <w:rPr>
                <w:b/>
                <w:bCs/>
              </w:rPr>
            </w:pPr>
            <w:r>
              <w:rPr>
                <w:rFonts w:hint="eastAsia"/>
                <w:b/>
                <w:bCs/>
              </w:rPr>
              <w:t>二、废水</w:t>
            </w:r>
            <w:r>
              <w:rPr>
                <w:b/>
                <w:bCs/>
              </w:rPr>
              <w:t xml:space="preserve"> </w:t>
            </w:r>
          </w:p>
          <w:p>
            <w:pPr>
              <w:pStyle w:val="69"/>
              <w:ind w:left="48" w:right="48"/>
              <w:jc w:val="both"/>
              <w:rPr>
                <w:lang w:eastAsia="zh-CN"/>
              </w:rPr>
            </w:pPr>
            <w:r>
              <w:rPr>
                <w:rFonts w:hint="eastAsia"/>
                <w:b/>
                <w:bCs/>
                <w:lang w:eastAsia="zh-CN"/>
              </w:rPr>
              <w:t>（一）废水污染物产</w:t>
            </w:r>
            <w:r>
              <w:rPr>
                <w:b/>
                <w:bCs/>
                <w:lang w:eastAsia="zh-CN"/>
              </w:rPr>
              <w:t>排污节点、污染物及污染治理设施</w:t>
            </w:r>
          </w:p>
          <w:p>
            <w:pPr>
              <w:spacing w:line="360" w:lineRule="auto"/>
              <w:ind w:left="24" w:leftChars="10" w:right="24" w:rightChars="10" w:firstLine="480"/>
              <w:jc w:val="left"/>
              <w:rPr>
                <w:rFonts w:eastAsia="新宋体" w:cs="Times New Roman"/>
              </w:rPr>
            </w:pPr>
            <w:r>
              <w:rPr>
                <w:rFonts w:hint="eastAsia" w:eastAsia="新宋体" w:cs="Times New Roman"/>
              </w:rPr>
              <w:t>项目混凝土生产用水全部进入产品，不外排。搅拌机、运输车辆冲洗用水经砂石分离及沉淀处理后循环使用，定期补充，不外排。原料装卸、贮存喷淋用水，砂石投料喷淋用水及厂区道路抑尘用水，均蒸发损耗，不外排。项目营运期无生产废水排放，废水主要为员工生活污水。</w:t>
            </w:r>
          </w:p>
          <w:p>
            <w:pPr>
              <w:spacing w:line="360" w:lineRule="auto"/>
              <w:ind w:left="24" w:leftChars="10" w:right="24" w:rightChars="10" w:firstLine="480"/>
              <w:jc w:val="left"/>
              <w:rPr>
                <w:rFonts w:eastAsia="新宋体" w:cs="Times New Roman"/>
                <w:color w:val="FF0000"/>
              </w:rPr>
            </w:pPr>
            <w:r>
              <w:rPr>
                <w:rFonts w:hint="eastAsia" w:eastAsia="新宋体" w:cs="Times New Roman"/>
              </w:rPr>
              <w:t>全厂生活用水量3</w:t>
            </w:r>
            <w:r>
              <w:rPr>
                <w:rFonts w:eastAsia="新宋体" w:cs="Times New Roman"/>
              </w:rPr>
              <w:t>00</w:t>
            </w:r>
            <w:r>
              <w:rPr>
                <w:rFonts w:hint="eastAsia" w:eastAsia="新宋体" w:cs="Times New Roman"/>
              </w:rPr>
              <w:t>m</w:t>
            </w:r>
            <w:r>
              <w:rPr>
                <w:rFonts w:hint="eastAsia" w:eastAsia="新宋体" w:cs="Times New Roman"/>
                <w:vertAlign w:val="superscript"/>
              </w:rPr>
              <w:t>3</w:t>
            </w:r>
            <w:r>
              <w:rPr>
                <w:rFonts w:hint="eastAsia" w:eastAsia="新宋体" w:cs="Times New Roman"/>
              </w:rPr>
              <w:t>/a，损耗6</w:t>
            </w:r>
            <w:r>
              <w:rPr>
                <w:rFonts w:eastAsia="新宋体" w:cs="Times New Roman"/>
              </w:rPr>
              <w:t>0</w:t>
            </w:r>
            <w:r>
              <w:rPr>
                <w:rFonts w:hint="eastAsia" w:eastAsia="新宋体" w:cs="Times New Roman"/>
              </w:rPr>
              <w:t>m</w:t>
            </w:r>
            <w:r>
              <w:rPr>
                <w:rFonts w:hint="eastAsia" w:eastAsia="新宋体" w:cs="Times New Roman"/>
                <w:vertAlign w:val="superscript"/>
              </w:rPr>
              <w:t>3</w:t>
            </w:r>
            <w:r>
              <w:rPr>
                <w:rFonts w:hint="eastAsia" w:eastAsia="新宋体" w:cs="Times New Roman"/>
              </w:rPr>
              <w:t>/a，产生生活污水约2</w:t>
            </w:r>
            <w:r>
              <w:rPr>
                <w:rFonts w:eastAsia="新宋体" w:cs="Times New Roman"/>
              </w:rPr>
              <w:t>40</w:t>
            </w:r>
            <w:r>
              <w:rPr>
                <w:rFonts w:hint="eastAsia" w:eastAsia="新宋体" w:cs="Times New Roman"/>
              </w:rPr>
              <w:t>m</w:t>
            </w:r>
            <w:r>
              <w:rPr>
                <w:rFonts w:hint="eastAsia" w:eastAsia="新宋体" w:cs="Times New Roman"/>
                <w:vertAlign w:val="superscript"/>
              </w:rPr>
              <w:t>3</w:t>
            </w:r>
            <w:r>
              <w:rPr>
                <w:rFonts w:hint="eastAsia" w:eastAsia="新宋体" w:cs="Times New Roman"/>
              </w:rPr>
              <w:t>/a，生活污水</w:t>
            </w:r>
            <w:r>
              <w:rPr>
                <w:rFonts w:eastAsia="新宋体" w:cs="Times New Roman"/>
              </w:rPr>
              <w:t>主要污染物为COD、氨氮、SS、BOD</w:t>
            </w:r>
            <w:r>
              <w:rPr>
                <w:rFonts w:eastAsia="新宋体" w:cs="Times New Roman"/>
                <w:vertAlign w:val="subscript"/>
              </w:rPr>
              <w:t>5</w:t>
            </w:r>
            <w:r>
              <w:rPr>
                <w:rFonts w:eastAsia="新宋体" w:cs="Times New Roman"/>
              </w:rPr>
              <w:t>等。</w:t>
            </w:r>
            <w:r>
              <w:rPr>
                <w:rFonts w:hint="eastAsia" w:eastAsia="新宋体" w:cs="Times New Roman"/>
              </w:rPr>
              <w:t>生活污水经化粪池处理后委托环卫部门定期清运。</w:t>
            </w:r>
          </w:p>
          <w:p>
            <w:pPr>
              <w:widowControl/>
              <w:tabs>
                <w:tab w:val="center" w:pos="4560"/>
                <w:tab w:val="right" w:pos="9120"/>
              </w:tabs>
              <w:ind w:firstLine="480"/>
              <w:jc w:val="center"/>
              <w:rPr>
                <w:rFonts w:cs="Times New Roman"/>
                <w:kern w:val="2"/>
                <w:szCs w:val="22"/>
              </w:rPr>
            </w:pPr>
            <w:r>
              <w:rPr>
                <w:rFonts w:cs="Times New Roman"/>
                <w:kern w:val="2"/>
                <w:szCs w:val="22"/>
              </w:rPr>
              <w:t>表</w:t>
            </w:r>
            <w:r>
              <w:rPr>
                <w:rFonts w:cs="Times New Roman"/>
                <w:kern w:val="2"/>
                <w:szCs w:val="22"/>
              </w:rPr>
              <w:fldChar w:fldCharType="begin"/>
            </w:r>
            <w:r>
              <w:rPr>
                <w:rFonts w:cs="Times New Roman"/>
                <w:kern w:val="2"/>
                <w:szCs w:val="22"/>
              </w:rPr>
              <w:instrText xml:space="preserve"> </w:instrText>
            </w:r>
            <w:r>
              <w:rPr>
                <w:rFonts w:hint="eastAsia" w:cs="Times New Roman"/>
                <w:kern w:val="2"/>
                <w:szCs w:val="22"/>
              </w:rPr>
              <w:instrText xml:space="preserve">SEQ 表格 \* ARABIC</w:instrText>
            </w:r>
            <w:r>
              <w:rPr>
                <w:rFonts w:cs="Times New Roman"/>
                <w:kern w:val="2"/>
                <w:szCs w:val="22"/>
              </w:rPr>
              <w:instrText xml:space="preserve"> </w:instrText>
            </w:r>
            <w:r>
              <w:rPr>
                <w:rFonts w:cs="Times New Roman"/>
                <w:kern w:val="2"/>
                <w:szCs w:val="22"/>
              </w:rPr>
              <w:fldChar w:fldCharType="separate"/>
            </w:r>
            <w:r>
              <w:rPr>
                <w:rFonts w:cs="Times New Roman"/>
                <w:kern w:val="2"/>
                <w:szCs w:val="22"/>
              </w:rPr>
              <w:t>21</w:t>
            </w:r>
            <w:r>
              <w:rPr>
                <w:rFonts w:cs="Times New Roman"/>
                <w:kern w:val="2"/>
                <w:szCs w:val="22"/>
              </w:rPr>
              <w:fldChar w:fldCharType="end"/>
            </w:r>
            <w:r>
              <w:rPr>
                <w:rFonts w:cs="Times New Roman"/>
                <w:kern w:val="2"/>
                <w:szCs w:val="22"/>
              </w:rPr>
              <w:t xml:space="preserve">  项目废水产生</w:t>
            </w:r>
            <w:r>
              <w:rPr>
                <w:rFonts w:hint="eastAsia" w:cs="Times New Roman"/>
                <w:kern w:val="2"/>
                <w:szCs w:val="22"/>
              </w:rPr>
              <w:t>、治理及排放</w:t>
            </w:r>
            <w:r>
              <w:rPr>
                <w:rFonts w:cs="Times New Roman"/>
                <w:kern w:val="2"/>
                <w:szCs w:val="22"/>
              </w:rPr>
              <w:t>情况一览表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874"/>
              <w:gridCol w:w="829"/>
              <w:gridCol w:w="1115"/>
              <w:gridCol w:w="1240"/>
              <w:gridCol w:w="1331"/>
              <w:gridCol w:w="1265"/>
              <w:gridCol w:w="1238"/>
              <w:gridCol w:w="11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67"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产排污环节</w:t>
                  </w:r>
                </w:p>
              </w:tc>
              <w:tc>
                <w:tcPr>
                  <w:tcW w:w="823"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类别</w:t>
                  </w:r>
                </w:p>
              </w:tc>
              <w:tc>
                <w:tcPr>
                  <w:tcW w:w="1107"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lang w:val="zh-CN"/>
                    </w:rPr>
                    <w:t>产生量</w:t>
                  </w:r>
                  <w:r>
                    <w:rPr>
                      <w:rFonts w:cs="Times New Roman"/>
                      <w:kern w:val="2"/>
                      <w:sz w:val="21"/>
                      <w:szCs w:val="21"/>
                    </w:rPr>
                    <w:t>（m</w:t>
                  </w:r>
                  <w:r>
                    <w:rPr>
                      <w:rFonts w:cs="Times New Roman"/>
                      <w:kern w:val="2"/>
                      <w:sz w:val="21"/>
                      <w:szCs w:val="21"/>
                      <w:vertAlign w:val="superscript"/>
                    </w:rPr>
                    <w:t>3</w:t>
                  </w:r>
                  <w:r>
                    <w:rPr>
                      <w:rFonts w:cs="Times New Roman"/>
                      <w:kern w:val="2"/>
                      <w:sz w:val="21"/>
                      <w:szCs w:val="21"/>
                    </w:rPr>
                    <w:t>/a）</w:t>
                  </w:r>
                </w:p>
              </w:tc>
              <w:tc>
                <w:tcPr>
                  <w:tcW w:w="123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lang w:val="zh-CN"/>
                    </w:rPr>
                    <w:t>污染物种类</w:t>
                  </w:r>
                </w:p>
              </w:tc>
              <w:tc>
                <w:tcPr>
                  <w:tcW w:w="132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r>
                    <w:rPr>
                      <w:rFonts w:cs="Times New Roman"/>
                      <w:kern w:val="2"/>
                      <w:sz w:val="21"/>
                      <w:szCs w:val="21"/>
                      <w:lang w:val="zh-CN"/>
                    </w:rPr>
                    <w:t>产生浓度（mg/L）</w:t>
                  </w:r>
                </w:p>
              </w:tc>
              <w:tc>
                <w:tcPr>
                  <w:tcW w:w="1255"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lang w:val="zh-CN"/>
                    </w:rPr>
                    <w:t>产生量（t/a）</w:t>
                  </w:r>
                </w:p>
              </w:tc>
              <w:tc>
                <w:tcPr>
                  <w:tcW w:w="1229"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lang w:val="zh-CN"/>
                    </w:rPr>
                    <w:t>处理措施</w:t>
                  </w:r>
                </w:p>
              </w:tc>
              <w:tc>
                <w:tcPr>
                  <w:tcW w:w="1138" w:type="dxa"/>
                </w:tcPr>
                <w:p>
                  <w:pPr>
                    <w:adjustRightInd w:val="0"/>
                    <w:snapToGrid w:val="0"/>
                    <w:spacing w:before="24" w:beforeLines="10" w:after="24" w:afterLines="10"/>
                    <w:ind w:left="24" w:right="24"/>
                    <w:jc w:val="center"/>
                    <w:rPr>
                      <w:rFonts w:cs="Times New Roman"/>
                      <w:kern w:val="2"/>
                      <w:sz w:val="21"/>
                      <w:szCs w:val="21"/>
                      <w:lang w:val="zh-CN"/>
                    </w:rPr>
                  </w:pPr>
                  <w:r>
                    <w:rPr>
                      <w:rFonts w:hint="eastAsia" w:cs="Times New Roman"/>
                      <w:kern w:val="2"/>
                      <w:sz w:val="21"/>
                      <w:szCs w:val="21"/>
                      <w:lang w:val="zh-CN"/>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67" w:type="dxa"/>
                  <w:vMerge w:val="restart"/>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职工生活</w:t>
                  </w:r>
                </w:p>
              </w:tc>
              <w:tc>
                <w:tcPr>
                  <w:tcW w:w="823" w:type="dxa"/>
                  <w:vMerge w:val="restart"/>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r>
                    <w:rPr>
                      <w:rFonts w:cs="Times New Roman"/>
                      <w:kern w:val="2"/>
                      <w:sz w:val="21"/>
                      <w:szCs w:val="21"/>
                      <w:lang w:val="zh-CN"/>
                    </w:rPr>
                    <w:t>生活污水</w:t>
                  </w:r>
                </w:p>
              </w:tc>
              <w:tc>
                <w:tcPr>
                  <w:tcW w:w="1107" w:type="dxa"/>
                  <w:vMerge w:val="restart"/>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240</w:t>
                  </w:r>
                </w:p>
              </w:tc>
              <w:tc>
                <w:tcPr>
                  <w:tcW w:w="123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COD</w:t>
                  </w:r>
                </w:p>
              </w:tc>
              <w:tc>
                <w:tcPr>
                  <w:tcW w:w="132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350</w:t>
                  </w:r>
                </w:p>
              </w:tc>
              <w:tc>
                <w:tcPr>
                  <w:tcW w:w="1255"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0.084</w:t>
                  </w:r>
                </w:p>
              </w:tc>
              <w:tc>
                <w:tcPr>
                  <w:tcW w:w="1229" w:type="dxa"/>
                  <w:vMerge w:val="restart"/>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化粪池</w:t>
                  </w:r>
                </w:p>
              </w:tc>
              <w:tc>
                <w:tcPr>
                  <w:tcW w:w="1138" w:type="dxa"/>
                  <w:vMerge w:val="restart"/>
                  <w:vAlign w:val="center"/>
                </w:tcPr>
                <w:p>
                  <w:pPr>
                    <w:adjustRightInd w:val="0"/>
                    <w:snapToGrid w:val="0"/>
                    <w:spacing w:before="24" w:beforeLines="10" w:after="24" w:afterLines="10"/>
                    <w:ind w:left="24" w:right="24"/>
                    <w:jc w:val="center"/>
                    <w:rPr>
                      <w:rFonts w:cs="Times New Roman"/>
                      <w:kern w:val="2"/>
                      <w:sz w:val="21"/>
                      <w:szCs w:val="21"/>
                    </w:rPr>
                  </w:pPr>
                  <w:r>
                    <w:rPr>
                      <w:rFonts w:hint="eastAsia" w:cs="Times New Roman"/>
                      <w:kern w:val="2"/>
                      <w:sz w:val="21"/>
                      <w:szCs w:val="21"/>
                    </w:rPr>
                    <w:t>委托环卫部门清运，不外排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67"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p>
              </w:tc>
              <w:tc>
                <w:tcPr>
                  <w:tcW w:w="823"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p>
              </w:tc>
              <w:tc>
                <w:tcPr>
                  <w:tcW w:w="1107"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p>
              </w:tc>
              <w:tc>
                <w:tcPr>
                  <w:tcW w:w="123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BOD</w:t>
                  </w:r>
                  <w:r>
                    <w:rPr>
                      <w:rFonts w:cs="Times New Roman"/>
                      <w:kern w:val="2"/>
                      <w:sz w:val="21"/>
                      <w:szCs w:val="21"/>
                      <w:vertAlign w:val="subscript"/>
                    </w:rPr>
                    <w:t>5</w:t>
                  </w:r>
                </w:p>
              </w:tc>
              <w:tc>
                <w:tcPr>
                  <w:tcW w:w="132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220</w:t>
                  </w:r>
                </w:p>
              </w:tc>
              <w:tc>
                <w:tcPr>
                  <w:tcW w:w="1255"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0.053</w:t>
                  </w:r>
                </w:p>
              </w:tc>
              <w:tc>
                <w:tcPr>
                  <w:tcW w:w="1229"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p>
              </w:tc>
              <w:tc>
                <w:tcPr>
                  <w:tcW w:w="1138" w:type="dxa"/>
                  <w:vMerge w:val="continue"/>
                </w:tcPr>
                <w:p>
                  <w:pPr>
                    <w:adjustRightInd w:val="0"/>
                    <w:snapToGrid w:val="0"/>
                    <w:spacing w:before="24" w:beforeLines="10" w:after="24" w:afterLines="10"/>
                    <w:ind w:left="24" w:right="24"/>
                    <w:jc w:val="center"/>
                    <w:rPr>
                      <w:rFonts w:cs="Times New Roman"/>
                      <w:kern w:val="2"/>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67"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p>
              </w:tc>
              <w:tc>
                <w:tcPr>
                  <w:tcW w:w="823"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p>
              </w:tc>
              <w:tc>
                <w:tcPr>
                  <w:tcW w:w="1107"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p>
              </w:tc>
              <w:tc>
                <w:tcPr>
                  <w:tcW w:w="123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SS</w:t>
                  </w:r>
                </w:p>
              </w:tc>
              <w:tc>
                <w:tcPr>
                  <w:tcW w:w="132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100</w:t>
                  </w:r>
                </w:p>
              </w:tc>
              <w:tc>
                <w:tcPr>
                  <w:tcW w:w="1255"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0.024</w:t>
                  </w:r>
                </w:p>
              </w:tc>
              <w:tc>
                <w:tcPr>
                  <w:tcW w:w="1229"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p>
              </w:tc>
              <w:tc>
                <w:tcPr>
                  <w:tcW w:w="1138" w:type="dxa"/>
                  <w:vMerge w:val="continue"/>
                </w:tcPr>
                <w:p>
                  <w:pPr>
                    <w:adjustRightInd w:val="0"/>
                    <w:snapToGrid w:val="0"/>
                    <w:spacing w:before="24" w:beforeLines="10" w:after="24" w:afterLines="10"/>
                    <w:ind w:left="24" w:right="24"/>
                    <w:jc w:val="center"/>
                    <w:rPr>
                      <w:rFonts w:cs="Times New Roman"/>
                      <w:kern w:val="2"/>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67"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p>
              </w:tc>
              <w:tc>
                <w:tcPr>
                  <w:tcW w:w="823"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lang w:val="zh-CN"/>
                    </w:rPr>
                  </w:pPr>
                </w:p>
              </w:tc>
              <w:tc>
                <w:tcPr>
                  <w:tcW w:w="1107"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p>
              </w:tc>
              <w:tc>
                <w:tcPr>
                  <w:tcW w:w="123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氨氮</w:t>
                  </w:r>
                </w:p>
              </w:tc>
              <w:tc>
                <w:tcPr>
                  <w:tcW w:w="1321"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35</w:t>
                  </w:r>
                </w:p>
              </w:tc>
              <w:tc>
                <w:tcPr>
                  <w:tcW w:w="1255" w:type="dxa"/>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r>
                    <w:rPr>
                      <w:rFonts w:cs="Times New Roman"/>
                      <w:kern w:val="2"/>
                      <w:sz w:val="21"/>
                      <w:szCs w:val="21"/>
                    </w:rPr>
                    <w:t>0.008</w:t>
                  </w:r>
                </w:p>
              </w:tc>
              <w:tc>
                <w:tcPr>
                  <w:tcW w:w="1229" w:type="dxa"/>
                  <w:vMerge w:val="continue"/>
                  <w:shd w:val="clear" w:color="auto" w:fill="auto"/>
                  <w:vAlign w:val="center"/>
                </w:tcPr>
                <w:p>
                  <w:pPr>
                    <w:adjustRightInd w:val="0"/>
                    <w:snapToGrid w:val="0"/>
                    <w:spacing w:before="24" w:beforeLines="10" w:after="24" w:afterLines="10"/>
                    <w:ind w:left="24" w:right="24"/>
                    <w:jc w:val="center"/>
                    <w:rPr>
                      <w:rFonts w:cs="Times New Roman"/>
                      <w:kern w:val="2"/>
                      <w:sz w:val="21"/>
                      <w:szCs w:val="21"/>
                    </w:rPr>
                  </w:pPr>
                </w:p>
              </w:tc>
              <w:tc>
                <w:tcPr>
                  <w:tcW w:w="1138" w:type="dxa"/>
                  <w:vMerge w:val="continue"/>
                </w:tcPr>
                <w:p>
                  <w:pPr>
                    <w:adjustRightInd w:val="0"/>
                    <w:snapToGrid w:val="0"/>
                    <w:spacing w:before="24" w:beforeLines="10" w:after="24" w:afterLines="10"/>
                    <w:ind w:left="24" w:right="24"/>
                    <w:jc w:val="center"/>
                    <w:rPr>
                      <w:rFonts w:cs="Times New Roman"/>
                      <w:kern w:val="2"/>
                      <w:sz w:val="21"/>
                      <w:szCs w:val="21"/>
                    </w:rPr>
                  </w:pPr>
                </w:p>
              </w:tc>
            </w:tr>
          </w:tbl>
          <w:p>
            <w:pPr>
              <w:spacing w:line="360" w:lineRule="auto"/>
              <w:ind w:left="24" w:leftChars="10" w:right="24" w:rightChars="10" w:firstLine="480"/>
              <w:jc w:val="left"/>
              <w:rPr>
                <w:rFonts w:eastAsia="新宋体" w:cs="Times New Roman"/>
              </w:rPr>
            </w:pPr>
            <w:r>
              <w:rPr>
                <w:rFonts w:hint="eastAsia" w:eastAsia="新宋体" w:cs="Times New Roman"/>
              </w:rPr>
              <w:t>（二）排放口信息及监测要求</w:t>
            </w:r>
          </w:p>
          <w:p>
            <w:pPr>
              <w:spacing w:line="360" w:lineRule="auto"/>
              <w:ind w:left="24" w:leftChars="10" w:right="24" w:rightChars="10" w:firstLine="480"/>
              <w:jc w:val="left"/>
              <w:rPr>
                <w:rFonts w:eastAsia="新宋体" w:cs="Times New Roman"/>
              </w:rPr>
            </w:pPr>
            <w:r>
              <w:rPr>
                <w:rFonts w:hint="eastAsia" w:eastAsia="新宋体" w:cs="Times New Roman"/>
              </w:rPr>
              <w:t>本项目无废水排放。</w:t>
            </w:r>
          </w:p>
          <w:p>
            <w:pPr>
              <w:spacing w:line="360" w:lineRule="auto"/>
              <w:ind w:left="24" w:leftChars="10" w:right="24" w:rightChars="10" w:firstLine="480"/>
              <w:jc w:val="left"/>
              <w:rPr>
                <w:rFonts w:eastAsia="新宋体" w:cs="Times New Roman"/>
              </w:rPr>
            </w:pPr>
            <w:r>
              <w:rPr>
                <w:rFonts w:hint="eastAsia" w:eastAsia="新宋体" w:cs="Times New Roman"/>
              </w:rPr>
              <w:t>（三）水环境影响评价结论</w:t>
            </w:r>
          </w:p>
          <w:p>
            <w:pPr>
              <w:spacing w:line="360" w:lineRule="auto"/>
              <w:ind w:left="24" w:leftChars="10" w:right="24" w:rightChars="10" w:firstLine="480"/>
              <w:jc w:val="left"/>
              <w:rPr>
                <w:rFonts w:eastAsia="新宋体" w:cs="Times New Roman"/>
              </w:rPr>
            </w:pPr>
            <w:r>
              <w:rPr>
                <w:rFonts w:hint="eastAsia" w:eastAsia="新宋体" w:cs="Times New Roman"/>
              </w:rPr>
              <w:t>根据工程分析，本项目无生产</w:t>
            </w:r>
            <w:r>
              <w:rPr>
                <w:rFonts w:eastAsia="新宋体" w:cs="Times New Roman"/>
              </w:rPr>
              <w:t>废水排放，</w:t>
            </w:r>
            <w:r>
              <w:rPr>
                <w:rFonts w:hint="eastAsia" w:eastAsia="新宋体" w:cs="Times New Roman"/>
              </w:rPr>
              <w:t>生活污水经化粪池处理后委托环卫部门定期清运。同时，企业做好危废间、沉淀池、化粪池、原料库、搅拌楼地面等硬化防渗工作，</w:t>
            </w:r>
            <w:r>
              <w:rPr>
                <w:rFonts w:eastAsia="新宋体" w:cs="Times New Roman"/>
              </w:rPr>
              <w:t>经采取上述措施处理后，本项目对水环境影响较小。</w:t>
            </w: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tc>
      </w:tr>
    </w:tbl>
    <w:p>
      <w:pPr>
        <w:pStyle w:val="2"/>
        <w:ind w:left="0" w:leftChars="0" w:firstLine="0" w:firstLineChars="0"/>
      </w:pPr>
    </w:p>
    <w:p>
      <w:pPr>
        <w:sectPr>
          <w:pgSz w:w="11906" w:h="16838"/>
          <w:pgMar w:top="1418" w:right="1247" w:bottom="1418" w:left="1247" w:header="851" w:footer="454" w:gutter="0"/>
          <w:cols w:space="425" w:num="1"/>
          <w:docGrid w:linePitch="312" w:charSpace="0"/>
        </w:sect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7"/>
        <w:gridCol w:w="1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1" w:hRule="atLeast"/>
        </w:trPr>
        <w:tc>
          <w:tcPr>
            <w:tcW w:w="163" w:type="pct"/>
            <w:shd w:val="clear" w:color="auto" w:fill="auto"/>
            <w:vAlign w:val="center"/>
          </w:tcPr>
          <w:p>
            <w:pPr>
              <w:pStyle w:val="68"/>
              <w:spacing w:before="24" w:after="24"/>
              <w:rPr>
                <w:sz w:val="24"/>
                <w:szCs w:val="24"/>
              </w:rPr>
            </w:pPr>
            <w:r>
              <w:rPr>
                <w:sz w:val="24"/>
                <w:szCs w:val="24"/>
              </w:rPr>
              <w:t>运营期环境影</w:t>
            </w:r>
            <w:r>
              <w:rPr>
                <w:rFonts w:hint="eastAsia"/>
                <w:sz w:val="24"/>
                <w:szCs w:val="24"/>
              </w:rPr>
              <w:t>响和保护措施</w:t>
            </w:r>
          </w:p>
        </w:tc>
        <w:tc>
          <w:tcPr>
            <w:tcW w:w="4837" w:type="pct"/>
            <w:shd w:val="clear" w:color="auto" w:fill="auto"/>
            <w:vAlign w:val="center"/>
          </w:tcPr>
          <w:p>
            <w:pPr>
              <w:keepNext/>
              <w:spacing w:line="360" w:lineRule="auto"/>
              <w:ind w:firstLine="482"/>
              <w:jc w:val="left"/>
              <w:rPr>
                <w:rFonts w:eastAsia="新宋体" w:cs="Times New Roman"/>
                <w:b/>
                <w:bCs/>
              </w:rPr>
            </w:pPr>
            <w:r>
              <w:rPr>
                <w:rFonts w:hint="eastAsia" w:eastAsia="新宋体" w:cs="Times New Roman"/>
                <w:b/>
                <w:bCs/>
              </w:rPr>
              <w:t>三、噪声</w:t>
            </w:r>
          </w:p>
          <w:p>
            <w:pPr>
              <w:pStyle w:val="69"/>
              <w:ind w:left="48" w:right="48"/>
              <w:rPr>
                <w:lang w:eastAsia="zh-CN"/>
              </w:rPr>
            </w:pPr>
            <w:r>
              <w:rPr>
                <w:rFonts w:hint="eastAsia"/>
                <w:lang w:eastAsia="zh-CN"/>
              </w:rPr>
              <w:t>（一）噪声源及治理措施</w:t>
            </w:r>
          </w:p>
          <w:p>
            <w:pPr>
              <w:pStyle w:val="69"/>
              <w:ind w:left="48" w:right="48"/>
              <w:rPr>
                <w:lang w:eastAsia="zh-CN"/>
              </w:rPr>
            </w:pPr>
            <w:r>
              <w:rPr>
                <w:rFonts w:hint="eastAsia"/>
                <w:lang w:eastAsia="zh-CN"/>
              </w:rPr>
              <w:t>根据项目工程分析，项目噪声源主要为主要为混凝土搅拌、原料卸料、上料、输送、环保风机、运输车辆等产生的噪声，声压级约在7</w:t>
            </w:r>
            <w:r>
              <w:rPr>
                <w:lang w:eastAsia="zh-CN"/>
              </w:rPr>
              <w:t>0</w:t>
            </w:r>
            <w:r>
              <w:rPr>
                <w:rFonts w:hint="eastAsia"/>
                <w:lang w:eastAsia="zh-CN"/>
              </w:rPr>
              <w:t>~90dB（A）之间。项目建设过程中通过选用低噪声设备、基础减振、隔声、加装隔声罩、消声器等措施降低噪声对周围环境的影响。</w:t>
            </w:r>
          </w:p>
          <w:p>
            <w:pPr>
              <w:pStyle w:val="69"/>
              <w:ind w:left="48" w:right="48"/>
              <w:rPr>
                <w:lang w:eastAsia="zh-CN"/>
              </w:rPr>
            </w:pPr>
            <w:r>
              <w:rPr>
                <w:rFonts w:hint="eastAsia"/>
                <w:lang w:eastAsia="zh-CN"/>
              </w:rPr>
              <w:t>噪声污染源调查</w:t>
            </w:r>
            <w:r>
              <w:rPr>
                <w:lang w:eastAsia="zh-CN"/>
              </w:rPr>
              <w:t>及治理</w:t>
            </w:r>
            <w:r>
              <w:rPr>
                <w:rFonts w:hint="eastAsia"/>
                <w:lang w:eastAsia="zh-CN"/>
              </w:rPr>
              <w:t>措施</w:t>
            </w:r>
            <w:r>
              <w:rPr>
                <w:lang w:eastAsia="zh-CN"/>
              </w:rPr>
              <w:t>信息</w:t>
            </w:r>
            <w:r>
              <w:rPr>
                <w:rFonts w:hint="eastAsia"/>
                <w:lang w:eastAsia="zh-CN"/>
              </w:rPr>
              <w:t>情况见</w:t>
            </w:r>
            <w:r>
              <w:fldChar w:fldCharType="begin"/>
            </w:r>
            <w:r>
              <w:rPr>
                <w:lang w:eastAsia="zh-CN"/>
              </w:rPr>
              <w:instrText xml:space="preserve"> </w:instrText>
            </w:r>
            <w:r>
              <w:rPr>
                <w:rFonts w:hint="eastAsia"/>
                <w:lang w:eastAsia="zh-CN"/>
              </w:rPr>
              <w:instrText xml:space="preserve">REF _Ref154769367 \h</w:instrText>
            </w:r>
            <w:r>
              <w:rPr>
                <w:lang w:eastAsia="zh-CN"/>
              </w:rPr>
              <w:instrText xml:space="preserve">  \* MERGEFORMAT </w:instrText>
            </w:r>
            <w:r>
              <w:fldChar w:fldCharType="separate"/>
            </w:r>
            <w:r>
              <w:rPr>
                <w:rFonts w:ascii="宋体" w:hAnsi="宋体"/>
                <w:bCs/>
                <w:snapToGrid w:val="0"/>
                <w:color w:val="000000"/>
                <w:kern w:val="2"/>
                <w:szCs w:val="21"/>
                <w:lang w:eastAsia="zh-CN"/>
              </w:rPr>
              <w:t>表24</w:t>
            </w:r>
            <w:r>
              <w:fldChar w:fldCharType="end"/>
            </w:r>
            <w:r>
              <w:rPr>
                <w:lang w:eastAsia="zh-CN"/>
              </w:rPr>
              <w:t>~</w:t>
            </w:r>
            <w:r>
              <w:fldChar w:fldCharType="begin"/>
            </w:r>
            <w:r>
              <w:rPr>
                <w:lang w:eastAsia="zh-CN"/>
              </w:rPr>
              <w:instrText xml:space="preserve"> </w:instrText>
            </w:r>
            <w:r>
              <w:rPr>
                <w:rFonts w:hint="eastAsia"/>
                <w:lang w:eastAsia="zh-CN"/>
              </w:rPr>
              <w:instrText xml:space="preserve">REF _Ref154821968 \h</w:instrText>
            </w:r>
            <w:r>
              <w:rPr>
                <w:lang w:eastAsia="zh-CN"/>
              </w:rPr>
              <w:instrText xml:space="preserve">  \* MERGEFORMAT </w:instrText>
            </w:r>
            <w:r>
              <w:fldChar w:fldCharType="separate"/>
            </w:r>
            <w:r>
              <w:rPr>
                <w:lang w:eastAsia="zh-CN"/>
              </w:rPr>
              <w:t>表25</w:t>
            </w:r>
            <w:r>
              <w:fldChar w:fldCharType="end"/>
            </w:r>
            <w:r>
              <w:rPr>
                <w:rFonts w:hint="eastAsia"/>
                <w:lang w:eastAsia="zh-CN"/>
              </w:rPr>
              <w:t>。空间相对位置以厂界西南角为0点（1</w:t>
            </w:r>
            <w:r>
              <w:rPr>
                <w:lang w:eastAsia="zh-CN"/>
              </w:rPr>
              <w:t>17.5424E</w:t>
            </w:r>
            <w:r>
              <w:rPr>
                <w:rFonts w:hint="eastAsia"/>
                <w:lang w:eastAsia="zh-CN"/>
              </w:rPr>
              <w:t>，3</w:t>
            </w:r>
            <w:r>
              <w:rPr>
                <w:lang w:eastAsia="zh-CN"/>
              </w:rPr>
              <w:t>5.0743N</w:t>
            </w:r>
            <w:r>
              <w:rPr>
                <w:rFonts w:hint="eastAsia"/>
                <w:lang w:eastAsia="zh-CN"/>
              </w:rPr>
              <w:t>，高程1</w:t>
            </w:r>
            <w:r>
              <w:rPr>
                <w:lang w:eastAsia="zh-CN"/>
              </w:rPr>
              <w:t>79.7</w:t>
            </w:r>
            <w:r>
              <w:rPr>
                <w:rFonts w:hint="eastAsia"/>
                <w:lang w:eastAsia="zh-CN"/>
              </w:rPr>
              <w:t>米），东西向为X坐标轴、南北向为Y坐标轴，XYZ为设备相对0点位置。</w:t>
            </w:r>
          </w:p>
          <w:p>
            <w:pPr>
              <w:keepNext/>
              <w:widowControl/>
              <w:tabs>
                <w:tab w:val="right" w:pos="13920"/>
              </w:tabs>
              <w:spacing w:line="245" w:lineRule="auto"/>
              <w:jc w:val="center"/>
              <w:rPr>
                <w:rFonts w:ascii="宋体" w:hAnsi="宋体" w:cs="Times New Roman"/>
                <w:bCs/>
                <w:snapToGrid w:val="0"/>
                <w:color w:val="000000"/>
                <w:kern w:val="2"/>
                <w:szCs w:val="21"/>
              </w:rPr>
            </w:pPr>
            <w:bookmarkStart w:id="32" w:name="_Ref154769367"/>
            <w:r>
              <w:rPr>
                <w:rFonts w:ascii="宋体" w:hAnsi="宋体" w:cs="Times New Roman"/>
                <w:bCs/>
                <w:snapToGrid w:val="0"/>
                <w:color w:val="000000"/>
                <w:kern w:val="2"/>
                <w:szCs w:val="21"/>
              </w:rPr>
              <w:t>表</w:t>
            </w:r>
            <w:r>
              <w:rPr>
                <w:rFonts w:ascii="宋体" w:hAnsi="宋体" w:cs="Times New Roman"/>
                <w:bCs/>
                <w:snapToGrid w:val="0"/>
                <w:color w:val="000000"/>
                <w:kern w:val="2"/>
                <w:szCs w:val="21"/>
              </w:rPr>
              <w:fldChar w:fldCharType="begin"/>
            </w:r>
            <w:r>
              <w:rPr>
                <w:rFonts w:ascii="宋体" w:hAnsi="宋体" w:cs="Times New Roman"/>
                <w:bCs/>
                <w:snapToGrid w:val="0"/>
                <w:color w:val="000000"/>
                <w:kern w:val="2"/>
                <w:szCs w:val="21"/>
              </w:rPr>
              <w:instrText xml:space="preserve"> </w:instrText>
            </w:r>
            <w:r>
              <w:rPr>
                <w:rFonts w:hint="eastAsia" w:ascii="宋体" w:hAnsi="宋体" w:cs="Times New Roman"/>
                <w:bCs/>
                <w:snapToGrid w:val="0"/>
                <w:color w:val="000000"/>
                <w:kern w:val="2"/>
                <w:szCs w:val="21"/>
              </w:rPr>
              <w:instrText xml:space="preserve">SEQ 表格 \* ARABIC</w:instrText>
            </w:r>
            <w:r>
              <w:rPr>
                <w:rFonts w:ascii="宋体" w:hAnsi="宋体" w:cs="Times New Roman"/>
                <w:bCs/>
                <w:snapToGrid w:val="0"/>
                <w:color w:val="000000"/>
                <w:kern w:val="2"/>
                <w:szCs w:val="21"/>
              </w:rPr>
              <w:instrText xml:space="preserve"> </w:instrText>
            </w:r>
            <w:r>
              <w:rPr>
                <w:rFonts w:ascii="宋体" w:hAnsi="宋体" w:cs="Times New Roman"/>
                <w:bCs/>
                <w:snapToGrid w:val="0"/>
                <w:color w:val="000000"/>
                <w:kern w:val="2"/>
                <w:szCs w:val="21"/>
              </w:rPr>
              <w:fldChar w:fldCharType="separate"/>
            </w:r>
            <w:r>
              <w:rPr>
                <w:rFonts w:ascii="宋体" w:hAnsi="宋体" w:cs="Times New Roman"/>
                <w:bCs/>
                <w:snapToGrid w:val="0"/>
                <w:color w:val="000000"/>
                <w:kern w:val="2"/>
                <w:szCs w:val="21"/>
              </w:rPr>
              <w:t>24</w:t>
            </w:r>
            <w:r>
              <w:rPr>
                <w:rFonts w:ascii="宋体" w:hAnsi="宋体" w:cs="Times New Roman"/>
                <w:bCs/>
                <w:snapToGrid w:val="0"/>
                <w:color w:val="000000"/>
                <w:kern w:val="2"/>
                <w:szCs w:val="21"/>
              </w:rPr>
              <w:fldChar w:fldCharType="end"/>
            </w:r>
            <w:bookmarkEnd w:id="32"/>
            <w:r>
              <w:rPr>
                <w:rFonts w:hint="eastAsia" w:ascii="宋体" w:hAnsi="宋体" w:cs="Times New Roman"/>
                <w:bCs/>
                <w:snapToGrid w:val="0"/>
                <w:color w:val="000000"/>
                <w:kern w:val="2"/>
                <w:szCs w:val="21"/>
              </w:rPr>
              <w:t>噪声污染源调查</w:t>
            </w:r>
            <w:r>
              <w:rPr>
                <w:rFonts w:ascii="宋体" w:hAnsi="宋体" w:cs="Times New Roman"/>
                <w:bCs/>
                <w:snapToGrid w:val="0"/>
                <w:color w:val="000000"/>
                <w:kern w:val="2"/>
                <w:szCs w:val="21"/>
              </w:rPr>
              <w:t>及治理</w:t>
            </w:r>
            <w:r>
              <w:rPr>
                <w:rFonts w:hint="eastAsia" w:ascii="宋体" w:hAnsi="宋体" w:cs="Times New Roman"/>
                <w:bCs/>
                <w:snapToGrid w:val="0"/>
                <w:color w:val="000000"/>
                <w:kern w:val="2"/>
                <w:szCs w:val="21"/>
              </w:rPr>
              <w:t>措施</w:t>
            </w:r>
            <w:r>
              <w:rPr>
                <w:rFonts w:ascii="宋体" w:hAnsi="宋体" w:cs="Times New Roman"/>
                <w:bCs/>
                <w:snapToGrid w:val="0"/>
                <w:color w:val="000000"/>
                <w:kern w:val="2"/>
                <w:szCs w:val="21"/>
              </w:rPr>
              <w:t>信息表</w:t>
            </w:r>
            <w:r>
              <w:rPr>
                <w:rFonts w:hint="eastAsia" w:ascii="宋体" w:hAnsi="宋体" w:cs="Times New Roman"/>
                <w:bCs/>
                <w:snapToGrid w:val="0"/>
                <w:color w:val="000000"/>
                <w:kern w:val="2"/>
                <w:szCs w:val="21"/>
              </w:rPr>
              <w:t>（室内声源）</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1" w:type="dxa"/>
                <w:bottom w:w="0" w:type="dxa"/>
                <w:right w:w="11" w:type="dxa"/>
              </w:tblCellMar>
            </w:tblPr>
            <w:tblGrid>
              <w:gridCol w:w="656"/>
              <w:gridCol w:w="683"/>
              <w:gridCol w:w="618"/>
              <w:gridCol w:w="704"/>
              <w:gridCol w:w="569"/>
              <w:gridCol w:w="566"/>
              <w:gridCol w:w="439"/>
              <w:gridCol w:w="561"/>
              <w:gridCol w:w="561"/>
              <w:gridCol w:w="561"/>
              <w:gridCol w:w="566"/>
              <w:gridCol w:w="561"/>
              <w:gridCol w:w="563"/>
              <w:gridCol w:w="563"/>
              <w:gridCol w:w="572"/>
              <w:gridCol w:w="561"/>
              <w:gridCol w:w="517"/>
              <w:gridCol w:w="517"/>
              <w:gridCol w:w="528"/>
              <w:gridCol w:w="618"/>
              <w:gridCol w:w="517"/>
              <w:gridCol w:w="517"/>
              <w:gridCol w:w="517"/>
              <w:gridCol w:w="5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242" w:type="pct"/>
                  <w:vMerge w:val="restart"/>
                  <w:vAlign w:val="center"/>
                </w:tcPr>
                <w:p>
                  <w:pPr>
                    <w:pStyle w:val="68"/>
                    <w:spacing w:before="24" w:after="24"/>
                  </w:pPr>
                  <w:r>
                    <w:t>建筑物名称</w:t>
                  </w:r>
                </w:p>
              </w:tc>
              <w:tc>
                <w:tcPr>
                  <w:tcW w:w="252" w:type="pct"/>
                  <w:vMerge w:val="restart"/>
                  <w:vAlign w:val="center"/>
                </w:tcPr>
                <w:p>
                  <w:pPr>
                    <w:pStyle w:val="68"/>
                    <w:spacing w:before="24" w:after="24"/>
                  </w:pPr>
                  <w:r>
                    <w:t>声源</w:t>
                  </w:r>
                </w:p>
                <w:p>
                  <w:pPr>
                    <w:pStyle w:val="68"/>
                    <w:spacing w:before="24" w:after="24"/>
                  </w:pPr>
                  <w:r>
                    <w:t>名称</w:t>
                  </w:r>
                </w:p>
              </w:tc>
              <w:tc>
                <w:tcPr>
                  <w:tcW w:w="228" w:type="pct"/>
                  <w:vMerge w:val="restart"/>
                  <w:vAlign w:val="center"/>
                </w:tcPr>
                <w:p>
                  <w:pPr>
                    <w:pStyle w:val="68"/>
                    <w:spacing w:before="24" w:after="24"/>
                  </w:pPr>
                  <w:r>
                    <w:t>声功率级/dB(A)</w:t>
                  </w:r>
                </w:p>
              </w:tc>
              <w:tc>
                <w:tcPr>
                  <w:tcW w:w="260" w:type="pct"/>
                  <w:vMerge w:val="restart"/>
                  <w:vAlign w:val="center"/>
                </w:tcPr>
                <w:p>
                  <w:pPr>
                    <w:pStyle w:val="68"/>
                    <w:spacing w:before="24" w:after="24"/>
                  </w:pPr>
                  <w:r>
                    <w:t>声源控制措施</w:t>
                  </w:r>
                </w:p>
              </w:tc>
              <w:tc>
                <w:tcPr>
                  <w:tcW w:w="581" w:type="pct"/>
                  <w:gridSpan w:val="3"/>
                  <w:vAlign w:val="center"/>
                </w:tcPr>
                <w:p>
                  <w:pPr>
                    <w:pStyle w:val="68"/>
                    <w:spacing w:before="24" w:after="24"/>
                  </w:pPr>
                  <w:r>
                    <w:t>空间相对位置/m</w:t>
                  </w:r>
                </w:p>
              </w:tc>
              <w:tc>
                <w:tcPr>
                  <w:tcW w:w="830" w:type="pct"/>
                  <w:gridSpan w:val="4"/>
                  <w:vAlign w:val="center"/>
                </w:tcPr>
                <w:p>
                  <w:pPr>
                    <w:pStyle w:val="68"/>
                    <w:spacing w:before="24" w:after="24"/>
                  </w:pPr>
                  <w:r>
                    <w:t>室内靠近围护结构处距离/m</w:t>
                  </w:r>
                </w:p>
              </w:tc>
              <w:tc>
                <w:tcPr>
                  <w:tcW w:w="834" w:type="pct"/>
                  <w:gridSpan w:val="4"/>
                  <w:vAlign w:val="center"/>
                </w:tcPr>
                <w:p>
                  <w:pPr>
                    <w:pStyle w:val="68"/>
                    <w:spacing w:before="24" w:after="24"/>
                  </w:pPr>
                  <w:r>
                    <w:t>室内靠近围护结构处声压级/dB(A</w:t>
                  </w:r>
                </w:p>
              </w:tc>
              <w:tc>
                <w:tcPr>
                  <w:tcW w:w="784" w:type="pct"/>
                  <w:gridSpan w:val="4"/>
                  <w:vAlign w:val="center"/>
                </w:tcPr>
                <w:p>
                  <w:pPr>
                    <w:pStyle w:val="68"/>
                    <w:spacing w:before="24" w:after="24"/>
                  </w:pPr>
                  <w:r>
                    <w:t>室内靠近围护结构处叠加声压级/dB(A)</w:t>
                  </w:r>
                </w:p>
              </w:tc>
              <w:tc>
                <w:tcPr>
                  <w:tcW w:w="228" w:type="pct"/>
                  <w:vMerge w:val="restart"/>
                  <w:vAlign w:val="center"/>
                </w:tcPr>
                <w:p>
                  <w:pPr>
                    <w:pStyle w:val="68"/>
                    <w:spacing w:before="24" w:after="24"/>
                  </w:pPr>
                  <w:r>
                    <w:t>围护结构处隔声/dB(A)</w:t>
                  </w:r>
                </w:p>
              </w:tc>
              <w:tc>
                <w:tcPr>
                  <w:tcW w:w="761" w:type="pct"/>
                  <w:gridSpan w:val="4"/>
                  <w:vAlign w:val="center"/>
                </w:tcPr>
                <w:p>
                  <w:pPr>
                    <w:pStyle w:val="68"/>
                    <w:spacing w:before="24" w:after="24"/>
                  </w:pPr>
                  <w:r>
                    <w:t>室外围护结构处声压级/dB(A)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242" w:type="pct"/>
                  <w:vMerge w:val="continue"/>
                  <w:vAlign w:val="center"/>
                </w:tcPr>
                <w:p>
                  <w:pPr>
                    <w:pStyle w:val="68"/>
                    <w:spacing w:before="24" w:after="24"/>
                  </w:pPr>
                </w:p>
              </w:tc>
              <w:tc>
                <w:tcPr>
                  <w:tcW w:w="252" w:type="pct"/>
                  <w:vMerge w:val="continue"/>
                  <w:vAlign w:val="center"/>
                </w:tcPr>
                <w:p>
                  <w:pPr>
                    <w:pStyle w:val="68"/>
                    <w:spacing w:before="24" w:after="24"/>
                  </w:pPr>
                </w:p>
              </w:tc>
              <w:tc>
                <w:tcPr>
                  <w:tcW w:w="228" w:type="pct"/>
                  <w:vMerge w:val="continue"/>
                  <w:vAlign w:val="center"/>
                </w:tcPr>
                <w:p>
                  <w:pPr>
                    <w:pStyle w:val="68"/>
                    <w:spacing w:before="24" w:after="24"/>
                  </w:pPr>
                </w:p>
              </w:tc>
              <w:tc>
                <w:tcPr>
                  <w:tcW w:w="260" w:type="pct"/>
                  <w:vMerge w:val="continue"/>
                  <w:vAlign w:val="center"/>
                </w:tcPr>
                <w:p>
                  <w:pPr>
                    <w:pStyle w:val="68"/>
                    <w:spacing w:before="24" w:after="24"/>
                  </w:pPr>
                </w:p>
              </w:tc>
              <w:tc>
                <w:tcPr>
                  <w:tcW w:w="210" w:type="pct"/>
                  <w:vAlign w:val="center"/>
                </w:tcPr>
                <w:p>
                  <w:pPr>
                    <w:pStyle w:val="68"/>
                    <w:spacing w:before="24" w:after="24"/>
                  </w:pPr>
                  <w:r>
                    <w:t>X</w:t>
                  </w:r>
                </w:p>
              </w:tc>
              <w:tc>
                <w:tcPr>
                  <w:tcW w:w="209" w:type="pct"/>
                  <w:vAlign w:val="center"/>
                </w:tcPr>
                <w:p>
                  <w:pPr>
                    <w:pStyle w:val="68"/>
                    <w:spacing w:before="24" w:after="24"/>
                  </w:pPr>
                  <w:r>
                    <w:t>Y</w:t>
                  </w:r>
                </w:p>
              </w:tc>
              <w:tc>
                <w:tcPr>
                  <w:tcW w:w="162" w:type="pct"/>
                  <w:vAlign w:val="center"/>
                </w:tcPr>
                <w:p>
                  <w:pPr>
                    <w:pStyle w:val="68"/>
                    <w:spacing w:before="24" w:after="24"/>
                  </w:pPr>
                  <w:r>
                    <w:t>Z</w:t>
                  </w:r>
                </w:p>
              </w:tc>
              <w:tc>
                <w:tcPr>
                  <w:tcW w:w="207" w:type="pct"/>
                  <w:vAlign w:val="center"/>
                </w:tcPr>
                <w:p>
                  <w:pPr>
                    <w:pStyle w:val="68"/>
                    <w:spacing w:before="24" w:after="24"/>
                  </w:pPr>
                  <w:r>
                    <w:t>E</w:t>
                  </w:r>
                </w:p>
              </w:tc>
              <w:tc>
                <w:tcPr>
                  <w:tcW w:w="207" w:type="pct"/>
                  <w:vAlign w:val="center"/>
                </w:tcPr>
                <w:p>
                  <w:pPr>
                    <w:pStyle w:val="68"/>
                    <w:spacing w:before="24" w:after="24"/>
                  </w:pPr>
                  <w:r>
                    <w:t>S</w:t>
                  </w:r>
                </w:p>
              </w:tc>
              <w:tc>
                <w:tcPr>
                  <w:tcW w:w="207" w:type="pct"/>
                  <w:vAlign w:val="center"/>
                </w:tcPr>
                <w:p>
                  <w:pPr>
                    <w:pStyle w:val="68"/>
                    <w:spacing w:before="24" w:after="24"/>
                  </w:pPr>
                  <w:r>
                    <w:t>W</w:t>
                  </w:r>
                </w:p>
              </w:tc>
              <w:tc>
                <w:tcPr>
                  <w:tcW w:w="209" w:type="pct"/>
                  <w:vAlign w:val="center"/>
                </w:tcPr>
                <w:p>
                  <w:pPr>
                    <w:pStyle w:val="68"/>
                    <w:spacing w:before="24" w:after="24"/>
                  </w:pPr>
                  <w:r>
                    <w:t>N</w:t>
                  </w:r>
                </w:p>
              </w:tc>
              <w:tc>
                <w:tcPr>
                  <w:tcW w:w="207" w:type="pct"/>
                  <w:vAlign w:val="center"/>
                </w:tcPr>
                <w:p>
                  <w:pPr>
                    <w:pStyle w:val="68"/>
                    <w:spacing w:before="24" w:after="24"/>
                  </w:pPr>
                  <w:r>
                    <w:t>E</w:t>
                  </w:r>
                </w:p>
              </w:tc>
              <w:tc>
                <w:tcPr>
                  <w:tcW w:w="208" w:type="pct"/>
                  <w:vAlign w:val="center"/>
                </w:tcPr>
                <w:p>
                  <w:pPr>
                    <w:pStyle w:val="68"/>
                    <w:spacing w:before="24" w:after="24"/>
                  </w:pPr>
                  <w:r>
                    <w:t>S</w:t>
                  </w:r>
                </w:p>
              </w:tc>
              <w:tc>
                <w:tcPr>
                  <w:tcW w:w="208" w:type="pct"/>
                  <w:vAlign w:val="center"/>
                </w:tcPr>
                <w:p>
                  <w:pPr>
                    <w:pStyle w:val="68"/>
                    <w:spacing w:before="24" w:after="24"/>
                  </w:pPr>
                  <w:r>
                    <w:t>W</w:t>
                  </w:r>
                </w:p>
              </w:tc>
              <w:tc>
                <w:tcPr>
                  <w:tcW w:w="211" w:type="pct"/>
                  <w:vAlign w:val="center"/>
                </w:tcPr>
                <w:p>
                  <w:pPr>
                    <w:pStyle w:val="68"/>
                    <w:spacing w:before="24" w:after="24"/>
                  </w:pPr>
                  <w:r>
                    <w:t>N</w:t>
                  </w:r>
                </w:p>
              </w:tc>
              <w:tc>
                <w:tcPr>
                  <w:tcW w:w="207" w:type="pct"/>
                  <w:vAlign w:val="center"/>
                </w:tcPr>
                <w:p>
                  <w:pPr>
                    <w:pStyle w:val="68"/>
                    <w:spacing w:before="24" w:after="24"/>
                  </w:pPr>
                  <w:r>
                    <w:t>E</w:t>
                  </w:r>
                </w:p>
              </w:tc>
              <w:tc>
                <w:tcPr>
                  <w:tcW w:w="191" w:type="pct"/>
                  <w:vAlign w:val="center"/>
                </w:tcPr>
                <w:p>
                  <w:pPr>
                    <w:pStyle w:val="68"/>
                    <w:spacing w:before="24" w:after="24"/>
                  </w:pPr>
                  <w:r>
                    <w:t>S</w:t>
                  </w:r>
                </w:p>
              </w:tc>
              <w:tc>
                <w:tcPr>
                  <w:tcW w:w="191" w:type="pct"/>
                  <w:vAlign w:val="center"/>
                </w:tcPr>
                <w:p>
                  <w:pPr>
                    <w:pStyle w:val="68"/>
                    <w:spacing w:before="24" w:after="24"/>
                  </w:pPr>
                  <w:r>
                    <w:t>W</w:t>
                  </w:r>
                </w:p>
              </w:tc>
              <w:tc>
                <w:tcPr>
                  <w:tcW w:w="195" w:type="pct"/>
                  <w:vAlign w:val="center"/>
                </w:tcPr>
                <w:p>
                  <w:pPr>
                    <w:pStyle w:val="68"/>
                    <w:spacing w:before="24" w:after="24"/>
                  </w:pPr>
                  <w:r>
                    <w:t>N</w:t>
                  </w:r>
                </w:p>
              </w:tc>
              <w:tc>
                <w:tcPr>
                  <w:tcW w:w="228" w:type="pct"/>
                  <w:vMerge w:val="continue"/>
                  <w:vAlign w:val="center"/>
                </w:tcPr>
                <w:p>
                  <w:pPr>
                    <w:pStyle w:val="68"/>
                    <w:spacing w:before="24" w:after="24"/>
                  </w:pPr>
                </w:p>
              </w:tc>
              <w:tc>
                <w:tcPr>
                  <w:tcW w:w="191" w:type="pct"/>
                  <w:vAlign w:val="center"/>
                </w:tcPr>
                <w:p>
                  <w:pPr>
                    <w:pStyle w:val="68"/>
                    <w:spacing w:before="24" w:after="24"/>
                  </w:pPr>
                  <w:r>
                    <w:t>E</w:t>
                  </w:r>
                </w:p>
              </w:tc>
              <w:tc>
                <w:tcPr>
                  <w:tcW w:w="191" w:type="pct"/>
                  <w:vAlign w:val="center"/>
                </w:tcPr>
                <w:p>
                  <w:pPr>
                    <w:pStyle w:val="68"/>
                    <w:spacing w:before="24" w:after="24"/>
                  </w:pPr>
                  <w:r>
                    <w:t>S</w:t>
                  </w:r>
                </w:p>
              </w:tc>
              <w:tc>
                <w:tcPr>
                  <w:tcW w:w="191" w:type="pct"/>
                  <w:vAlign w:val="center"/>
                </w:tcPr>
                <w:p>
                  <w:pPr>
                    <w:pStyle w:val="68"/>
                    <w:spacing w:before="24" w:after="24"/>
                  </w:pPr>
                  <w:r>
                    <w:t>W</w:t>
                  </w:r>
                </w:p>
              </w:tc>
              <w:tc>
                <w:tcPr>
                  <w:tcW w:w="188" w:type="pct"/>
                  <w:vAlign w:val="center"/>
                </w:tcPr>
                <w:p>
                  <w:pPr>
                    <w:pStyle w:val="68"/>
                    <w:spacing w:before="24" w:after="24"/>
                  </w:pPr>
                  <w:r>
                    <w:t>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242" w:type="pct"/>
                  <w:vMerge w:val="restart"/>
                  <w:vAlign w:val="center"/>
                </w:tcPr>
                <w:p>
                  <w:pPr>
                    <w:pStyle w:val="68"/>
                    <w:spacing w:before="24" w:after="24"/>
                  </w:pPr>
                  <w:r>
                    <w:t>搅拌楼</w:t>
                  </w:r>
                </w:p>
              </w:tc>
              <w:tc>
                <w:tcPr>
                  <w:tcW w:w="252" w:type="pct"/>
                  <w:shd w:val="clear" w:color="auto" w:fill="auto"/>
                  <w:vAlign w:val="center"/>
                </w:tcPr>
                <w:p>
                  <w:pPr>
                    <w:pStyle w:val="68"/>
                    <w:spacing w:before="24" w:after="24"/>
                  </w:pPr>
                  <w:r>
                    <w:t>搅拌机1#</w:t>
                  </w:r>
                </w:p>
              </w:tc>
              <w:tc>
                <w:tcPr>
                  <w:tcW w:w="228" w:type="pct"/>
                  <w:vAlign w:val="center"/>
                </w:tcPr>
                <w:p>
                  <w:pPr>
                    <w:pStyle w:val="68"/>
                    <w:spacing w:before="24" w:after="24"/>
                  </w:pPr>
                  <w:r>
                    <w:t>90</w:t>
                  </w:r>
                </w:p>
              </w:tc>
              <w:tc>
                <w:tcPr>
                  <w:tcW w:w="260" w:type="pct"/>
                  <w:vMerge w:val="restart"/>
                  <w:vAlign w:val="center"/>
                </w:tcPr>
                <w:p>
                  <w:pPr>
                    <w:pStyle w:val="68"/>
                    <w:spacing w:before="24" w:after="24"/>
                  </w:pPr>
                  <w:r>
                    <w:t>选用低噪声设备，基础减振，隔声</w:t>
                  </w:r>
                </w:p>
              </w:tc>
              <w:tc>
                <w:tcPr>
                  <w:tcW w:w="210" w:type="pct"/>
                  <w:shd w:val="clear" w:color="auto" w:fill="auto"/>
                  <w:vAlign w:val="center"/>
                </w:tcPr>
                <w:p>
                  <w:pPr>
                    <w:pStyle w:val="68"/>
                    <w:spacing w:before="24" w:after="24"/>
                  </w:pPr>
                  <w:r>
                    <w:rPr>
                      <w:rFonts w:eastAsia="等线"/>
                      <w:sz w:val="22"/>
                      <w:szCs w:val="22"/>
                    </w:rPr>
                    <w:t>112.8</w:t>
                  </w:r>
                </w:p>
              </w:tc>
              <w:tc>
                <w:tcPr>
                  <w:tcW w:w="209" w:type="pct"/>
                  <w:shd w:val="clear" w:color="auto" w:fill="auto"/>
                  <w:vAlign w:val="center"/>
                </w:tcPr>
                <w:p>
                  <w:pPr>
                    <w:pStyle w:val="68"/>
                    <w:spacing w:before="24" w:after="24"/>
                  </w:pPr>
                  <w:r>
                    <w:rPr>
                      <w:rFonts w:eastAsia="等线"/>
                      <w:sz w:val="22"/>
                      <w:szCs w:val="22"/>
                    </w:rPr>
                    <w:t>125.8</w:t>
                  </w:r>
                </w:p>
              </w:tc>
              <w:tc>
                <w:tcPr>
                  <w:tcW w:w="162" w:type="pct"/>
                  <w:vAlign w:val="center"/>
                </w:tcPr>
                <w:p>
                  <w:pPr>
                    <w:pStyle w:val="68"/>
                    <w:spacing w:before="24" w:after="24"/>
                  </w:pPr>
                  <w:r>
                    <w:t>6</w:t>
                  </w:r>
                </w:p>
              </w:tc>
              <w:tc>
                <w:tcPr>
                  <w:tcW w:w="207" w:type="pct"/>
                  <w:shd w:val="clear" w:color="auto" w:fill="auto"/>
                  <w:vAlign w:val="center"/>
                </w:tcPr>
                <w:p>
                  <w:pPr>
                    <w:pStyle w:val="68"/>
                    <w:spacing w:before="24" w:after="24"/>
                  </w:pPr>
                  <w:r>
                    <w:rPr>
                      <w:rFonts w:eastAsia="等线"/>
                      <w:sz w:val="22"/>
                      <w:szCs w:val="22"/>
                    </w:rPr>
                    <w:t>8.8</w:t>
                  </w:r>
                </w:p>
              </w:tc>
              <w:tc>
                <w:tcPr>
                  <w:tcW w:w="207" w:type="pct"/>
                  <w:shd w:val="clear" w:color="auto" w:fill="auto"/>
                  <w:vAlign w:val="center"/>
                </w:tcPr>
                <w:p>
                  <w:pPr>
                    <w:pStyle w:val="68"/>
                    <w:spacing w:before="24" w:after="24"/>
                  </w:pPr>
                  <w:r>
                    <w:rPr>
                      <w:rFonts w:eastAsia="等线"/>
                      <w:sz w:val="22"/>
                      <w:szCs w:val="22"/>
                    </w:rPr>
                    <w:t>4.1</w:t>
                  </w:r>
                </w:p>
              </w:tc>
              <w:tc>
                <w:tcPr>
                  <w:tcW w:w="207" w:type="pct"/>
                  <w:shd w:val="clear" w:color="auto" w:fill="auto"/>
                  <w:vAlign w:val="center"/>
                </w:tcPr>
                <w:p>
                  <w:pPr>
                    <w:pStyle w:val="68"/>
                    <w:spacing w:before="24" w:after="24"/>
                  </w:pPr>
                  <w:r>
                    <w:rPr>
                      <w:rFonts w:eastAsia="等线"/>
                      <w:sz w:val="22"/>
                      <w:szCs w:val="22"/>
                    </w:rPr>
                    <w:t>2.2</w:t>
                  </w:r>
                </w:p>
              </w:tc>
              <w:tc>
                <w:tcPr>
                  <w:tcW w:w="209" w:type="pct"/>
                  <w:shd w:val="clear" w:color="auto" w:fill="auto"/>
                  <w:vAlign w:val="center"/>
                </w:tcPr>
                <w:p>
                  <w:pPr>
                    <w:pStyle w:val="68"/>
                    <w:spacing w:before="24" w:after="24"/>
                  </w:pPr>
                  <w:r>
                    <w:rPr>
                      <w:rFonts w:eastAsia="等线"/>
                      <w:sz w:val="22"/>
                      <w:szCs w:val="22"/>
                    </w:rPr>
                    <w:t>3.8</w:t>
                  </w:r>
                </w:p>
              </w:tc>
              <w:tc>
                <w:tcPr>
                  <w:tcW w:w="207" w:type="pct"/>
                  <w:shd w:val="clear" w:color="auto" w:fill="auto"/>
                  <w:vAlign w:val="center"/>
                </w:tcPr>
                <w:p>
                  <w:pPr>
                    <w:pStyle w:val="68"/>
                    <w:spacing w:before="24" w:after="24"/>
                  </w:pPr>
                  <w:r>
                    <w:rPr>
                      <w:rFonts w:eastAsia="等线"/>
                      <w:sz w:val="22"/>
                      <w:szCs w:val="22"/>
                    </w:rPr>
                    <w:t>87.19</w:t>
                  </w:r>
                </w:p>
              </w:tc>
              <w:tc>
                <w:tcPr>
                  <w:tcW w:w="208" w:type="pct"/>
                  <w:shd w:val="clear" w:color="auto" w:fill="auto"/>
                  <w:vAlign w:val="center"/>
                </w:tcPr>
                <w:p>
                  <w:pPr>
                    <w:pStyle w:val="68"/>
                    <w:spacing w:before="24" w:after="24"/>
                  </w:pPr>
                  <w:r>
                    <w:rPr>
                      <w:rFonts w:eastAsia="等线"/>
                      <w:sz w:val="22"/>
                      <w:szCs w:val="22"/>
                    </w:rPr>
                    <w:t>87.22</w:t>
                  </w:r>
                </w:p>
              </w:tc>
              <w:tc>
                <w:tcPr>
                  <w:tcW w:w="208" w:type="pct"/>
                  <w:shd w:val="clear" w:color="auto" w:fill="auto"/>
                  <w:vAlign w:val="center"/>
                </w:tcPr>
                <w:p>
                  <w:pPr>
                    <w:pStyle w:val="68"/>
                    <w:spacing w:before="24" w:after="24"/>
                  </w:pPr>
                  <w:r>
                    <w:rPr>
                      <w:rFonts w:eastAsia="等线"/>
                      <w:sz w:val="22"/>
                      <w:szCs w:val="22"/>
                    </w:rPr>
                    <w:t>87.31</w:t>
                  </w:r>
                </w:p>
              </w:tc>
              <w:tc>
                <w:tcPr>
                  <w:tcW w:w="211" w:type="pct"/>
                  <w:shd w:val="clear" w:color="auto" w:fill="auto"/>
                  <w:vAlign w:val="center"/>
                </w:tcPr>
                <w:p>
                  <w:pPr>
                    <w:pStyle w:val="68"/>
                    <w:spacing w:before="24" w:after="24"/>
                  </w:pPr>
                  <w:r>
                    <w:rPr>
                      <w:rFonts w:eastAsia="等线"/>
                      <w:sz w:val="22"/>
                      <w:szCs w:val="22"/>
                    </w:rPr>
                    <w:t>87.22</w:t>
                  </w:r>
                </w:p>
              </w:tc>
              <w:tc>
                <w:tcPr>
                  <w:tcW w:w="207" w:type="pct"/>
                  <w:vMerge w:val="restart"/>
                  <w:vAlign w:val="center"/>
                </w:tcPr>
                <w:p>
                  <w:pPr>
                    <w:pStyle w:val="68"/>
                    <w:spacing w:before="24" w:after="24"/>
                  </w:pPr>
                  <w:r>
                    <w:rPr>
                      <w:rFonts w:eastAsia="等线"/>
                      <w:sz w:val="22"/>
                      <w:szCs w:val="22"/>
                    </w:rPr>
                    <w:t>92.04</w:t>
                  </w:r>
                </w:p>
              </w:tc>
              <w:tc>
                <w:tcPr>
                  <w:tcW w:w="191" w:type="pct"/>
                  <w:vMerge w:val="restart"/>
                  <w:vAlign w:val="center"/>
                </w:tcPr>
                <w:p>
                  <w:pPr>
                    <w:pStyle w:val="68"/>
                    <w:spacing w:before="24" w:after="24"/>
                  </w:pPr>
                  <w:r>
                    <w:t>91.99</w:t>
                  </w:r>
                </w:p>
              </w:tc>
              <w:tc>
                <w:tcPr>
                  <w:tcW w:w="191" w:type="pct"/>
                  <w:vMerge w:val="restart"/>
                  <w:vAlign w:val="center"/>
                </w:tcPr>
                <w:p>
                  <w:pPr>
                    <w:pStyle w:val="68"/>
                    <w:spacing w:before="24" w:after="24"/>
                  </w:pPr>
                  <w:r>
                    <w:t>92.0</w:t>
                  </w:r>
                </w:p>
              </w:tc>
              <w:tc>
                <w:tcPr>
                  <w:tcW w:w="195" w:type="pct"/>
                  <w:vMerge w:val="restart"/>
                  <w:vAlign w:val="center"/>
                </w:tcPr>
                <w:p>
                  <w:pPr>
                    <w:pStyle w:val="68"/>
                    <w:spacing w:before="24" w:after="24"/>
                  </w:pPr>
                  <w:r>
                    <w:t>92.03</w:t>
                  </w:r>
                </w:p>
              </w:tc>
              <w:tc>
                <w:tcPr>
                  <w:tcW w:w="228" w:type="pct"/>
                  <w:vMerge w:val="restart"/>
                  <w:vAlign w:val="center"/>
                </w:tcPr>
                <w:p>
                  <w:pPr>
                    <w:pStyle w:val="68"/>
                    <w:spacing w:before="24" w:after="24"/>
                  </w:pPr>
                  <w:r>
                    <w:t>15</w:t>
                  </w:r>
                </w:p>
              </w:tc>
              <w:tc>
                <w:tcPr>
                  <w:tcW w:w="191" w:type="pct"/>
                  <w:vMerge w:val="restart"/>
                  <w:shd w:val="clear" w:color="auto" w:fill="auto"/>
                  <w:vAlign w:val="center"/>
                </w:tcPr>
                <w:p>
                  <w:pPr>
                    <w:pStyle w:val="68"/>
                    <w:spacing w:before="24" w:after="24"/>
                  </w:pPr>
                  <w:r>
                    <w:t>77.04</w:t>
                  </w:r>
                </w:p>
              </w:tc>
              <w:tc>
                <w:tcPr>
                  <w:tcW w:w="191" w:type="pct"/>
                  <w:vMerge w:val="restart"/>
                  <w:shd w:val="clear" w:color="auto" w:fill="auto"/>
                  <w:vAlign w:val="center"/>
                </w:tcPr>
                <w:p>
                  <w:pPr>
                    <w:pStyle w:val="68"/>
                    <w:spacing w:before="24" w:after="24"/>
                  </w:pPr>
                  <w:r>
                    <w:t>76.99</w:t>
                  </w:r>
                </w:p>
              </w:tc>
              <w:tc>
                <w:tcPr>
                  <w:tcW w:w="191" w:type="pct"/>
                  <w:vMerge w:val="restart"/>
                  <w:shd w:val="clear" w:color="auto" w:fill="auto"/>
                  <w:vAlign w:val="center"/>
                </w:tcPr>
                <w:p>
                  <w:pPr>
                    <w:pStyle w:val="68"/>
                    <w:spacing w:before="24" w:after="24"/>
                  </w:pPr>
                  <w:r>
                    <w:t>77</w:t>
                  </w:r>
                </w:p>
              </w:tc>
              <w:tc>
                <w:tcPr>
                  <w:tcW w:w="188" w:type="pct"/>
                  <w:vMerge w:val="restart"/>
                  <w:shd w:val="clear" w:color="auto" w:fill="auto"/>
                  <w:vAlign w:val="center"/>
                </w:tcPr>
                <w:p>
                  <w:pPr>
                    <w:pStyle w:val="68"/>
                    <w:spacing w:before="24" w:after="24"/>
                  </w:pPr>
                  <w:r>
                    <w:t>77.03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242" w:type="pct"/>
                  <w:vMerge w:val="continue"/>
                  <w:vAlign w:val="center"/>
                </w:tcPr>
                <w:p>
                  <w:pPr>
                    <w:pStyle w:val="68"/>
                    <w:spacing w:before="24" w:after="24"/>
                  </w:pPr>
                </w:p>
              </w:tc>
              <w:tc>
                <w:tcPr>
                  <w:tcW w:w="252" w:type="pct"/>
                  <w:shd w:val="clear" w:color="auto" w:fill="auto"/>
                  <w:vAlign w:val="center"/>
                </w:tcPr>
                <w:p>
                  <w:pPr>
                    <w:pStyle w:val="68"/>
                    <w:spacing w:before="24" w:after="24"/>
                  </w:pPr>
                  <w:r>
                    <w:t>搅拌机2#</w:t>
                  </w:r>
                </w:p>
              </w:tc>
              <w:tc>
                <w:tcPr>
                  <w:tcW w:w="228" w:type="pct"/>
                  <w:vAlign w:val="center"/>
                </w:tcPr>
                <w:p>
                  <w:pPr>
                    <w:pStyle w:val="68"/>
                    <w:spacing w:before="24" w:after="24"/>
                  </w:pPr>
                  <w:r>
                    <w:t>90</w:t>
                  </w:r>
                </w:p>
              </w:tc>
              <w:tc>
                <w:tcPr>
                  <w:tcW w:w="260" w:type="pct"/>
                  <w:vMerge w:val="continue"/>
                  <w:vAlign w:val="center"/>
                </w:tcPr>
                <w:p>
                  <w:pPr>
                    <w:pStyle w:val="68"/>
                    <w:spacing w:before="24" w:after="24"/>
                  </w:pPr>
                </w:p>
              </w:tc>
              <w:tc>
                <w:tcPr>
                  <w:tcW w:w="210" w:type="pct"/>
                  <w:shd w:val="clear" w:color="auto" w:fill="auto"/>
                  <w:vAlign w:val="center"/>
                </w:tcPr>
                <w:p>
                  <w:pPr>
                    <w:pStyle w:val="68"/>
                    <w:spacing w:before="24" w:after="24"/>
                    <w:rPr>
                      <w:rFonts w:eastAsia="等线"/>
                      <w:sz w:val="22"/>
                      <w:szCs w:val="22"/>
                    </w:rPr>
                  </w:pPr>
                  <w:r>
                    <w:rPr>
                      <w:rFonts w:eastAsia="等线"/>
                      <w:sz w:val="22"/>
                      <w:szCs w:val="22"/>
                    </w:rPr>
                    <w:t>118.5</w:t>
                  </w:r>
                </w:p>
              </w:tc>
              <w:tc>
                <w:tcPr>
                  <w:tcW w:w="209" w:type="pct"/>
                  <w:shd w:val="clear" w:color="auto" w:fill="auto"/>
                  <w:vAlign w:val="center"/>
                </w:tcPr>
                <w:p>
                  <w:pPr>
                    <w:pStyle w:val="68"/>
                    <w:spacing w:before="24" w:after="24"/>
                    <w:rPr>
                      <w:rFonts w:eastAsia="等线"/>
                      <w:sz w:val="22"/>
                      <w:szCs w:val="22"/>
                    </w:rPr>
                  </w:pPr>
                  <w:r>
                    <w:rPr>
                      <w:rFonts w:eastAsia="等线"/>
                      <w:sz w:val="22"/>
                      <w:szCs w:val="22"/>
                    </w:rPr>
                    <w:t>124.8</w:t>
                  </w:r>
                </w:p>
              </w:tc>
              <w:tc>
                <w:tcPr>
                  <w:tcW w:w="162" w:type="pct"/>
                  <w:vAlign w:val="center"/>
                </w:tcPr>
                <w:p>
                  <w:pPr>
                    <w:pStyle w:val="68"/>
                    <w:spacing w:before="24" w:after="24"/>
                  </w:pPr>
                  <w:r>
                    <w:t>6</w:t>
                  </w:r>
                </w:p>
              </w:tc>
              <w:tc>
                <w:tcPr>
                  <w:tcW w:w="207" w:type="pct"/>
                  <w:shd w:val="clear" w:color="auto" w:fill="auto"/>
                  <w:vAlign w:val="center"/>
                </w:tcPr>
                <w:p>
                  <w:pPr>
                    <w:pStyle w:val="68"/>
                    <w:spacing w:before="24" w:after="24"/>
                  </w:pPr>
                  <w:r>
                    <w:rPr>
                      <w:rFonts w:eastAsia="等线"/>
                      <w:sz w:val="22"/>
                      <w:szCs w:val="22"/>
                    </w:rPr>
                    <w:t>3.0</w:t>
                  </w:r>
                </w:p>
              </w:tc>
              <w:tc>
                <w:tcPr>
                  <w:tcW w:w="207" w:type="pct"/>
                  <w:shd w:val="clear" w:color="auto" w:fill="auto"/>
                  <w:vAlign w:val="center"/>
                </w:tcPr>
                <w:p>
                  <w:pPr>
                    <w:pStyle w:val="68"/>
                    <w:spacing w:before="24" w:after="24"/>
                  </w:pPr>
                  <w:r>
                    <w:rPr>
                      <w:rFonts w:eastAsia="等线"/>
                      <w:sz w:val="22"/>
                      <w:szCs w:val="22"/>
                    </w:rPr>
                    <w:t>3.1</w:t>
                  </w:r>
                </w:p>
              </w:tc>
              <w:tc>
                <w:tcPr>
                  <w:tcW w:w="207" w:type="pct"/>
                  <w:shd w:val="clear" w:color="auto" w:fill="auto"/>
                  <w:vAlign w:val="center"/>
                </w:tcPr>
                <w:p>
                  <w:pPr>
                    <w:pStyle w:val="68"/>
                    <w:spacing w:before="24" w:after="24"/>
                  </w:pPr>
                  <w:r>
                    <w:rPr>
                      <w:rFonts w:eastAsia="等线"/>
                      <w:sz w:val="22"/>
                      <w:szCs w:val="22"/>
                    </w:rPr>
                    <w:t>8.0</w:t>
                  </w:r>
                </w:p>
              </w:tc>
              <w:tc>
                <w:tcPr>
                  <w:tcW w:w="209" w:type="pct"/>
                  <w:shd w:val="clear" w:color="auto" w:fill="auto"/>
                  <w:vAlign w:val="center"/>
                </w:tcPr>
                <w:p>
                  <w:pPr>
                    <w:pStyle w:val="68"/>
                    <w:spacing w:before="24" w:after="24"/>
                  </w:pPr>
                  <w:r>
                    <w:rPr>
                      <w:rFonts w:eastAsia="等线"/>
                      <w:sz w:val="22"/>
                      <w:szCs w:val="22"/>
                    </w:rPr>
                    <w:t>4.8</w:t>
                  </w:r>
                </w:p>
              </w:tc>
              <w:tc>
                <w:tcPr>
                  <w:tcW w:w="207" w:type="pct"/>
                  <w:shd w:val="clear" w:color="auto" w:fill="auto"/>
                  <w:vAlign w:val="center"/>
                </w:tcPr>
                <w:p>
                  <w:pPr>
                    <w:pStyle w:val="68"/>
                    <w:spacing w:before="24" w:after="24"/>
                    <w:rPr>
                      <w:rFonts w:eastAsia="等线"/>
                      <w:sz w:val="22"/>
                      <w:szCs w:val="22"/>
                    </w:rPr>
                  </w:pPr>
                  <w:r>
                    <w:rPr>
                      <w:rFonts w:eastAsia="等线"/>
                      <w:sz w:val="22"/>
                      <w:szCs w:val="22"/>
                    </w:rPr>
                    <w:t>87.25</w:t>
                  </w:r>
                </w:p>
              </w:tc>
              <w:tc>
                <w:tcPr>
                  <w:tcW w:w="208" w:type="pct"/>
                  <w:shd w:val="clear" w:color="auto" w:fill="auto"/>
                  <w:vAlign w:val="center"/>
                </w:tcPr>
                <w:p>
                  <w:pPr>
                    <w:pStyle w:val="68"/>
                    <w:spacing w:before="24" w:after="24"/>
                    <w:rPr>
                      <w:rFonts w:eastAsia="等线"/>
                      <w:sz w:val="22"/>
                      <w:szCs w:val="22"/>
                    </w:rPr>
                  </w:pPr>
                  <w:r>
                    <w:rPr>
                      <w:rFonts w:eastAsia="等线"/>
                      <w:sz w:val="22"/>
                      <w:szCs w:val="22"/>
                    </w:rPr>
                    <w:t>87.25</w:t>
                  </w:r>
                </w:p>
              </w:tc>
              <w:tc>
                <w:tcPr>
                  <w:tcW w:w="208" w:type="pct"/>
                  <w:shd w:val="clear" w:color="auto" w:fill="auto"/>
                  <w:vAlign w:val="center"/>
                </w:tcPr>
                <w:p>
                  <w:pPr>
                    <w:pStyle w:val="68"/>
                    <w:spacing w:before="24" w:after="24"/>
                    <w:rPr>
                      <w:rFonts w:eastAsia="等线"/>
                      <w:sz w:val="22"/>
                      <w:szCs w:val="22"/>
                    </w:rPr>
                  </w:pPr>
                  <w:r>
                    <w:rPr>
                      <w:rFonts w:eastAsia="等线"/>
                      <w:sz w:val="22"/>
                      <w:szCs w:val="22"/>
                    </w:rPr>
                    <w:t>87.19</w:t>
                  </w:r>
                </w:p>
              </w:tc>
              <w:tc>
                <w:tcPr>
                  <w:tcW w:w="211" w:type="pct"/>
                  <w:shd w:val="clear" w:color="auto" w:fill="auto"/>
                  <w:vAlign w:val="center"/>
                </w:tcPr>
                <w:p>
                  <w:pPr>
                    <w:pStyle w:val="68"/>
                    <w:spacing w:before="24" w:after="24"/>
                    <w:rPr>
                      <w:rFonts w:eastAsia="等线"/>
                      <w:sz w:val="22"/>
                      <w:szCs w:val="22"/>
                    </w:rPr>
                  </w:pPr>
                  <w:r>
                    <w:rPr>
                      <w:rFonts w:eastAsia="等线"/>
                      <w:sz w:val="22"/>
                      <w:szCs w:val="22"/>
                    </w:rPr>
                    <w:t>87.21</w:t>
                  </w:r>
                </w:p>
              </w:tc>
              <w:tc>
                <w:tcPr>
                  <w:tcW w:w="207" w:type="pct"/>
                  <w:vMerge w:val="continue"/>
                  <w:vAlign w:val="center"/>
                </w:tcPr>
                <w:p>
                  <w:pPr>
                    <w:pStyle w:val="68"/>
                    <w:spacing w:before="24" w:after="24"/>
                    <w:rPr>
                      <w:rFonts w:eastAsia="等线"/>
                      <w:sz w:val="22"/>
                      <w:szCs w:val="22"/>
                    </w:rPr>
                  </w:pPr>
                </w:p>
              </w:tc>
              <w:tc>
                <w:tcPr>
                  <w:tcW w:w="191" w:type="pct"/>
                  <w:vMerge w:val="continue"/>
                  <w:vAlign w:val="center"/>
                </w:tcPr>
                <w:p>
                  <w:pPr>
                    <w:pStyle w:val="68"/>
                    <w:spacing w:before="24" w:after="24"/>
                    <w:rPr>
                      <w:rFonts w:eastAsia="等线"/>
                      <w:sz w:val="22"/>
                      <w:szCs w:val="22"/>
                    </w:rPr>
                  </w:pPr>
                </w:p>
              </w:tc>
              <w:tc>
                <w:tcPr>
                  <w:tcW w:w="191" w:type="pct"/>
                  <w:vMerge w:val="continue"/>
                  <w:vAlign w:val="center"/>
                </w:tcPr>
                <w:p>
                  <w:pPr>
                    <w:pStyle w:val="68"/>
                    <w:spacing w:before="24" w:after="24"/>
                    <w:rPr>
                      <w:rFonts w:eastAsia="等线"/>
                      <w:sz w:val="22"/>
                      <w:szCs w:val="22"/>
                    </w:rPr>
                  </w:pPr>
                </w:p>
              </w:tc>
              <w:tc>
                <w:tcPr>
                  <w:tcW w:w="195" w:type="pct"/>
                  <w:vMerge w:val="continue"/>
                  <w:vAlign w:val="center"/>
                </w:tcPr>
                <w:p>
                  <w:pPr>
                    <w:pStyle w:val="68"/>
                    <w:spacing w:before="24" w:after="24"/>
                    <w:rPr>
                      <w:rFonts w:eastAsia="等线"/>
                      <w:sz w:val="22"/>
                      <w:szCs w:val="22"/>
                    </w:rPr>
                  </w:pPr>
                </w:p>
              </w:tc>
              <w:tc>
                <w:tcPr>
                  <w:tcW w:w="228" w:type="pct"/>
                  <w:vMerge w:val="continue"/>
                  <w:vAlign w:val="center"/>
                </w:tcPr>
                <w:p>
                  <w:pPr>
                    <w:pStyle w:val="68"/>
                    <w:spacing w:before="24" w:after="24"/>
                  </w:pPr>
                </w:p>
              </w:tc>
              <w:tc>
                <w:tcPr>
                  <w:tcW w:w="191" w:type="pct"/>
                  <w:vMerge w:val="continue"/>
                  <w:shd w:val="clear" w:color="auto" w:fill="auto"/>
                  <w:vAlign w:val="center"/>
                </w:tcPr>
                <w:p>
                  <w:pPr>
                    <w:pStyle w:val="68"/>
                    <w:spacing w:before="24" w:after="24"/>
                    <w:rPr>
                      <w:rFonts w:eastAsia="等线"/>
                      <w:sz w:val="22"/>
                      <w:szCs w:val="22"/>
                    </w:rPr>
                  </w:pPr>
                </w:p>
              </w:tc>
              <w:tc>
                <w:tcPr>
                  <w:tcW w:w="191" w:type="pct"/>
                  <w:vMerge w:val="continue"/>
                  <w:shd w:val="clear" w:color="auto" w:fill="auto"/>
                  <w:vAlign w:val="center"/>
                </w:tcPr>
                <w:p>
                  <w:pPr>
                    <w:pStyle w:val="68"/>
                    <w:spacing w:before="24" w:after="24"/>
                    <w:rPr>
                      <w:rFonts w:eastAsia="等线"/>
                      <w:sz w:val="22"/>
                      <w:szCs w:val="22"/>
                    </w:rPr>
                  </w:pPr>
                </w:p>
              </w:tc>
              <w:tc>
                <w:tcPr>
                  <w:tcW w:w="191" w:type="pct"/>
                  <w:vMerge w:val="continue"/>
                  <w:shd w:val="clear" w:color="auto" w:fill="auto"/>
                  <w:vAlign w:val="center"/>
                </w:tcPr>
                <w:p>
                  <w:pPr>
                    <w:pStyle w:val="68"/>
                    <w:spacing w:before="24" w:after="24"/>
                    <w:rPr>
                      <w:rFonts w:eastAsia="等线"/>
                      <w:sz w:val="22"/>
                      <w:szCs w:val="22"/>
                    </w:rPr>
                  </w:pPr>
                </w:p>
              </w:tc>
              <w:tc>
                <w:tcPr>
                  <w:tcW w:w="188" w:type="pct"/>
                  <w:vMerge w:val="continue"/>
                  <w:shd w:val="clear" w:color="auto" w:fill="auto"/>
                  <w:vAlign w:val="center"/>
                </w:tcPr>
                <w:p>
                  <w:pPr>
                    <w:pStyle w:val="68"/>
                    <w:spacing w:before="24" w:after="24"/>
                    <w:rPr>
                      <w:rFonts w:eastAsia="等线"/>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242" w:type="pct"/>
                  <w:vMerge w:val="continue"/>
                  <w:vAlign w:val="center"/>
                </w:tcPr>
                <w:p>
                  <w:pPr>
                    <w:pStyle w:val="68"/>
                    <w:spacing w:before="24" w:after="24"/>
                  </w:pPr>
                </w:p>
              </w:tc>
              <w:tc>
                <w:tcPr>
                  <w:tcW w:w="252" w:type="pct"/>
                  <w:shd w:val="clear" w:color="auto" w:fill="auto"/>
                  <w:vAlign w:val="center"/>
                </w:tcPr>
                <w:p>
                  <w:pPr>
                    <w:pStyle w:val="68"/>
                    <w:spacing w:before="24" w:after="24"/>
                  </w:pPr>
                  <w:r>
                    <w:t>搅拌风机</w:t>
                  </w:r>
                </w:p>
              </w:tc>
              <w:tc>
                <w:tcPr>
                  <w:tcW w:w="228" w:type="pct"/>
                  <w:vAlign w:val="center"/>
                </w:tcPr>
                <w:p>
                  <w:pPr>
                    <w:pStyle w:val="68"/>
                    <w:spacing w:before="24" w:after="24"/>
                  </w:pPr>
                  <w:r>
                    <w:t>90</w:t>
                  </w:r>
                </w:p>
              </w:tc>
              <w:tc>
                <w:tcPr>
                  <w:tcW w:w="260" w:type="pct"/>
                  <w:vMerge w:val="continue"/>
                  <w:vAlign w:val="center"/>
                </w:tcPr>
                <w:p>
                  <w:pPr>
                    <w:pStyle w:val="68"/>
                    <w:spacing w:before="24" w:after="24"/>
                  </w:pPr>
                </w:p>
              </w:tc>
              <w:tc>
                <w:tcPr>
                  <w:tcW w:w="210" w:type="pct"/>
                  <w:shd w:val="clear" w:color="auto" w:fill="auto"/>
                  <w:vAlign w:val="center"/>
                </w:tcPr>
                <w:p>
                  <w:pPr>
                    <w:pStyle w:val="68"/>
                    <w:spacing w:before="24" w:after="24"/>
                    <w:rPr>
                      <w:rFonts w:eastAsia="等线"/>
                      <w:sz w:val="22"/>
                      <w:szCs w:val="22"/>
                    </w:rPr>
                  </w:pPr>
                  <w:r>
                    <w:rPr>
                      <w:rFonts w:eastAsia="等线"/>
                      <w:sz w:val="22"/>
                      <w:szCs w:val="22"/>
                    </w:rPr>
                    <w:t>119.8</w:t>
                  </w:r>
                </w:p>
              </w:tc>
              <w:tc>
                <w:tcPr>
                  <w:tcW w:w="209" w:type="pct"/>
                  <w:shd w:val="clear" w:color="auto" w:fill="auto"/>
                  <w:vAlign w:val="center"/>
                </w:tcPr>
                <w:p>
                  <w:pPr>
                    <w:pStyle w:val="68"/>
                    <w:spacing w:before="24" w:after="24"/>
                    <w:rPr>
                      <w:rFonts w:eastAsia="等线"/>
                      <w:sz w:val="22"/>
                      <w:szCs w:val="22"/>
                    </w:rPr>
                  </w:pPr>
                  <w:r>
                    <w:rPr>
                      <w:rFonts w:eastAsia="等线"/>
                      <w:sz w:val="22"/>
                      <w:szCs w:val="22"/>
                    </w:rPr>
                    <w:t>127.7</w:t>
                  </w:r>
                </w:p>
              </w:tc>
              <w:tc>
                <w:tcPr>
                  <w:tcW w:w="162" w:type="pct"/>
                  <w:vAlign w:val="center"/>
                </w:tcPr>
                <w:p>
                  <w:pPr>
                    <w:pStyle w:val="68"/>
                    <w:spacing w:before="24" w:after="24"/>
                  </w:pPr>
                  <w:r>
                    <w:t>6</w:t>
                  </w:r>
                </w:p>
              </w:tc>
              <w:tc>
                <w:tcPr>
                  <w:tcW w:w="207" w:type="pct"/>
                  <w:shd w:val="clear" w:color="auto" w:fill="auto"/>
                  <w:vAlign w:val="center"/>
                </w:tcPr>
                <w:p>
                  <w:pPr>
                    <w:pStyle w:val="68"/>
                    <w:spacing w:before="24" w:after="24"/>
                  </w:pPr>
                  <w:r>
                    <w:rPr>
                      <w:rFonts w:eastAsia="等线"/>
                      <w:sz w:val="22"/>
                      <w:szCs w:val="22"/>
                    </w:rPr>
                    <w:t>1.8</w:t>
                  </w:r>
                </w:p>
              </w:tc>
              <w:tc>
                <w:tcPr>
                  <w:tcW w:w="207" w:type="pct"/>
                  <w:shd w:val="clear" w:color="auto" w:fill="auto"/>
                  <w:vAlign w:val="center"/>
                </w:tcPr>
                <w:p>
                  <w:pPr>
                    <w:pStyle w:val="68"/>
                    <w:spacing w:before="24" w:after="24"/>
                  </w:pPr>
                  <w:r>
                    <w:rPr>
                      <w:rFonts w:eastAsia="等线"/>
                      <w:sz w:val="22"/>
                      <w:szCs w:val="22"/>
                    </w:rPr>
                    <w:t>6.0</w:t>
                  </w:r>
                </w:p>
              </w:tc>
              <w:tc>
                <w:tcPr>
                  <w:tcW w:w="207" w:type="pct"/>
                  <w:shd w:val="clear" w:color="auto" w:fill="auto"/>
                  <w:vAlign w:val="center"/>
                </w:tcPr>
                <w:p>
                  <w:pPr>
                    <w:pStyle w:val="68"/>
                    <w:spacing w:before="24" w:after="24"/>
                  </w:pPr>
                  <w:r>
                    <w:rPr>
                      <w:rFonts w:eastAsia="等线"/>
                      <w:sz w:val="22"/>
                      <w:szCs w:val="22"/>
                    </w:rPr>
                    <w:t>9.3</w:t>
                  </w:r>
                </w:p>
              </w:tc>
              <w:tc>
                <w:tcPr>
                  <w:tcW w:w="209" w:type="pct"/>
                  <w:shd w:val="clear" w:color="auto" w:fill="auto"/>
                  <w:vAlign w:val="center"/>
                </w:tcPr>
                <w:p>
                  <w:pPr>
                    <w:pStyle w:val="68"/>
                    <w:spacing w:before="24" w:after="24"/>
                  </w:pPr>
                  <w:r>
                    <w:rPr>
                      <w:rFonts w:eastAsia="等线"/>
                      <w:sz w:val="22"/>
                      <w:szCs w:val="22"/>
                    </w:rPr>
                    <w:t>1.9</w:t>
                  </w:r>
                </w:p>
              </w:tc>
              <w:tc>
                <w:tcPr>
                  <w:tcW w:w="207" w:type="pct"/>
                  <w:shd w:val="clear" w:color="auto" w:fill="auto"/>
                  <w:vAlign w:val="center"/>
                </w:tcPr>
                <w:p>
                  <w:pPr>
                    <w:pStyle w:val="68"/>
                    <w:spacing w:before="24" w:after="24"/>
                    <w:rPr>
                      <w:rFonts w:eastAsia="等线"/>
                      <w:sz w:val="22"/>
                      <w:szCs w:val="22"/>
                    </w:rPr>
                  </w:pPr>
                  <w:r>
                    <w:rPr>
                      <w:rFonts w:eastAsia="等线"/>
                      <w:sz w:val="22"/>
                      <w:szCs w:val="22"/>
                    </w:rPr>
                    <w:t>87.38</w:t>
                  </w:r>
                </w:p>
              </w:tc>
              <w:tc>
                <w:tcPr>
                  <w:tcW w:w="208" w:type="pct"/>
                  <w:shd w:val="clear" w:color="auto" w:fill="auto"/>
                  <w:vAlign w:val="center"/>
                </w:tcPr>
                <w:p>
                  <w:pPr>
                    <w:pStyle w:val="68"/>
                    <w:spacing w:before="24" w:after="24"/>
                    <w:rPr>
                      <w:rFonts w:eastAsia="等线"/>
                      <w:sz w:val="22"/>
                      <w:szCs w:val="22"/>
                    </w:rPr>
                  </w:pPr>
                  <w:r>
                    <w:rPr>
                      <w:rFonts w:eastAsia="等线"/>
                      <w:sz w:val="22"/>
                      <w:szCs w:val="22"/>
                    </w:rPr>
                    <w:t>87.20</w:t>
                  </w:r>
                </w:p>
              </w:tc>
              <w:tc>
                <w:tcPr>
                  <w:tcW w:w="208" w:type="pct"/>
                  <w:shd w:val="clear" w:color="auto" w:fill="auto"/>
                  <w:vAlign w:val="center"/>
                </w:tcPr>
                <w:p>
                  <w:pPr>
                    <w:pStyle w:val="68"/>
                    <w:spacing w:before="24" w:after="24"/>
                    <w:rPr>
                      <w:rFonts w:eastAsia="等线"/>
                      <w:sz w:val="22"/>
                      <w:szCs w:val="22"/>
                    </w:rPr>
                  </w:pPr>
                  <w:r>
                    <w:rPr>
                      <w:rFonts w:eastAsia="等线"/>
                      <w:sz w:val="22"/>
                      <w:szCs w:val="22"/>
                    </w:rPr>
                    <w:t>87.19</w:t>
                  </w:r>
                </w:p>
              </w:tc>
              <w:tc>
                <w:tcPr>
                  <w:tcW w:w="211" w:type="pct"/>
                  <w:shd w:val="clear" w:color="auto" w:fill="auto"/>
                  <w:vAlign w:val="center"/>
                </w:tcPr>
                <w:p>
                  <w:pPr>
                    <w:pStyle w:val="68"/>
                    <w:spacing w:before="24" w:after="24"/>
                    <w:rPr>
                      <w:rFonts w:eastAsia="等线"/>
                      <w:sz w:val="22"/>
                      <w:szCs w:val="22"/>
                    </w:rPr>
                  </w:pPr>
                  <w:r>
                    <w:rPr>
                      <w:rFonts w:eastAsia="等线"/>
                      <w:sz w:val="22"/>
                      <w:szCs w:val="22"/>
                    </w:rPr>
                    <w:t>87.36</w:t>
                  </w:r>
                </w:p>
              </w:tc>
              <w:tc>
                <w:tcPr>
                  <w:tcW w:w="207" w:type="pct"/>
                  <w:vMerge w:val="continue"/>
                  <w:vAlign w:val="center"/>
                </w:tcPr>
                <w:p>
                  <w:pPr>
                    <w:pStyle w:val="68"/>
                    <w:spacing w:before="24" w:after="24"/>
                    <w:rPr>
                      <w:rFonts w:eastAsia="等线"/>
                      <w:sz w:val="22"/>
                      <w:szCs w:val="22"/>
                    </w:rPr>
                  </w:pPr>
                </w:p>
              </w:tc>
              <w:tc>
                <w:tcPr>
                  <w:tcW w:w="191" w:type="pct"/>
                  <w:vMerge w:val="continue"/>
                  <w:vAlign w:val="center"/>
                </w:tcPr>
                <w:p>
                  <w:pPr>
                    <w:pStyle w:val="68"/>
                    <w:spacing w:before="24" w:after="24"/>
                    <w:rPr>
                      <w:rFonts w:eastAsia="等线"/>
                      <w:sz w:val="22"/>
                      <w:szCs w:val="22"/>
                    </w:rPr>
                  </w:pPr>
                </w:p>
              </w:tc>
              <w:tc>
                <w:tcPr>
                  <w:tcW w:w="191" w:type="pct"/>
                  <w:vMerge w:val="continue"/>
                  <w:vAlign w:val="center"/>
                </w:tcPr>
                <w:p>
                  <w:pPr>
                    <w:pStyle w:val="68"/>
                    <w:spacing w:before="24" w:after="24"/>
                    <w:rPr>
                      <w:rFonts w:eastAsia="等线"/>
                      <w:sz w:val="22"/>
                      <w:szCs w:val="22"/>
                    </w:rPr>
                  </w:pPr>
                </w:p>
              </w:tc>
              <w:tc>
                <w:tcPr>
                  <w:tcW w:w="195" w:type="pct"/>
                  <w:vMerge w:val="continue"/>
                  <w:vAlign w:val="center"/>
                </w:tcPr>
                <w:p>
                  <w:pPr>
                    <w:pStyle w:val="68"/>
                    <w:spacing w:before="24" w:after="24"/>
                    <w:rPr>
                      <w:rFonts w:eastAsia="等线"/>
                      <w:sz w:val="22"/>
                      <w:szCs w:val="22"/>
                    </w:rPr>
                  </w:pPr>
                </w:p>
              </w:tc>
              <w:tc>
                <w:tcPr>
                  <w:tcW w:w="228" w:type="pct"/>
                  <w:vMerge w:val="continue"/>
                  <w:vAlign w:val="center"/>
                </w:tcPr>
                <w:p>
                  <w:pPr>
                    <w:pStyle w:val="68"/>
                    <w:spacing w:before="24" w:after="24"/>
                  </w:pPr>
                </w:p>
              </w:tc>
              <w:tc>
                <w:tcPr>
                  <w:tcW w:w="191" w:type="pct"/>
                  <w:vMerge w:val="continue"/>
                  <w:shd w:val="clear" w:color="auto" w:fill="auto"/>
                  <w:vAlign w:val="center"/>
                </w:tcPr>
                <w:p>
                  <w:pPr>
                    <w:pStyle w:val="68"/>
                    <w:spacing w:before="24" w:after="24"/>
                    <w:rPr>
                      <w:rFonts w:eastAsia="等线"/>
                      <w:sz w:val="22"/>
                      <w:szCs w:val="22"/>
                    </w:rPr>
                  </w:pPr>
                </w:p>
              </w:tc>
              <w:tc>
                <w:tcPr>
                  <w:tcW w:w="191" w:type="pct"/>
                  <w:vMerge w:val="continue"/>
                  <w:shd w:val="clear" w:color="auto" w:fill="auto"/>
                  <w:vAlign w:val="center"/>
                </w:tcPr>
                <w:p>
                  <w:pPr>
                    <w:pStyle w:val="68"/>
                    <w:spacing w:before="24" w:after="24"/>
                    <w:rPr>
                      <w:rFonts w:eastAsia="等线"/>
                      <w:sz w:val="22"/>
                      <w:szCs w:val="22"/>
                    </w:rPr>
                  </w:pPr>
                </w:p>
              </w:tc>
              <w:tc>
                <w:tcPr>
                  <w:tcW w:w="191" w:type="pct"/>
                  <w:vMerge w:val="continue"/>
                  <w:shd w:val="clear" w:color="auto" w:fill="auto"/>
                  <w:vAlign w:val="center"/>
                </w:tcPr>
                <w:p>
                  <w:pPr>
                    <w:pStyle w:val="68"/>
                    <w:spacing w:before="24" w:after="24"/>
                    <w:rPr>
                      <w:rFonts w:eastAsia="等线"/>
                      <w:sz w:val="22"/>
                      <w:szCs w:val="22"/>
                    </w:rPr>
                  </w:pPr>
                </w:p>
              </w:tc>
              <w:tc>
                <w:tcPr>
                  <w:tcW w:w="188" w:type="pct"/>
                  <w:vMerge w:val="continue"/>
                  <w:shd w:val="clear" w:color="auto" w:fill="auto"/>
                  <w:vAlign w:val="center"/>
                </w:tcPr>
                <w:p>
                  <w:pPr>
                    <w:pStyle w:val="68"/>
                    <w:spacing w:before="24" w:after="24"/>
                    <w:rPr>
                      <w:rFonts w:eastAsia="等线"/>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674" w:hRule="atLeast"/>
                <w:jc w:val="center"/>
              </w:trPr>
              <w:tc>
                <w:tcPr>
                  <w:tcW w:w="242" w:type="pct"/>
                  <w:vMerge w:val="restart"/>
                  <w:vAlign w:val="center"/>
                </w:tcPr>
                <w:p>
                  <w:pPr>
                    <w:pStyle w:val="68"/>
                    <w:spacing w:before="24" w:after="24"/>
                  </w:pPr>
                  <w:r>
                    <w:t>原料库</w:t>
                  </w:r>
                </w:p>
              </w:tc>
              <w:tc>
                <w:tcPr>
                  <w:tcW w:w="252" w:type="pct"/>
                  <w:shd w:val="clear" w:color="auto" w:fill="auto"/>
                  <w:vAlign w:val="center"/>
                </w:tcPr>
                <w:p>
                  <w:pPr>
                    <w:pStyle w:val="68"/>
                    <w:spacing w:before="24" w:after="24"/>
                  </w:pPr>
                  <w:r>
                    <w:t>卸料</w:t>
                  </w:r>
                </w:p>
              </w:tc>
              <w:tc>
                <w:tcPr>
                  <w:tcW w:w="228" w:type="pct"/>
                  <w:vAlign w:val="center"/>
                </w:tcPr>
                <w:p>
                  <w:pPr>
                    <w:pStyle w:val="68"/>
                    <w:spacing w:before="24" w:after="24"/>
                  </w:pPr>
                  <w:r>
                    <w:t>80</w:t>
                  </w:r>
                </w:p>
              </w:tc>
              <w:tc>
                <w:tcPr>
                  <w:tcW w:w="260" w:type="pct"/>
                  <w:vMerge w:val="continue"/>
                  <w:vAlign w:val="center"/>
                </w:tcPr>
                <w:p>
                  <w:pPr>
                    <w:pStyle w:val="68"/>
                    <w:spacing w:before="24" w:after="24"/>
                  </w:pPr>
                </w:p>
              </w:tc>
              <w:tc>
                <w:tcPr>
                  <w:tcW w:w="210" w:type="pct"/>
                  <w:shd w:val="clear" w:color="auto" w:fill="auto"/>
                  <w:vAlign w:val="center"/>
                </w:tcPr>
                <w:p>
                  <w:pPr>
                    <w:pStyle w:val="68"/>
                    <w:spacing w:before="24" w:after="24"/>
                  </w:pPr>
                  <w:r>
                    <w:rPr>
                      <w:rFonts w:eastAsia="等线"/>
                      <w:sz w:val="22"/>
                      <w:szCs w:val="22"/>
                    </w:rPr>
                    <w:t>26.1</w:t>
                  </w:r>
                </w:p>
              </w:tc>
              <w:tc>
                <w:tcPr>
                  <w:tcW w:w="209" w:type="pct"/>
                  <w:shd w:val="clear" w:color="auto" w:fill="auto"/>
                  <w:vAlign w:val="center"/>
                </w:tcPr>
                <w:p>
                  <w:pPr>
                    <w:pStyle w:val="68"/>
                    <w:spacing w:before="24" w:after="24"/>
                  </w:pPr>
                  <w:r>
                    <w:rPr>
                      <w:rFonts w:eastAsia="等线"/>
                      <w:sz w:val="22"/>
                      <w:szCs w:val="22"/>
                    </w:rPr>
                    <w:t>146.8</w:t>
                  </w:r>
                </w:p>
              </w:tc>
              <w:tc>
                <w:tcPr>
                  <w:tcW w:w="162" w:type="pct"/>
                  <w:vAlign w:val="center"/>
                </w:tcPr>
                <w:p>
                  <w:pPr>
                    <w:pStyle w:val="68"/>
                    <w:spacing w:before="24" w:after="24"/>
                  </w:pPr>
                  <w:r>
                    <w:t>1.5</w:t>
                  </w:r>
                </w:p>
              </w:tc>
              <w:tc>
                <w:tcPr>
                  <w:tcW w:w="207" w:type="pct"/>
                  <w:shd w:val="clear" w:color="auto" w:fill="auto"/>
                  <w:vAlign w:val="center"/>
                </w:tcPr>
                <w:p>
                  <w:pPr>
                    <w:pStyle w:val="68"/>
                    <w:spacing w:before="24" w:after="24"/>
                  </w:pPr>
                  <w:r>
                    <w:rPr>
                      <w:rFonts w:eastAsia="等线"/>
                      <w:sz w:val="22"/>
                      <w:szCs w:val="22"/>
                    </w:rPr>
                    <w:t>53.9</w:t>
                  </w:r>
                </w:p>
              </w:tc>
              <w:tc>
                <w:tcPr>
                  <w:tcW w:w="207" w:type="pct"/>
                  <w:shd w:val="clear" w:color="auto" w:fill="auto"/>
                  <w:vAlign w:val="center"/>
                </w:tcPr>
                <w:p>
                  <w:pPr>
                    <w:pStyle w:val="68"/>
                    <w:spacing w:before="24" w:after="24"/>
                  </w:pPr>
                  <w:r>
                    <w:rPr>
                      <w:rFonts w:eastAsia="等线"/>
                      <w:sz w:val="22"/>
                      <w:szCs w:val="22"/>
                    </w:rPr>
                    <w:t>126.6</w:t>
                  </w:r>
                </w:p>
              </w:tc>
              <w:tc>
                <w:tcPr>
                  <w:tcW w:w="207" w:type="pct"/>
                  <w:shd w:val="clear" w:color="auto" w:fill="auto"/>
                  <w:vAlign w:val="center"/>
                </w:tcPr>
                <w:p>
                  <w:pPr>
                    <w:pStyle w:val="68"/>
                    <w:spacing w:before="24" w:after="24"/>
                  </w:pPr>
                  <w:r>
                    <w:rPr>
                      <w:rFonts w:eastAsia="等线"/>
                      <w:sz w:val="22"/>
                      <w:szCs w:val="22"/>
                    </w:rPr>
                    <w:t>24.3</w:t>
                  </w:r>
                </w:p>
              </w:tc>
              <w:tc>
                <w:tcPr>
                  <w:tcW w:w="209" w:type="pct"/>
                  <w:shd w:val="clear" w:color="auto" w:fill="auto"/>
                  <w:vAlign w:val="center"/>
                </w:tcPr>
                <w:p>
                  <w:pPr>
                    <w:pStyle w:val="68"/>
                    <w:spacing w:before="24" w:after="24"/>
                  </w:pPr>
                  <w:r>
                    <w:rPr>
                      <w:rFonts w:eastAsia="等线"/>
                      <w:sz w:val="22"/>
                      <w:szCs w:val="22"/>
                    </w:rPr>
                    <w:t>34.8</w:t>
                  </w:r>
                </w:p>
              </w:tc>
              <w:tc>
                <w:tcPr>
                  <w:tcW w:w="207" w:type="pct"/>
                  <w:shd w:val="clear" w:color="auto" w:fill="auto"/>
                  <w:vAlign w:val="center"/>
                </w:tcPr>
                <w:p>
                  <w:pPr>
                    <w:pStyle w:val="68"/>
                    <w:spacing w:before="24" w:after="24"/>
                  </w:pPr>
                  <w:r>
                    <w:rPr>
                      <w:rFonts w:eastAsia="等线"/>
                      <w:sz w:val="22"/>
                      <w:szCs w:val="22"/>
                    </w:rPr>
                    <w:t>57.20</w:t>
                  </w:r>
                </w:p>
              </w:tc>
              <w:tc>
                <w:tcPr>
                  <w:tcW w:w="208" w:type="pct"/>
                  <w:shd w:val="clear" w:color="auto" w:fill="auto"/>
                  <w:vAlign w:val="center"/>
                </w:tcPr>
                <w:p>
                  <w:pPr>
                    <w:pStyle w:val="68"/>
                    <w:spacing w:before="24" w:after="24"/>
                  </w:pPr>
                  <w:r>
                    <w:rPr>
                      <w:rFonts w:eastAsia="等线"/>
                      <w:sz w:val="22"/>
                      <w:szCs w:val="22"/>
                    </w:rPr>
                    <w:t>57.18</w:t>
                  </w:r>
                </w:p>
              </w:tc>
              <w:tc>
                <w:tcPr>
                  <w:tcW w:w="208" w:type="pct"/>
                  <w:shd w:val="clear" w:color="auto" w:fill="auto"/>
                  <w:vAlign w:val="center"/>
                </w:tcPr>
                <w:p>
                  <w:pPr>
                    <w:pStyle w:val="68"/>
                    <w:spacing w:before="24" w:after="24"/>
                  </w:pPr>
                  <w:r>
                    <w:rPr>
                      <w:rFonts w:eastAsia="等线"/>
                      <w:sz w:val="22"/>
                      <w:szCs w:val="22"/>
                    </w:rPr>
                    <w:t>57.29</w:t>
                  </w:r>
                </w:p>
              </w:tc>
              <w:tc>
                <w:tcPr>
                  <w:tcW w:w="211" w:type="pct"/>
                  <w:shd w:val="clear" w:color="auto" w:fill="auto"/>
                  <w:vAlign w:val="center"/>
                </w:tcPr>
                <w:p>
                  <w:pPr>
                    <w:pStyle w:val="68"/>
                    <w:spacing w:before="24" w:after="24"/>
                  </w:pPr>
                  <w:r>
                    <w:rPr>
                      <w:rFonts w:eastAsia="等线"/>
                      <w:sz w:val="22"/>
                      <w:szCs w:val="22"/>
                    </w:rPr>
                    <w:t>57.23</w:t>
                  </w:r>
                </w:p>
              </w:tc>
              <w:tc>
                <w:tcPr>
                  <w:tcW w:w="207" w:type="pct"/>
                  <w:vMerge w:val="restart"/>
                  <w:vAlign w:val="center"/>
                </w:tcPr>
                <w:p>
                  <w:pPr>
                    <w:pStyle w:val="68"/>
                    <w:spacing w:before="24" w:after="24"/>
                  </w:pPr>
                  <w:r>
                    <w:t>60.43</w:t>
                  </w:r>
                </w:p>
              </w:tc>
              <w:tc>
                <w:tcPr>
                  <w:tcW w:w="191" w:type="pct"/>
                  <w:vMerge w:val="restart"/>
                  <w:vAlign w:val="center"/>
                </w:tcPr>
                <w:p>
                  <w:pPr>
                    <w:pStyle w:val="68"/>
                    <w:spacing w:before="24" w:after="24"/>
                  </w:pPr>
                  <w:r>
                    <w:t>60.41</w:t>
                  </w:r>
                </w:p>
              </w:tc>
              <w:tc>
                <w:tcPr>
                  <w:tcW w:w="191" w:type="pct"/>
                  <w:vMerge w:val="restart"/>
                  <w:vAlign w:val="center"/>
                </w:tcPr>
                <w:p>
                  <w:pPr>
                    <w:pStyle w:val="68"/>
                    <w:spacing w:before="24" w:after="24"/>
                  </w:pPr>
                  <w:r>
                    <w:t>60.51</w:t>
                  </w:r>
                </w:p>
              </w:tc>
              <w:tc>
                <w:tcPr>
                  <w:tcW w:w="195" w:type="pct"/>
                  <w:vMerge w:val="restart"/>
                  <w:vAlign w:val="center"/>
                </w:tcPr>
                <w:p>
                  <w:pPr>
                    <w:pStyle w:val="68"/>
                    <w:spacing w:before="24" w:after="24"/>
                  </w:pPr>
                  <w:r>
                    <w:t>60.43</w:t>
                  </w:r>
                </w:p>
              </w:tc>
              <w:tc>
                <w:tcPr>
                  <w:tcW w:w="228" w:type="pct"/>
                  <w:vMerge w:val="restart"/>
                  <w:vAlign w:val="center"/>
                </w:tcPr>
                <w:p>
                  <w:pPr>
                    <w:pStyle w:val="68"/>
                    <w:spacing w:before="24" w:after="24"/>
                  </w:pPr>
                  <w:r>
                    <w:t>15</w:t>
                  </w:r>
                </w:p>
              </w:tc>
              <w:tc>
                <w:tcPr>
                  <w:tcW w:w="191" w:type="pct"/>
                  <w:vMerge w:val="restart"/>
                  <w:vAlign w:val="center"/>
                </w:tcPr>
                <w:p>
                  <w:pPr>
                    <w:pStyle w:val="68"/>
                    <w:spacing w:before="24" w:after="24"/>
                    <w:rPr>
                      <w:rFonts w:eastAsia="等线"/>
                    </w:rPr>
                  </w:pPr>
                  <w:r>
                    <w:rPr>
                      <w:rFonts w:eastAsia="等线"/>
                    </w:rPr>
                    <w:t>45.43</w:t>
                  </w:r>
                </w:p>
              </w:tc>
              <w:tc>
                <w:tcPr>
                  <w:tcW w:w="191" w:type="pct"/>
                  <w:vMerge w:val="restart"/>
                  <w:vAlign w:val="center"/>
                </w:tcPr>
                <w:p>
                  <w:pPr>
                    <w:pStyle w:val="68"/>
                    <w:spacing w:before="24" w:after="24"/>
                    <w:rPr>
                      <w:rFonts w:eastAsia="等线"/>
                    </w:rPr>
                  </w:pPr>
                  <w:r>
                    <w:rPr>
                      <w:rFonts w:eastAsia="等线"/>
                    </w:rPr>
                    <w:t>45.41</w:t>
                  </w:r>
                </w:p>
              </w:tc>
              <w:tc>
                <w:tcPr>
                  <w:tcW w:w="191" w:type="pct"/>
                  <w:vMerge w:val="restart"/>
                  <w:vAlign w:val="center"/>
                </w:tcPr>
                <w:p>
                  <w:pPr>
                    <w:pStyle w:val="68"/>
                    <w:spacing w:before="24" w:after="24"/>
                    <w:rPr>
                      <w:rFonts w:eastAsia="等线"/>
                    </w:rPr>
                  </w:pPr>
                  <w:r>
                    <w:rPr>
                      <w:rFonts w:eastAsia="等线"/>
                    </w:rPr>
                    <w:t>45.51</w:t>
                  </w:r>
                </w:p>
              </w:tc>
              <w:tc>
                <w:tcPr>
                  <w:tcW w:w="188" w:type="pct"/>
                  <w:vMerge w:val="restart"/>
                  <w:vAlign w:val="center"/>
                </w:tcPr>
                <w:p>
                  <w:pPr>
                    <w:pStyle w:val="68"/>
                    <w:spacing w:before="24" w:after="24"/>
                    <w:rPr>
                      <w:rFonts w:eastAsia="等线"/>
                    </w:rPr>
                  </w:pPr>
                  <w:r>
                    <w:rPr>
                      <w:rFonts w:eastAsia="等线"/>
                    </w:rPr>
                    <w:t>45.43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764" w:hRule="atLeast"/>
                <w:jc w:val="center"/>
              </w:trPr>
              <w:tc>
                <w:tcPr>
                  <w:tcW w:w="242" w:type="pct"/>
                  <w:vMerge w:val="continue"/>
                  <w:vAlign w:val="center"/>
                </w:tcPr>
                <w:p>
                  <w:pPr>
                    <w:pStyle w:val="68"/>
                    <w:spacing w:before="24" w:after="24"/>
                  </w:pPr>
                </w:p>
              </w:tc>
              <w:tc>
                <w:tcPr>
                  <w:tcW w:w="252" w:type="pct"/>
                  <w:shd w:val="clear" w:color="auto" w:fill="auto"/>
                  <w:vAlign w:val="center"/>
                </w:tcPr>
                <w:p>
                  <w:pPr>
                    <w:pStyle w:val="68"/>
                    <w:spacing w:before="24" w:after="24"/>
                  </w:pPr>
                  <w:r>
                    <w:t>上料</w:t>
                  </w:r>
                </w:p>
              </w:tc>
              <w:tc>
                <w:tcPr>
                  <w:tcW w:w="228" w:type="pct"/>
                  <w:vAlign w:val="center"/>
                </w:tcPr>
                <w:p>
                  <w:pPr>
                    <w:pStyle w:val="68"/>
                    <w:spacing w:before="24" w:after="24"/>
                  </w:pPr>
                  <w:r>
                    <w:t>80</w:t>
                  </w:r>
                </w:p>
              </w:tc>
              <w:tc>
                <w:tcPr>
                  <w:tcW w:w="260" w:type="pct"/>
                  <w:vMerge w:val="continue"/>
                  <w:vAlign w:val="center"/>
                </w:tcPr>
                <w:p>
                  <w:pPr>
                    <w:pStyle w:val="68"/>
                    <w:spacing w:before="24" w:after="24"/>
                  </w:pPr>
                </w:p>
              </w:tc>
              <w:tc>
                <w:tcPr>
                  <w:tcW w:w="210" w:type="pct"/>
                  <w:shd w:val="clear" w:color="auto" w:fill="auto"/>
                  <w:vAlign w:val="center"/>
                </w:tcPr>
                <w:p>
                  <w:pPr>
                    <w:pStyle w:val="68"/>
                    <w:spacing w:before="24" w:after="24"/>
                  </w:pPr>
                  <w:r>
                    <w:rPr>
                      <w:rFonts w:eastAsia="等线"/>
                      <w:sz w:val="22"/>
                      <w:szCs w:val="22"/>
                    </w:rPr>
                    <w:t>26.1</w:t>
                  </w:r>
                </w:p>
              </w:tc>
              <w:tc>
                <w:tcPr>
                  <w:tcW w:w="209" w:type="pct"/>
                  <w:shd w:val="clear" w:color="auto" w:fill="auto"/>
                  <w:vAlign w:val="center"/>
                </w:tcPr>
                <w:p>
                  <w:pPr>
                    <w:pStyle w:val="68"/>
                    <w:spacing w:before="24" w:after="24"/>
                  </w:pPr>
                  <w:r>
                    <w:rPr>
                      <w:rFonts w:eastAsia="等线"/>
                      <w:sz w:val="22"/>
                      <w:szCs w:val="22"/>
                    </w:rPr>
                    <w:t>110.5</w:t>
                  </w:r>
                </w:p>
              </w:tc>
              <w:tc>
                <w:tcPr>
                  <w:tcW w:w="162" w:type="pct"/>
                  <w:vAlign w:val="center"/>
                </w:tcPr>
                <w:p>
                  <w:pPr>
                    <w:pStyle w:val="68"/>
                    <w:spacing w:before="24" w:after="24"/>
                  </w:pPr>
                  <w:r>
                    <w:t>2</w:t>
                  </w:r>
                </w:p>
              </w:tc>
              <w:tc>
                <w:tcPr>
                  <w:tcW w:w="207" w:type="pct"/>
                  <w:shd w:val="clear" w:color="auto" w:fill="auto"/>
                  <w:vAlign w:val="center"/>
                </w:tcPr>
                <w:p>
                  <w:pPr>
                    <w:pStyle w:val="68"/>
                    <w:spacing w:before="24" w:after="24"/>
                  </w:pPr>
                  <w:r>
                    <w:rPr>
                      <w:rFonts w:eastAsia="等线"/>
                      <w:sz w:val="22"/>
                      <w:szCs w:val="22"/>
                    </w:rPr>
                    <w:t>53.9</w:t>
                  </w:r>
                </w:p>
              </w:tc>
              <w:tc>
                <w:tcPr>
                  <w:tcW w:w="207" w:type="pct"/>
                  <w:shd w:val="clear" w:color="auto" w:fill="auto"/>
                  <w:vAlign w:val="center"/>
                </w:tcPr>
                <w:p>
                  <w:pPr>
                    <w:pStyle w:val="68"/>
                    <w:spacing w:before="24" w:after="24"/>
                  </w:pPr>
                  <w:r>
                    <w:rPr>
                      <w:rFonts w:eastAsia="等线"/>
                      <w:sz w:val="22"/>
                      <w:szCs w:val="22"/>
                    </w:rPr>
                    <w:t>90.3</w:t>
                  </w:r>
                </w:p>
              </w:tc>
              <w:tc>
                <w:tcPr>
                  <w:tcW w:w="207" w:type="pct"/>
                  <w:shd w:val="clear" w:color="auto" w:fill="auto"/>
                  <w:vAlign w:val="center"/>
                </w:tcPr>
                <w:p>
                  <w:pPr>
                    <w:pStyle w:val="68"/>
                    <w:spacing w:before="24" w:after="24"/>
                  </w:pPr>
                  <w:r>
                    <w:rPr>
                      <w:rFonts w:eastAsia="等线"/>
                      <w:sz w:val="22"/>
                      <w:szCs w:val="22"/>
                    </w:rPr>
                    <w:t>24.2</w:t>
                  </w:r>
                </w:p>
              </w:tc>
              <w:tc>
                <w:tcPr>
                  <w:tcW w:w="209" w:type="pct"/>
                  <w:shd w:val="clear" w:color="auto" w:fill="auto"/>
                  <w:vAlign w:val="center"/>
                </w:tcPr>
                <w:p>
                  <w:pPr>
                    <w:pStyle w:val="68"/>
                    <w:spacing w:before="24" w:after="24"/>
                  </w:pPr>
                  <w:r>
                    <w:rPr>
                      <w:rFonts w:eastAsia="等线"/>
                      <w:sz w:val="22"/>
                      <w:szCs w:val="22"/>
                    </w:rPr>
                    <w:t>71.1</w:t>
                  </w:r>
                </w:p>
              </w:tc>
              <w:tc>
                <w:tcPr>
                  <w:tcW w:w="207" w:type="pct"/>
                  <w:shd w:val="clear" w:color="auto" w:fill="auto"/>
                  <w:vAlign w:val="center"/>
                </w:tcPr>
                <w:p>
                  <w:pPr>
                    <w:pStyle w:val="68"/>
                    <w:spacing w:before="24" w:after="24"/>
                  </w:pPr>
                  <w:r>
                    <w:rPr>
                      <w:rFonts w:eastAsia="等线"/>
                      <w:sz w:val="22"/>
                      <w:szCs w:val="22"/>
                    </w:rPr>
                    <w:t>57.20</w:t>
                  </w:r>
                </w:p>
              </w:tc>
              <w:tc>
                <w:tcPr>
                  <w:tcW w:w="208" w:type="pct"/>
                  <w:shd w:val="clear" w:color="auto" w:fill="auto"/>
                  <w:vAlign w:val="center"/>
                </w:tcPr>
                <w:p>
                  <w:pPr>
                    <w:pStyle w:val="68"/>
                    <w:spacing w:before="24" w:after="24"/>
                  </w:pPr>
                  <w:r>
                    <w:rPr>
                      <w:rFonts w:eastAsia="等线"/>
                      <w:sz w:val="22"/>
                      <w:szCs w:val="22"/>
                    </w:rPr>
                    <w:t>57.19</w:t>
                  </w:r>
                </w:p>
              </w:tc>
              <w:tc>
                <w:tcPr>
                  <w:tcW w:w="208" w:type="pct"/>
                  <w:shd w:val="clear" w:color="auto" w:fill="auto"/>
                  <w:vAlign w:val="center"/>
                </w:tcPr>
                <w:p>
                  <w:pPr>
                    <w:pStyle w:val="68"/>
                    <w:spacing w:before="24" w:after="24"/>
                  </w:pPr>
                  <w:r>
                    <w:rPr>
                      <w:rFonts w:eastAsia="等线"/>
                      <w:sz w:val="22"/>
                      <w:szCs w:val="22"/>
                    </w:rPr>
                    <w:t>57.29</w:t>
                  </w:r>
                </w:p>
              </w:tc>
              <w:tc>
                <w:tcPr>
                  <w:tcW w:w="211" w:type="pct"/>
                  <w:shd w:val="clear" w:color="auto" w:fill="auto"/>
                  <w:vAlign w:val="center"/>
                </w:tcPr>
                <w:p>
                  <w:pPr>
                    <w:pStyle w:val="68"/>
                    <w:spacing w:before="24" w:after="24"/>
                  </w:pPr>
                  <w:r>
                    <w:rPr>
                      <w:rFonts w:eastAsia="等线"/>
                      <w:sz w:val="22"/>
                      <w:szCs w:val="22"/>
                    </w:rPr>
                    <w:t>57.19</w:t>
                  </w:r>
                </w:p>
              </w:tc>
              <w:tc>
                <w:tcPr>
                  <w:tcW w:w="207" w:type="pct"/>
                  <w:vMerge w:val="continue"/>
                  <w:vAlign w:val="center"/>
                </w:tcPr>
                <w:p>
                  <w:pPr>
                    <w:pStyle w:val="68"/>
                    <w:spacing w:before="24" w:after="24"/>
                  </w:pPr>
                </w:p>
              </w:tc>
              <w:tc>
                <w:tcPr>
                  <w:tcW w:w="191" w:type="pct"/>
                  <w:vMerge w:val="continue"/>
                  <w:vAlign w:val="center"/>
                </w:tcPr>
                <w:p>
                  <w:pPr>
                    <w:pStyle w:val="68"/>
                    <w:spacing w:before="24" w:after="24"/>
                  </w:pPr>
                </w:p>
              </w:tc>
              <w:tc>
                <w:tcPr>
                  <w:tcW w:w="191" w:type="pct"/>
                  <w:vMerge w:val="continue"/>
                  <w:vAlign w:val="center"/>
                </w:tcPr>
                <w:p>
                  <w:pPr>
                    <w:pStyle w:val="68"/>
                    <w:spacing w:before="24" w:after="24"/>
                  </w:pPr>
                </w:p>
              </w:tc>
              <w:tc>
                <w:tcPr>
                  <w:tcW w:w="195" w:type="pct"/>
                  <w:vMerge w:val="continue"/>
                  <w:vAlign w:val="center"/>
                </w:tcPr>
                <w:p>
                  <w:pPr>
                    <w:pStyle w:val="68"/>
                    <w:spacing w:before="24" w:after="24"/>
                  </w:pPr>
                </w:p>
              </w:tc>
              <w:tc>
                <w:tcPr>
                  <w:tcW w:w="228" w:type="pct"/>
                  <w:vMerge w:val="continue"/>
                  <w:vAlign w:val="center"/>
                </w:tcPr>
                <w:p>
                  <w:pPr>
                    <w:pStyle w:val="68"/>
                    <w:spacing w:before="24" w:after="24"/>
                  </w:pPr>
                </w:p>
              </w:tc>
              <w:tc>
                <w:tcPr>
                  <w:tcW w:w="191" w:type="pct"/>
                  <w:vMerge w:val="continue"/>
                  <w:vAlign w:val="center"/>
                </w:tcPr>
                <w:p>
                  <w:pPr>
                    <w:pStyle w:val="68"/>
                    <w:spacing w:before="24" w:after="24"/>
                    <w:rPr>
                      <w:rFonts w:eastAsia="等线"/>
                    </w:rPr>
                  </w:pPr>
                </w:p>
              </w:tc>
              <w:tc>
                <w:tcPr>
                  <w:tcW w:w="191" w:type="pct"/>
                  <w:vMerge w:val="continue"/>
                  <w:vAlign w:val="center"/>
                </w:tcPr>
                <w:p>
                  <w:pPr>
                    <w:pStyle w:val="68"/>
                    <w:spacing w:before="24" w:after="24"/>
                    <w:rPr>
                      <w:rFonts w:eastAsia="等线"/>
                    </w:rPr>
                  </w:pPr>
                </w:p>
              </w:tc>
              <w:tc>
                <w:tcPr>
                  <w:tcW w:w="191" w:type="pct"/>
                  <w:vMerge w:val="continue"/>
                  <w:vAlign w:val="center"/>
                </w:tcPr>
                <w:p>
                  <w:pPr>
                    <w:pStyle w:val="68"/>
                    <w:spacing w:before="24" w:after="24"/>
                    <w:rPr>
                      <w:rFonts w:eastAsia="等线"/>
                    </w:rPr>
                  </w:pPr>
                </w:p>
              </w:tc>
              <w:tc>
                <w:tcPr>
                  <w:tcW w:w="188" w:type="pct"/>
                  <w:vMerge w:val="continue"/>
                  <w:vAlign w:val="center"/>
                </w:tcPr>
                <w:p>
                  <w:pPr>
                    <w:pStyle w:val="68"/>
                    <w:spacing w:before="24" w:after="24"/>
                    <w:rPr>
                      <w:rFonts w:eastAsia="等线"/>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514" w:hRule="atLeast"/>
                <w:jc w:val="center"/>
              </w:trPr>
              <w:tc>
                <w:tcPr>
                  <w:tcW w:w="242" w:type="pct"/>
                  <w:vMerge w:val="continue"/>
                  <w:vAlign w:val="center"/>
                </w:tcPr>
                <w:p>
                  <w:pPr>
                    <w:pStyle w:val="68"/>
                    <w:spacing w:before="24" w:after="24"/>
                  </w:pPr>
                </w:p>
              </w:tc>
              <w:tc>
                <w:tcPr>
                  <w:tcW w:w="252" w:type="pct"/>
                  <w:shd w:val="clear" w:color="auto" w:fill="auto"/>
                  <w:vAlign w:val="center"/>
                </w:tcPr>
                <w:p>
                  <w:pPr>
                    <w:pStyle w:val="68"/>
                    <w:spacing w:before="24" w:after="24"/>
                  </w:pPr>
                  <w:r>
                    <w:t>输送</w:t>
                  </w:r>
                </w:p>
              </w:tc>
              <w:tc>
                <w:tcPr>
                  <w:tcW w:w="228" w:type="pct"/>
                  <w:vAlign w:val="center"/>
                </w:tcPr>
                <w:p>
                  <w:pPr>
                    <w:pStyle w:val="68"/>
                    <w:spacing w:before="24" w:after="24"/>
                  </w:pPr>
                  <w:r>
                    <w:t>70</w:t>
                  </w:r>
                </w:p>
              </w:tc>
              <w:tc>
                <w:tcPr>
                  <w:tcW w:w="260" w:type="pct"/>
                  <w:vMerge w:val="continue"/>
                  <w:vAlign w:val="center"/>
                </w:tcPr>
                <w:p>
                  <w:pPr>
                    <w:pStyle w:val="68"/>
                    <w:spacing w:before="24" w:after="24"/>
                  </w:pPr>
                </w:p>
              </w:tc>
              <w:tc>
                <w:tcPr>
                  <w:tcW w:w="210" w:type="pct"/>
                  <w:shd w:val="clear" w:color="auto" w:fill="auto"/>
                  <w:vAlign w:val="center"/>
                </w:tcPr>
                <w:p>
                  <w:pPr>
                    <w:pStyle w:val="68"/>
                    <w:spacing w:before="24" w:after="24"/>
                  </w:pPr>
                  <w:r>
                    <w:rPr>
                      <w:rFonts w:eastAsia="等线"/>
                      <w:sz w:val="22"/>
                      <w:szCs w:val="22"/>
                    </w:rPr>
                    <w:t>45.6</w:t>
                  </w:r>
                </w:p>
              </w:tc>
              <w:tc>
                <w:tcPr>
                  <w:tcW w:w="209" w:type="pct"/>
                  <w:shd w:val="clear" w:color="auto" w:fill="auto"/>
                  <w:vAlign w:val="center"/>
                </w:tcPr>
                <w:p>
                  <w:pPr>
                    <w:pStyle w:val="68"/>
                    <w:spacing w:before="24" w:after="24"/>
                  </w:pPr>
                  <w:r>
                    <w:rPr>
                      <w:rFonts w:eastAsia="等线"/>
                      <w:sz w:val="22"/>
                      <w:szCs w:val="22"/>
                    </w:rPr>
                    <w:t>112.7</w:t>
                  </w:r>
                </w:p>
              </w:tc>
              <w:tc>
                <w:tcPr>
                  <w:tcW w:w="162" w:type="pct"/>
                  <w:vAlign w:val="center"/>
                </w:tcPr>
                <w:p>
                  <w:pPr>
                    <w:pStyle w:val="68"/>
                    <w:spacing w:before="24" w:after="24"/>
                  </w:pPr>
                  <w:r>
                    <w:t>2</w:t>
                  </w:r>
                </w:p>
              </w:tc>
              <w:tc>
                <w:tcPr>
                  <w:tcW w:w="207" w:type="pct"/>
                  <w:shd w:val="clear" w:color="auto" w:fill="auto"/>
                  <w:vAlign w:val="center"/>
                </w:tcPr>
                <w:p>
                  <w:pPr>
                    <w:pStyle w:val="68"/>
                    <w:spacing w:before="24" w:after="24"/>
                  </w:pPr>
                  <w:r>
                    <w:rPr>
                      <w:rFonts w:eastAsia="等线"/>
                      <w:sz w:val="22"/>
                      <w:szCs w:val="22"/>
                    </w:rPr>
                    <w:t>34.3</w:t>
                  </w:r>
                </w:p>
              </w:tc>
              <w:tc>
                <w:tcPr>
                  <w:tcW w:w="207" w:type="pct"/>
                  <w:shd w:val="clear" w:color="auto" w:fill="auto"/>
                  <w:vAlign w:val="center"/>
                </w:tcPr>
                <w:p>
                  <w:pPr>
                    <w:pStyle w:val="68"/>
                    <w:spacing w:before="24" w:after="24"/>
                  </w:pPr>
                  <w:r>
                    <w:rPr>
                      <w:rFonts w:eastAsia="等线"/>
                      <w:sz w:val="22"/>
                      <w:szCs w:val="22"/>
                    </w:rPr>
                    <w:t>92.5</w:t>
                  </w:r>
                </w:p>
              </w:tc>
              <w:tc>
                <w:tcPr>
                  <w:tcW w:w="207" w:type="pct"/>
                  <w:shd w:val="clear" w:color="auto" w:fill="auto"/>
                  <w:vAlign w:val="center"/>
                </w:tcPr>
                <w:p>
                  <w:pPr>
                    <w:pStyle w:val="68"/>
                    <w:spacing w:before="24" w:after="24"/>
                  </w:pPr>
                  <w:r>
                    <w:rPr>
                      <w:rFonts w:eastAsia="等线"/>
                      <w:sz w:val="22"/>
                      <w:szCs w:val="22"/>
                    </w:rPr>
                    <w:t>43.8</w:t>
                  </w:r>
                </w:p>
              </w:tc>
              <w:tc>
                <w:tcPr>
                  <w:tcW w:w="209" w:type="pct"/>
                  <w:shd w:val="clear" w:color="auto" w:fill="auto"/>
                  <w:vAlign w:val="center"/>
                </w:tcPr>
                <w:p>
                  <w:pPr>
                    <w:pStyle w:val="68"/>
                    <w:spacing w:before="24" w:after="24"/>
                  </w:pPr>
                  <w:r>
                    <w:rPr>
                      <w:rFonts w:eastAsia="等线"/>
                      <w:sz w:val="22"/>
                      <w:szCs w:val="22"/>
                    </w:rPr>
                    <w:t>68.9</w:t>
                  </w:r>
                </w:p>
              </w:tc>
              <w:tc>
                <w:tcPr>
                  <w:tcW w:w="207" w:type="pct"/>
                  <w:shd w:val="clear" w:color="auto" w:fill="auto"/>
                  <w:vAlign w:val="center"/>
                </w:tcPr>
                <w:p>
                  <w:pPr>
                    <w:pStyle w:val="68"/>
                    <w:spacing w:before="24" w:after="24"/>
                  </w:pPr>
                  <w:r>
                    <w:rPr>
                      <w:rFonts w:eastAsia="等线"/>
                      <w:sz w:val="22"/>
                      <w:szCs w:val="22"/>
                    </w:rPr>
                    <w:t>47.23</w:t>
                  </w:r>
                </w:p>
              </w:tc>
              <w:tc>
                <w:tcPr>
                  <w:tcW w:w="208" w:type="pct"/>
                  <w:shd w:val="clear" w:color="auto" w:fill="auto"/>
                  <w:vAlign w:val="center"/>
                </w:tcPr>
                <w:p>
                  <w:pPr>
                    <w:pStyle w:val="68"/>
                    <w:spacing w:before="24" w:after="24"/>
                  </w:pPr>
                  <w:r>
                    <w:rPr>
                      <w:rFonts w:eastAsia="等线"/>
                      <w:sz w:val="22"/>
                      <w:szCs w:val="22"/>
                    </w:rPr>
                    <w:t>47.19</w:t>
                  </w:r>
                </w:p>
              </w:tc>
              <w:tc>
                <w:tcPr>
                  <w:tcW w:w="208" w:type="pct"/>
                  <w:shd w:val="clear" w:color="auto" w:fill="auto"/>
                  <w:vAlign w:val="center"/>
                </w:tcPr>
                <w:p>
                  <w:pPr>
                    <w:pStyle w:val="68"/>
                    <w:spacing w:before="24" w:after="24"/>
                  </w:pPr>
                  <w:r>
                    <w:rPr>
                      <w:rFonts w:eastAsia="等线"/>
                      <w:sz w:val="22"/>
                      <w:szCs w:val="22"/>
                    </w:rPr>
                    <w:t>47.21</w:t>
                  </w:r>
                </w:p>
              </w:tc>
              <w:tc>
                <w:tcPr>
                  <w:tcW w:w="211" w:type="pct"/>
                  <w:shd w:val="clear" w:color="auto" w:fill="auto"/>
                  <w:vAlign w:val="center"/>
                </w:tcPr>
                <w:p>
                  <w:pPr>
                    <w:pStyle w:val="68"/>
                    <w:spacing w:before="24" w:after="24"/>
                  </w:pPr>
                  <w:r>
                    <w:rPr>
                      <w:rFonts w:eastAsia="等线"/>
                      <w:sz w:val="22"/>
                      <w:szCs w:val="22"/>
                    </w:rPr>
                    <w:t>47.19</w:t>
                  </w:r>
                </w:p>
              </w:tc>
              <w:tc>
                <w:tcPr>
                  <w:tcW w:w="207" w:type="pct"/>
                  <w:vMerge w:val="continue"/>
                  <w:vAlign w:val="center"/>
                </w:tcPr>
                <w:p>
                  <w:pPr>
                    <w:pStyle w:val="68"/>
                    <w:spacing w:before="24" w:after="24"/>
                  </w:pPr>
                </w:p>
              </w:tc>
              <w:tc>
                <w:tcPr>
                  <w:tcW w:w="191" w:type="pct"/>
                  <w:vMerge w:val="continue"/>
                  <w:vAlign w:val="center"/>
                </w:tcPr>
                <w:p>
                  <w:pPr>
                    <w:pStyle w:val="68"/>
                    <w:spacing w:before="24" w:after="24"/>
                  </w:pPr>
                </w:p>
              </w:tc>
              <w:tc>
                <w:tcPr>
                  <w:tcW w:w="191" w:type="pct"/>
                  <w:vMerge w:val="continue"/>
                  <w:vAlign w:val="center"/>
                </w:tcPr>
                <w:p>
                  <w:pPr>
                    <w:pStyle w:val="68"/>
                    <w:spacing w:before="24" w:after="24"/>
                  </w:pPr>
                </w:p>
              </w:tc>
              <w:tc>
                <w:tcPr>
                  <w:tcW w:w="195" w:type="pct"/>
                  <w:vMerge w:val="continue"/>
                  <w:vAlign w:val="center"/>
                </w:tcPr>
                <w:p>
                  <w:pPr>
                    <w:pStyle w:val="68"/>
                    <w:spacing w:before="24" w:after="24"/>
                  </w:pPr>
                </w:p>
              </w:tc>
              <w:tc>
                <w:tcPr>
                  <w:tcW w:w="228" w:type="pct"/>
                  <w:vMerge w:val="continue"/>
                  <w:vAlign w:val="center"/>
                </w:tcPr>
                <w:p>
                  <w:pPr>
                    <w:pStyle w:val="68"/>
                    <w:spacing w:before="24" w:after="24"/>
                  </w:pPr>
                </w:p>
              </w:tc>
              <w:tc>
                <w:tcPr>
                  <w:tcW w:w="191" w:type="pct"/>
                  <w:vMerge w:val="continue"/>
                  <w:vAlign w:val="center"/>
                </w:tcPr>
                <w:p>
                  <w:pPr>
                    <w:pStyle w:val="68"/>
                    <w:spacing w:before="24" w:after="24"/>
                    <w:rPr>
                      <w:rFonts w:eastAsia="等线"/>
                    </w:rPr>
                  </w:pPr>
                </w:p>
              </w:tc>
              <w:tc>
                <w:tcPr>
                  <w:tcW w:w="191" w:type="pct"/>
                  <w:vMerge w:val="continue"/>
                  <w:vAlign w:val="center"/>
                </w:tcPr>
                <w:p>
                  <w:pPr>
                    <w:pStyle w:val="68"/>
                    <w:spacing w:before="24" w:after="24"/>
                    <w:rPr>
                      <w:rFonts w:eastAsia="等线"/>
                    </w:rPr>
                  </w:pPr>
                </w:p>
              </w:tc>
              <w:tc>
                <w:tcPr>
                  <w:tcW w:w="191" w:type="pct"/>
                  <w:vMerge w:val="continue"/>
                  <w:vAlign w:val="center"/>
                </w:tcPr>
                <w:p>
                  <w:pPr>
                    <w:pStyle w:val="68"/>
                    <w:spacing w:before="24" w:after="24"/>
                    <w:rPr>
                      <w:rFonts w:eastAsia="等线"/>
                    </w:rPr>
                  </w:pPr>
                </w:p>
              </w:tc>
              <w:tc>
                <w:tcPr>
                  <w:tcW w:w="188" w:type="pct"/>
                  <w:vMerge w:val="continue"/>
                  <w:vAlign w:val="center"/>
                </w:tcPr>
                <w:p>
                  <w:pPr>
                    <w:pStyle w:val="68"/>
                    <w:spacing w:before="24" w:after="24"/>
                    <w:rPr>
                      <w:rFonts w:eastAsia="等线"/>
                    </w:rPr>
                  </w:pPr>
                </w:p>
              </w:tc>
            </w:tr>
          </w:tbl>
          <w:p>
            <w:pPr>
              <w:pStyle w:val="69"/>
              <w:ind w:left="48" w:right="48"/>
              <w:rPr>
                <w:lang w:eastAsia="zh-CN"/>
              </w:rPr>
            </w:pPr>
          </w:p>
        </w:tc>
      </w:tr>
    </w:tbl>
    <w:p>
      <w:pPr>
        <w:pStyle w:val="2"/>
        <w:ind w:left="480" w:firstLine="600"/>
        <w:sectPr>
          <w:pgSz w:w="16838" w:h="11906" w:orient="landscape"/>
          <w:pgMar w:top="1247" w:right="1418" w:bottom="1247" w:left="1418" w:header="851" w:footer="454" w:gutter="0"/>
          <w:cols w:space="425" w:num="1"/>
          <w:docGrid w:linePitch="312" w:charSpace="0"/>
        </w:sectPr>
      </w:pPr>
    </w:p>
    <w:tbl>
      <w:tblPr>
        <w:tblStyle w:val="3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1"/>
        <w:gridCol w:w="9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7" w:type="pct"/>
            <w:vAlign w:val="center"/>
          </w:tcPr>
          <w:p>
            <w:pPr>
              <w:spacing w:before="240" w:after="48" w:line="245" w:lineRule="auto"/>
              <w:jc w:val="center"/>
              <w:rPr>
                <w:color w:val="4472C4" w:themeColor="accent1"/>
                <w14:textFill>
                  <w14:solidFill>
                    <w14:schemeClr w14:val="accent1"/>
                  </w14:solidFill>
                </w14:textFill>
              </w:rPr>
            </w:pPr>
            <w:r>
              <w:t>运营期环境影响</w:t>
            </w:r>
            <w:r>
              <w:rPr>
                <w:rFonts w:hint="eastAsia"/>
              </w:rPr>
              <w:t>和</w:t>
            </w:r>
            <w:r>
              <w:t>保护措施</w:t>
            </w:r>
          </w:p>
        </w:tc>
        <w:tc>
          <w:tcPr>
            <w:tcW w:w="4803" w:type="pct"/>
          </w:tcPr>
          <w:p>
            <w:pPr>
              <w:keepNext/>
              <w:widowControl/>
              <w:tabs>
                <w:tab w:val="right" w:pos="13920"/>
              </w:tabs>
              <w:spacing w:line="245" w:lineRule="auto"/>
              <w:jc w:val="center"/>
              <w:rPr>
                <w:rFonts w:ascii="宋体" w:hAnsi="宋体" w:cs="Times New Roman"/>
                <w:bCs/>
                <w:snapToGrid w:val="0"/>
                <w:color w:val="000000"/>
                <w:kern w:val="2"/>
                <w:szCs w:val="21"/>
              </w:rPr>
            </w:pPr>
            <w:bookmarkStart w:id="33" w:name="_Ref128467741"/>
            <w:bookmarkStart w:id="34" w:name="_Ref154821968"/>
            <w:r>
              <w:rPr>
                <w:rFonts w:ascii="宋体" w:hAnsi="宋体" w:cs="Times New Roman"/>
                <w:bCs/>
                <w:snapToGrid w:val="0"/>
                <w:color w:val="000000"/>
                <w:kern w:val="2"/>
                <w:szCs w:val="21"/>
              </w:rPr>
              <w:t>表</w:t>
            </w:r>
            <w:r>
              <w:rPr>
                <w:rFonts w:ascii="宋体" w:hAnsi="宋体" w:cs="Times New Roman"/>
                <w:bCs/>
                <w:snapToGrid w:val="0"/>
                <w:color w:val="000000"/>
                <w:kern w:val="2"/>
                <w:szCs w:val="21"/>
              </w:rPr>
              <w:fldChar w:fldCharType="begin"/>
            </w:r>
            <w:r>
              <w:rPr>
                <w:rFonts w:ascii="宋体" w:hAnsi="宋体" w:cs="Times New Roman"/>
                <w:bCs/>
                <w:snapToGrid w:val="0"/>
                <w:color w:val="000000"/>
                <w:kern w:val="2"/>
                <w:szCs w:val="21"/>
              </w:rPr>
              <w:instrText xml:space="preserve"> </w:instrText>
            </w:r>
            <w:r>
              <w:rPr>
                <w:rFonts w:hint="eastAsia" w:ascii="宋体" w:hAnsi="宋体" w:cs="Times New Roman"/>
                <w:bCs/>
                <w:snapToGrid w:val="0"/>
                <w:color w:val="000000"/>
                <w:kern w:val="2"/>
                <w:szCs w:val="21"/>
              </w:rPr>
              <w:instrText xml:space="preserve">SEQ 表格 \* ARABIC</w:instrText>
            </w:r>
            <w:r>
              <w:rPr>
                <w:rFonts w:ascii="宋体" w:hAnsi="宋体" w:cs="Times New Roman"/>
                <w:bCs/>
                <w:snapToGrid w:val="0"/>
                <w:color w:val="000000"/>
                <w:kern w:val="2"/>
                <w:szCs w:val="21"/>
              </w:rPr>
              <w:instrText xml:space="preserve"> </w:instrText>
            </w:r>
            <w:r>
              <w:rPr>
                <w:rFonts w:ascii="宋体" w:hAnsi="宋体" w:cs="Times New Roman"/>
                <w:bCs/>
                <w:snapToGrid w:val="0"/>
                <w:color w:val="000000"/>
                <w:kern w:val="2"/>
                <w:szCs w:val="21"/>
              </w:rPr>
              <w:fldChar w:fldCharType="separate"/>
            </w:r>
            <w:r>
              <w:rPr>
                <w:rFonts w:ascii="宋体" w:hAnsi="宋体" w:cs="Times New Roman"/>
                <w:bCs/>
                <w:snapToGrid w:val="0"/>
                <w:color w:val="000000"/>
                <w:kern w:val="2"/>
                <w:szCs w:val="21"/>
              </w:rPr>
              <w:t>23</w:t>
            </w:r>
            <w:r>
              <w:rPr>
                <w:rFonts w:ascii="宋体" w:hAnsi="宋体" w:cs="Times New Roman"/>
                <w:bCs/>
                <w:snapToGrid w:val="0"/>
                <w:color w:val="000000"/>
                <w:kern w:val="2"/>
                <w:szCs w:val="21"/>
              </w:rPr>
              <w:fldChar w:fldCharType="end"/>
            </w:r>
            <w:bookmarkEnd w:id="33"/>
            <w:r>
              <w:rPr>
                <w:rFonts w:hint="eastAsia" w:ascii="宋体" w:hAnsi="宋体" w:cs="Times New Roman"/>
                <w:bCs/>
                <w:snapToGrid w:val="0"/>
                <w:color w:val="000000"/>
                <w:kern w:val="2"/>
                <w:szCs w:val="21"/>
              </w:rPr>
              <w:t>噪声污染源调查</w:t>
            </w:r>
            <w:r>
              <w:rPr>
                <w:rFonts w:ascii="宋体" w:hAnsi="宋体" w:cs="Times New Roman"/>
                <w:bCs/>
                <w:snapToGrid w:val="0"/>
                <w:color w:val="000000"/>
                <w:kern w:val="2"/>
                <w:szCs w:val="21"/>
              </w:rPr>
              <w:t>及治理</w:t>
            </w:r>
            <w:r>
              <w:rPr>
                <w:rFonts w:hint="eastAsia" w:ascii="宋体" w:hAnsi="宋体" w:cs="Times New Roman"/>
                <w:bCs/>
                <w:snapToGrid w:val="0"/>
                <w:color w:val="000000"/>
                <w:kern w:val="2"/>
                <w:szCs w:val="21"/>
              </w:rPr>
              <w:t>措施</w:t>
            </w:r>
            <w:r>
              <w:rPr>
                <w:rFonts w:ascii="宋体" w:hAnsi="宋体" w:cs="Times New Roman"/>
                <w:bCs/>
                <w:snapToGrid w:val="0"/>
                <w:color w:val="000000"/>
                <w:kern w:val="2"/>
                <w:szCs w:val="21"/>
              </w:rPr>
              <w:t>信息表</w:t>
            </w:r>
            <w:r>
              <w:rPr>
                <w:rFonts w:hint="eastAsia" w:ascii="宋体" w:hAnsi="宋体" w:cs="Times New Roman"/>
                <w:bCs/>
                <w:snapToGrid w:val="0"/>
                <w:color w:val="000000"/>
                <w:kern w:val="2"/>
                <w:szCs w:val="21"/>
              </w:rPr>
              <w:t>（室外声源）</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67"/>
              <w:gridCol w:w="1206"/>
              <w:gridCol w:w="683"/>
              <w:gridCol w:w="957"/>
              <w:gridCol w:w="2855"/>
              <w:gridCol w:w="971"/>
              <w:gridCol w:w="714"/>
              <w:gridCol w:w="736"/>
              <w:gridCol w:w="4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38" w:hRule="atLeast"/>
              </w:trPr>
              <w:tc>
                <w:tcPr>
                  <w:tcW w:w="258" w:type="pct"/>
                  <w:vMerge w:val="restart"/>
                  <w:vAlign w:val="center"/>
                </w:tcPr>
                <w:p>
                  <w:pPr>
                    <w:pStyle w:val="68"/>
                    <w:spacing w:before="24" w:after="24"/>
                  </w:pPr>
                  <w:r>
                    <w:t>序号</w:t>
                  </w:r>
                </w:p>
              </w:tc>
              <w:tc>
                <w:tcPr>
                  <w:tcW w:w="667" w:type="pct"/>
                  <w:vMerge w:val="restart"/>
                  <w:vAlign w:val="center"/>
                </w:tcPr>
                <w:p>
                  <w:pPr>
                    <w:pStyle w:val="68"/>
                    <w:spacing w:before="24" w:after="24"/>
                  </w:pPr>
                  <w:r>
                    <w:t>设备名称</w:t>
                  </w:r>
                </w:p>
              </w:tc>
              <w:tc>
                <w:tcPr>
                  <w:tcW w:w="378" w:type="pct"/>
                  <w:vMerge w:val="restart"/>
                  <w:vAlign w:val="center"/>
                </w:tcPr>
                <w:p>
                  <w:pPr>
                    <w:pStyle w:val="68"/>
                    <w:spacing w:before="24" w:after="24"/>
                  </w:pPr>
                  <w:r>
                    <w:t>型号/规格</w:t>
                  </w:r>
                </w:p>
              </w:tc>
              <w:tc>
                <w:tcPr>
                  <w:tcW w:w="529" w:type="pct"/>
                  <w:vMerge w:val="restart"/>
                  <w:vAlign w:val="center"/>
                </w:tcPr>
                <w:p>
                  <w:pPr>
                    <w:pStyle w:val="68"/>
                    <w:spacing w:before="24" w:after="24"/>
                  </w:pPr>
                  <w:r>
                    <w:t>声压级/dB(A)</w:t>
                  </w:r>
                </w:p>
              </w:tc>
              <w:tc>
                <w:tcPr>
                  <w:tcW w:w="1579" w:type="pct"/>
                  <w:vMerge w:val="restart"/>
                  <w:vAlign w:val="center"/>
                </w:tcPr>
                <w:p>
                  <w:pPr>
                    <w:pStyle w:val="68"/>
                    <w:spacing w:before="24" w:after="24"/>
                  </w:pPr>
                  <w:r>
                    <w:t>声源控制措施</w:t>
                  </w:r>
                </w:p>
              </w:tc>
              <w:tc>
                <w:tcPr>
                  <w:tcW w:w="537" w:type="pct"/>
                  <w:vMerge w:val="restart"/>
                  <w:vAlign w:val="center"/>
                </w:tcPr>
                <w:p>
                  <w:pPr>
                    <w:pStyle w:val="68"/>
                    <w:spacing w:before="24" w:after="24"/>
                  </w:pPr>
                  <w:r>
                    <w:t>采取措施后声压级/dB(A)</w:t>
                  </w:r>
                </w:p>
              </w:tc>
              <w:tc>
                <w:tcPr>
                  <w:tcW w:w="1052" w:type="pct"/>
                  <w:gridSpan w:val="3"/>
                  <w:vAlign w:val="center"/>
                </w:tcPr>
                <w:p>
                  <w:pPr>
                    <w:pStyle w:val="68"/>
                    <w:spacing w:before="24" w:after="24"/>
                  </w:pPr>
                  <w:r>
                    <w:t>空间相对位置/m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258" w:type="pct"/>
                  <w:vMerge w:val="continue"/>
                  <w:vAlign w:val="center"/>
                </w:tcPr>
                <w:p>
                  <w:pPr>
                    <w:pStyle w:val="68"/>
                    <w:spacing w:before="24" w:after="24"/>
                  </w:pPr>
                </w:p>
              </w:tc>
              <w:tc>
                <w:tcPr>
                  <w:tcW w:w="667" w:type="pct"/>
                  <w:vMerge w:val="continue"/>
                  <w:vAlign w:val="center"/>
                </w:tcPr>
                <w:p>
                  <w:pPr>
                    <w:pStyle w:val="68"/>
                    <w:spacing w:before="24" w:after="24"/>
                  </w:pPr>
                </w:p>
              </w:tc>
              <w:tc>
                <w:tcPr>
                  <w:tcW w:w="378" w:type="pct"/>
                  <w:vMerge w:val="continue"/>
                  <w:vAlign w:val="center"/>
                </w:tcPr>
                <w:p>
                  <w:pPr>
                    <w:pStyle w:val="68"/>
                    <w:spacing w:before="24" w:after="24"/>
                  </w:pPr>
                </w:p>
              </w:tc>
              <w:tc>
                <w:tcPr>
                  <w:tcW w:w="529" w:type="pct"/>
                  <w:vMerge w:val="continue"/>
                  <w:vAlign w:val="center"/>
                </w:tcPr>
                <w:p>
                  <w:pPr>
                    <w:pStyle w:val="68"/>
                    <w:spacing w:before="24" w:after="24"/>
                  </w:pPr>
                </w:p>
              </w:tc>
              <w:tc>
                <w:tcPr>
                  <w:tcW w:w="1579" w:type="pct"/>
                  <w:vMerge w:val="continue"/>
                  <w:vAlign w:val="center"/>
                </w:tcPr>
                <w:p>
                  <w:pPr>
                    <w:pStyle w:val="68"/>
                    <w:spacing w:before="24" w:after="24"/>
                  </w:pPr>
                </w:p>
              </w:tc>
              <w:tc>
                <w:tcPr>
                  <w:tcW w:w="537" w:type="pct"/>
                  <w:vMerge w:val="continue"/>
                  <w:vAlign w:val="center"/>
                </w:tcPr>
                <w:p>
                  <w:pPr>
                    <w:pStyle w:val="68"/>
                    <w:spacing w:before="24" w:after="24"/>
                  </w:pPr>
                </w:p>
              </w:tc>
              <w:tc>
                <w:tcPr>
                  <w:tcW w:w="395" w:type="pct"/>
                  <w:vAlign w:val="center"/>
                </w:tcPr>
                <w:p>
                  <w:pPr>
                    <w:pStyle w:val="68"/>
                    <w:spacing w:before="24" w:after="24"/>
                  </w:pPr>
                  <w:r>
                    <w:t>x</w:t>
                  </w:r>
                </w:p>
              </w:tc>
              <w:tc>
                <w:tcPr>
                  <w:tcW w:w="407" w:type="pct"/>
                  <w:vAlign w:val="center"/>
                </w:tcPr>
                <w:p>
                  <w:pPr>
                    <w:pStyle w:val="68"/>
                    <w:spacing w:before="24" w:after="24"/>
                  </w:pPr>
                  <w:r>
                    <w:t>y</w:t>
                  </w:r>
                </w:p>
              </w:tc>
              <w:tc>
                <w:tcPr>
                  <w:tcW w:w="250" w:type="pct"/>
                  <w:vAlign w:val="center"/>
                </w:tcPr>
                <w:p>
                  <w:pPr>
                    <w:pStyle w:val="68"/>
                    <w:spacing w:before="24" w:after="24"/>
                  </w:pPr>
                  <w:r>
                    <w:t>z</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258" w:type="pct"/>
                  <w:vAlign w:val="center"/>
                </w:tcPr>
                <w:p>
                  <w:pPr>
                    <w:pStyle w:val="68"/>
                    <w:spacing w:before="24" w:after="24"/>
                  </w:pPr>
                  <w:r>
                    <w:rPr>
                      <w:rFonts w:hint="eastAsia"/>
                    </w:rPr>
                    <w:t>1</w:t>
                  </w:r>
                </w:p>
              </w:tc>
              <w:tc>
                <w:tcPr>
                  <w:tcW w:w="667" w:type="pct"/>
                  <w:vAlign w:val="center"/>
                </w:tcPr>
                <w:p>
                  <w:pPr>
                    <w:pStyle w:val="68"/>
                    <w:spacing w:before="24" w:after="24"/>
                  </w:pPr>
                  <w:r>
                    <w:t>粉料</w:t>
                  </w:r>
                  <w:r>
                    <w:rPr>
                      <w:rFonts w:hint="eastAsia"/>
                    </w:rPr>
                    <w:t>北筒仓</w:t>
                  </w:r>
                  <w:r>
                    <w:t>卸料</w:t>
                  </w:r>
                  <w:r>
                    <w:rPr>
                      <w:rFonts w:hint="eastAsia"/>
                    </w:rPr>
                    <w:t>输送</w:t>
                  </w:r>
                </w:p>
              </w:tc>
              <w:tc>
                <w:tcPr>
                  <w:tcW w:w="378" w:type="pct"/>
                  <w:vAlign w:val="center"/>
                </w:tcPr>
                <w:p>
                  <w:pPr>
                    <w:pStyle w:val="68"/>
                    <w:spacing w:before="24" w:after="24"/>
                  </w:pPr>
                  <w:r>
                    <w:t>/</w:t>
                  </w:r>
                </w:p>
              </w:tc>
              <w:tc>
                <w:tcPr>
                  <w:tcW w:w="529" w:type="pct"/>
                  <w:vAlign w:val="center"/>
                </w:tcPr>
                <w:p>
                  <w:pPr>
                    <w:pStyle w:val="68"/>
                    <w:spacing w:before="24" w:after="24"/>
                  </w:pPr>
                  <w:r>
                    <w:t>80</w:t>
                  </w:r>
                </w:p>
              </w:tc>
              <w:tc>
                <w:tcPr>
                  <w:tcW w:w="1579" w:type="pct"/>
                  <w:vAlign w:val="center"/>
                </w:tcPr>
                <w:p>
                  <w:pPr>
                    <w:pStyle w:val="68"/>
                    <w:spacing w:before="24" w:after="24"/>
                  </w:pPr>
                  <w:r>
                    <w:t>选用低噪声设备，基础减振</w:t>
                  </w:r>
                </w:p>
              </w:tc>
              <w:tc>
                <w:tcPr>
                  <w:tcW w:w="537" w:type="pct"/>
                  <w:vAlign w:val="center"/>
                </w:tcPr>
                <w:p>
                  <w:pPr>
                    <w:pStyle w:val="68"/>
                    <w:spacing w:before="24" w:after="24"/>
                  </w:pPr>
                  <w:r>
                    <w:t>60</w:t>
                  </w:r>
                </w:p>
              </w:tc>
              <w:tc>
                <w:tcPr>
                  <w:tcW w:w="395" w:type="pct"/>
                  <w:shd w:val="clear" w:color="auto" w:fill="auto"/>
                  <w:vAlign w:val="center"/>
                </w:tcPr>
                <w:p>
                  <w:pPr>
                    <w:pStyle w:val="68"/>
                    <w:spacing w:before="24" w:after="24"/>
                  </w:pPr>
                  <w:r>
                    <w:rPr>
                      <w:rFonts w:hint="eastAsia" w:ascii="等线" w:hAnsi="等线" w:eastAsia="等线"/>
                      <w:color w:val="000000"/>
                      <w:sz w:val="22"/>
                      <w:szCs w:val="22"/>
                    </w:rPr>
                    <w:t xml:space="preserve">114.3 </w:t>
                  </w:r>
                </w:p>
              </w:tc>
              <w:tc>
                <w:tcPr>
                  <w:tcW w:w="407" w:type="pct"/>
                  <w:shd w:val="clear" w:color="auto" w:fill="auto"/>
                  <w:vAlign w:val="center"/>
                </w:tcPr>
                <w:p>
                  <w:pPr>
                    <w:pStyle w:val="68"/>
                    <w:spacing w:before="24" w:after="24"/>
                  </w:pPr>
                  <w:r>
                    <w:rPr>
                      <w:rFonts w:hint="eastAsia" w:ascii="等线" w:hAnsi="等线" w:eastAsia="等线"/>
                      <w:color w:val="000000"/>
                      <w:sz w:val="22"/>
                      <w:szCs w:val="22"/>
                    </w:rPr>
                    <w:t xml:space="preserve">136.9 </w:t>
                  </w:r>
                </w:p>
              </w:tc>
              <w:tc>
                <w:tcPr>
                  <w:tcW w:w="250" w:type="pct"/>
                  <w:vAlign w:val="center"/>
                </w:tcPr>
                <w:p>
                  <w:pPr>
                    <w:pStyle w:val="68"/>
                    <w:spacing w:before="24" w:after="24"/>
                  </w:pPr>
                  <w: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258" w:type="pct"/>
                  <w:vAlign w:val="center"/>
                </w:tcPr>
                <w:p>
                  <w:pPr>
                    <w:pStyle w:val="68"/>
                    <w:spacing w:before="24" w:after="24"/>
                  </w:pPr>
                  <w:r>
                    <w:rPr>
                      <w:rFonts w:hint="eastAsia"/>
                    </w:rPr>
                    <w:t>2</w:t>
                  </w:r>
                </w:p>
              </w:tc>
              <w:tc>
                <w:tcPr>
                  <w:tcW w:w="667" w:type="pct"/>
                  <w:vAlign w:val="center"/>
                </w:tcPr>
                <w:p>
                  <w:pPr>
                    <w:pStyle w:val="68"/>
                    <w:spacing w:before="24" w:after="24"/>
                  </w:pPr>
                  <w:r>
                    <w:t>粉料</w:t>
                  </w:r>
                  <w:r>
                    <w:rPr>
                      <w:rFonts w:hint="eastAsia"/>
                    </w:rPr>
                    <w:t>南筒仓卸料</w:t>
                  </w:r>
                  <w:r>
                    <w:t>输送</w:t>
                  </w:r>
                </w:p>
              </w:tc>
              <w:tc>
                <w:tcPr>
                  <w:tcW w:w="378" w:type="pct"/>
                  <w:vAlign w:val="center"/>
                </w:tcPr>
                <w:p>
                  <w:pPr>
                    <w:pStyle w:val="68"/>
                    <w:spacing w:before="24" w:after="24"/>
                  </w:pPr>
                  <w:r>
                    <w:t>/</w:t>
                  </w:r>
                </w:p>
              </w:tc>
              <w:tc>
                <w:tcPr>
                  <w:tcW w:w="529" w:type="pct"/>
                  <w:vAlign w:val="center"/>
                </w:tcPr>
                <w:p>
                  <w:pPr>
                    <w:pStyle w:val="68"/>
                    <w:spacing w:before="24" w:after="24"/>
                  </w:pPr>
                  <w:r>
                    <w:t>80</w:t>
                  </w:r>
                </w:p>
              </w:tc>
              <w:tc>
                <w:tcPr>
                  <w:tcW w:w="1579" w:type="pct"/>
                  <w:vAlign w:val="center"/>
                </w:tcPr>
                <w:p>
                  <w:pPr>
                    <w:pStyle w:val="68"/>
                    <w:spacing w:before="24" w:after="24"/>
                  </w:pPr>
                  <w:r>
                    <w:t>选用低噪声设备，基础减振</w:t>
                  </w:r>
                </w:p>
              </w:tc>
              <w:tc>
                <w:tcPr>
                  <w:tcW w:w="537" w:type="pct"/>
                  <w:vAlign w:val="center"/>
                </w:tcPr>
                <w:p>
                  <w:pPr>
                    <w:pStyle w:val="68"/>
                    <w:spacing w:before="24" w:after="24"/>
                  </w:pPr>
                  <w:r>
                    <w:t>60</w:t>
                  </w:r>
                </w:p>
              </w:tc>
              <w:tc>
                <w:tcPr>
                  <w:tcW w:w="395" w:type="pct"/>
                  <w:shd w:val="clear" w:color="auto" w:fill="auto"/>
                  <w:vAlign w:val="center"/>
                </w:tcPr>
                <w:p>
                  <w:pPr>
                    <w:pStyle w:val="68"/>
                    <w:spacing w:before="24" w:after="24"/>
                  </w:pPr>
                  <w:r>
                    <w:rPr>
                      <w:rFonts w:hint="eastAsia" w:ascii="等线" w:hAnsi="等线" w:eastAsia="等线"/>
                      <w:color w:val="000000"/>
                      <w:sz w:val="22"/>
                      <w:szCs w:val="22"/>
                    </w:rPr>
                    <w:t xml:space="preserve">115.0 </w:t>
                  </w:r>
                </w:p>
              </w:tc>
              <w:tc>
                <w:tcPr>
                  <w:tcW w:w="407" w:type="pct"/>
                  <w:shd w:val="clear" w:color="auto" w:fill="auto"/>
                  <w:vAlign w:val="center"/>
                </w:tcPr>
                <w:p>
                  <w:pPr>
                    <w:pStyle w:val="68"/>
                    <w:spacing w:before="24" w:after="24"/>
                  </w:pPr>
                  <w:r>
                    <w:rPr>
                      <w:rFonts w:hint="eastAsia" w:ascii="等线" w:hAnsi="等线" w:eastAsia="等线"/>
                      <w:color w:val="000000"/>
                      <w:sz w:val="22"/>
                      <w:szCs w:val="22"/>
                    </w:rPr>
                    <w:t xml:space="preserve">109.1 </w:t>
                  </w:r>
                </w:p>
              </w:tc>
              <w:tc>
                <w:tcPr>
                  <w:tcW w:w="250" w:type="pct"/>
                  <w:vAlign w:val="center"/>
                </w:tcPr>
                <w:p>
                  <w:pPr>
                    <w:pStyle w:val="68"/>
                    <w:spacing w:before="24" w:after="24"/>
                  </w:pPr>
                  <w: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258" w:type="pct"/>
                  <w:vAlign w:val="center"/>
                </w:tcPr>
                <w:p>
                  <w:pPr>
                    <w:pStyle w:val="68"/>
                    <w:spacing w:before="24" w:after="24"/>
                  </w:pPr>
                  <w:r>
                    <w:rPr>
                      <w:rFonts w:hint="eastAsia"/>
                    </w:rPr>
                    <w:t>3</w:t>
                  </w:r>
                </w:p>
              </w:tc>
              <w:tc>
                <w:tcPr>
                  <w:tcW w:w="667" w:type="pct"/>
                  <w:vAlign w:val="center"/>
                </w:tcPr>
                <w:p>
                  <w:pPr>
                    <w:pStyle w:val="68"/>
                    <w:spacing w:before="24" w:after="24"/>
                  </w:pPr>
                  <w:r>
                    <w:rPr>
                      <w:rFonts w:hint="eastAsia"/>
                    </w:rPr>
                    <w:t>砂石分离机</w:t>
                  </w:r>
                </w:p>
              </w:tc>
              <w:tc>
                <w:tcPr>
                  <w:tcW w:w="378" w:type="pct"/>
                  <w:vAlign w:val="center"/>
                </w:tcPr>
                <w:p>
                  <w:pPr>
                    <w:pStyle w:val="68"/>
                    <w:spacing w:before="24" w:after="24"/>
                  </w:pPr>
                  <w:r>
                    <w:rPr>
                      <w:rFonts w:hint="eastAsia"/>
                    </w:rPr>
                    <w:t>/</w:t>
                  </w:r>
                </w:p>
              </w:tc>
              <w:tc>
                <w:tcPr>
                  <w:tcW w:w="529" w:type="pct"/>
                  <w:vAlign w:val="center"/>
                </w:tcPr>
                <w:p>
                  <w:pPr>
                    <w:pStyle w:val="68"/>
                    <w:spacing w:before="24" w:after="24"/>
                  </w:pPr>
                  <w:r>
                    <w:rPr>
                      <w:rFonts w:hint="eastAsia"/>
                    </w:rPr>
                    <w:t>8</w:t>
                  </w:r>
                  <w:r>
                    <w:t>5</w:t>
                  </w:r>
                </w:p>
              </w:tc>
              <w:tc>
                <w:tcPr>
                  <w:tcW w:w="1579" w:type="pct"/>
                  <w:vAlign w:val="center"/>
                </w:tcPr>
                <w:p>
                  <w:pPr>
                    <w:pStyle w:val="68"/>
                    <w:spacing w:before="24" w:after="24"/>
                  </w:pPr>
                  <w:r>
                    <w:t>选用低噪声设备，基础减振</w:t>
                  </w:r>
                </w:p>
              </w:tc>
              <w:tc>
                <w:tcPr>
                  <w:tcW w:w="537" w:type="pct"/>
                  <w:vAlign w:val="center"/>
                </w:tcPr>
                <w:p>
                  <w:pPr>
                    <w:pStyle w:val="68"/>
                    <w:spacing w:before="24" w:after="24"/>
                  </w:pPr>
                  <w:r>
                    <w:rPr>
                      <w:rFonts w:hint="eastAsia"/>
                    </w:rPr>
                    <w:t>6</w:t>
                  </w:r>
                  <w:r>
                    <w:t>5</w:t>
                  </w:r>
                </w:p>
              </w:tc>
              <w:tc>
                <w:tcPr>
                  <w:tcW w:w="395" w:type="pct"/>
                  <w:shd w:val="clear" w:color="auto" w:fill="auto"/>
                  <w:vAlign w:val="center"/>
                </w:tcPr>
                <w:p>
                  <w:pPr>
                    <w:pStyle w:val="68"/>
                    <w:spacing w:before="24" w:after="24"/>
                    <w:rPr>
                      <w:rFonts w:eastAsia="等线"/>
                      <w:color w:val="000000"/>
                      <w:sz w:val="22"/>
                      <w:szCs w:val="22"/>
                    </w:rPr>
                  </w:pPr>
                  <w:r>
                    <w:rPr>
                      <w:rFonts w:hint="eastAsia" w:ascii="等线" w:hAnsi="等线" w:eastAsia="等线"/>
                      <w:color w:val="000000"/>
                      <w:sz w:val="22"/>
                      <w:szCs w:val="22"/>
                    </w:rPr>
                    <w:t xml:space="preserve">92.3 </w:t>
                  </w:r>
                </w:p>
              </w:tc>
              <w:tc>
                <w:tcPr>
                  <w:tcW w:w="407" w:type="pct"/>
                  <w:shd w:val="clear" w:color="auto" w:fill="auto"/>
                  <w:vAlign w:val="center"/>
                </w:tcPr>
                <w:p>
                  <w:pPr>
                    <w:pStyle w:val="68"/>
                    <w:spacing w:before="24" w:after="24"/>
                    <w:rPr>
                      <w:rFonts w:eastAsia="等线"/>
                      <w:color w:val="000000"/>
                      <w:sz w:val="22"/>
                      <w:szCs w:val="22"/>
                    </w:rPr>
                  </w:pPr>
                  <w:r>
                    <w:rPr>
                      <w:rFonts w:hint="eastAsia" w:ascii="等线" w:hAnsi="等线" w:eastAsia="等线"/>
                      <w:color w:val="000000"/>
                      <w:sz w:val="22"/>
                      <w:szCs w:val="22"/>
                    </w:rPr>
                    <w:t xml:space="preserve">140.5 </w:t>
                  </w:r>
                </w:p>
              </w:tc>
              <w:tc>
                <w:tcPr>
                  <w:tcW w:w="250" w:type="pct"/>
                  <w:vAlign w:val="center"/>
                </w:tcPr>
                <w:p>
                  <w:pPr>
                    <w:pStyle w:val="68"/>
                    <w:spacing w:before="24" w:after="24"/>
                  </w:pPr>
                  <w:r>
                    <w:rPr>
                      <w:rFonts w:hint="eastAsia"/>
                    </w:rPr>
                    <w:t>1</w:t>
                  </w:r>
                  <w: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258" w:type="pct"/>
                  <w:vAlign w:val="center"/>
                </w:tcPr>
                <w:p>
                  <w:pPr>
                    <w:pStyle w:val="68"/>
                    <w:spacing w:before="24" w:after="24"/>
                  </w:pPr>
                  <w:r>
                    <w:rPr>
                      <w:rFonts w:hint="eastAsia"/>
                    </w:rPr>
                    <w:t>5</w:t>
                  </w:r>
                </w:p>
              </w:tc>
              <w:tc>
                <w:tcPr>
                  <w:tcW w:w="667" w:type="pct"/>
                  <w:vAlign w:val="center"/>
                </w:tcPr>
                <w:p>
                  <w:pPr>
                    <w:pStyle w:val="68"/>
                    <w:spacing w:before="24" w:after="24"/>
                  </w:pPr>
                  <w:r>
                    <w:t>车辆行驶</w:t>
                  </w:r>
                </w:p>
              </w:tc>
              <w:tc>
                <w:tcPr>
                  <w:tcW w:w="378" w:type="pct"/>
                  <w:vAlign w:val="center"/>
                </w:tcPr>
                <w:p>
                  <w:pPr>
                    <w:pStyle w:val="68"/>
                    <w:spacing w:before="24" w:after="24"/>
                  </w:pPr>
                  <w:r>
                    <w:t>/</w:t>
                  </w:r>
                </w:p>
              </w:tc>
              <w:tc>
                <w:tcPr>
                  <w:tcW w:w="529" w:type="pct"/>
                  <w:vAlign w:val="center"/>
                </w:tcPr>
                <w:p>
                  <w:pPr>
                    <w:pStyle w:val="68"/>
                    <w:spacing w:before="24" w:after="24"/>
                  </w:pPr>
                  <w:r>
                    <w:t>70</w:t>
                  </w:r>
                </w:p>
              </w:tc>
              <w:tc>
                <w:tcPr>
                  <w:tcW w:w="1579" w:type="pct"/>
                  <w:vAlign w:val="center"/>
                </w:tcPr>
                <w:p>
                  <w:pPr>
                    <w:pStyle w:val="68"/>
                    <w:spacing w:before="24" w:after="24"/>
                  </w:pPr>
                  <w:r>
                    <w:t>低速行驶</w:t>
                  </w:r>
                </w:p>
              </w:tc>
              <w:tc>
                <w:tcPr>
                  <w:tcW w:w="537" w:type="pct"/>
                  <w:vAlign w:val="center"/>
                </w:tcPr>
                <w:p>
                  <w:pPr>
                    <w:pStyle w:val="68"/>
                    <w:spacing w:before="24" w:after="24"/>
                  </w:pPr>
                  <w:r>
                    <w:t>60</w:t>
                  </w:r>
                </w:p>
              </w:tc>
              <w:tc>
                <w:tcPr>
                  <w:tcW w:w="395" w:type="pct"/>
                  <w:shd w:val="clear" w:color="auto" w:fill="auto"/>
                  <w:vAlign w:val="center"/>
                </w:tcPr>
                <w:p>
                  <w:pPr>
                    <w:pStyle w:val="68"/>
                    <w:spacing w:before="24" w:after="24"/>
                  </w:pPr>
                  <w:r>
                    <w:rPr>
                      <w:rFonts w:eastAsia="等线"/>
                      <w:color w:val="000000"/>
                      <w:sz w:val="22"/>
                      <w:szCs w:val="22"/>
                    </w:rPr>
                    <w:t>118.1</w:t>
                  </w:r>
                </w:p>
              </w:tc>
              <w:tc>
                <w:tcPr>
                  <w:tcW w:w="407" w:type="pct"/>
                  <w:shd w:val="clear" w:color="auto" w:fill="auto"/>
                  <w:vAlign w:val="center"/>
                </w:tcPr>
                <w:p>
                  <w:pPr>
                    <w:pStyle w:val="68"/>
                    <w:spacing w:before="24" w:after="24"/>
                  </w:pPr>
                  <w:r>
                    <w:rPr>
                      <w:rFonts w:eastAsia="等线"/>
                      <w:color w:val="000000"/>
                      <w:sz w:val="22"/>
                      <w:szCs w:val="22"/>
                    </w:rPr>
                    <w:t>107.2</w:t>
                  </w:r>
                </w:p>
              </w:tc>
              <w:tc>
                <w:tcPr>
                  <w:tcW w:w="250" w:type="pct"/>
                  <w:vAlign w:val="center"/>
                </w:tcPr>
                <w:p>
                  <w:pPr>
                    <w:pStyle w:val="68"/>
                    <w:spacing w:before="24" w:after="24"/>
                  </w:pPr>
                  <w:r>
                    <w:t>2</w:t>
                  </w:r>
                </w:p>
              </w:tc>
            </w:tr>
          </w:tbl>
          <w:p>
            <w:pPr>
              <w:spacing w:line="360" w:lineRule="auto"/>
              <w:ind w:firstLine="482"/>
              <w:jc w:val="left"/>
              <w:rPr>
                <w:rFonts w:eastAsia="新宋体" w:cs="Times New Roman"/>
                <w:sz w:val="21"/>
                <w:szCs w:val="21"/>
              </w:rPr>
            </w:pPr>
            <w:bookmarkStart w:id="35" w:name="_Ref128467749"/>
            <w:bookmarkStart w:id="36" w:name="_Ref131581338"/>
            <w:r>
              <w:rPr>
                <w:rFonts w:hint="eastAsia" w:eastAsia="新宋体" w:cs="Times New Roman"/>
                <w:sz w:val="21"/>
                <w:szCs w:val="21"/>
              </w:rPr>
              <w:t>*注：车辆行驶位置取厂区中心位置</w:t>
            </w:r>
          </w:p>
          <w:p>
            <w:pPr>
              <w:keepNext/>
              <w:widowControl/>
              <w:tabs>
                <w:tab w:val="right" w:pos="13920"/>
              </w:tabs>
              <w:spacing w:line="245" w:lineRule="auto"/>
              <w:jc w:val="center"/>
              <w:rPr>
                <w:rFonts w:ascii="宋体" w:hAnsi="宋体" w:cs="Times New Roman"/>
                <w:bCs/>
                <w:snapToGrid w:val="0"/>
                <w:color w:val="000000"/>
                <w:kern w:val="2"/>
                <w:szCs w:val="21"/>
              </w:rPr>
            </w:pPr>
            <w:r>
              <w:rPr>
                <w:rFonts w:ascii="宋体" w:hAnsi="宋体" w:cs="Times New Roman"/>
                <w:bCs/>
                <w:snapToGrid w:val="0"/>
                <w:color w:val="000000"/>
                <w:kern w:val="2"/>
                <w:szCs w:val="21"/>
              </w:rPr>
              <w:t>表</w:t>
            </w:r>
            <w:r>
              <w:rPr>
                <w:rFonts w:ascii="宋体" w:hAnsi="宋体" w:cs="Times New Roman"/>
                <w:bCs/>
                <w:snapToGrid w:val="0"/>
                <w:color w:val="000000"/>
                <w:kern w:val="2"/>
                <w:szCs w:val="21"/>
              </w:rPr>
              <w:fldChar w:fldCharType="begin"/>
            </w:r>
            <w:r>
              <w:rPr>
                <w:rFonts w:ascii="宋体" w:hAnsi="宋体" w:cs="Times New Roman"/>
                <w:bCs/>
                <w:snapToGrid w:val="0"/>
                <w:color w:val="000000"/>
                <w:kern w:val="2"/>
                <w:szCs w:val="21"/>
              </w:rPr>
              <w:instrText xml:space="preserve"> </w:instrText>
            </w:r>
            <w:r>
              <w:rPr>
                <w:rFonts w:hint="eastAsia" w:ascii="宋体" w:hAnsi="宋体" w:cs="Times New Roman"/>
                <w:bCs/>
                <w:snapToGrid w:val="0"/>
                <w:color w:val="000000"/>
                <w:kern w:val="2"/>
                <w:szCs w:val="21"/>
              </w:rPr>
              <w:instrText xml:space="preserve">SEQ 表格 \* ARABIC</w:instrText>
            </w:r>
            <w:r>
              <w:rPr>
                <w:rFonts w:ascii="宋体" w:hAnsi="宋体" w:cs="Times New Roman"/>
                <w:bCs/>
                <w:snapToGrid w:val="0"/>
                <w:color w:val="000000"/>
                <w:kern w:val="2"/>
                <w:szCs w:val="21"/>
              </w:rPr>
              <w:instrText xml:space="preserve"> </w:instrText>
            </w:r>
            <w:r>
              <w:rPr>
                <w:rFonts w:ascii="宋体" w:hAnsi="宋体" w:cs="Times New Roman"/>
                <w:bCs/>
                <w:snapToGrid w:val="0"/>
                <w:color w:val="000000"/>
                <w:kern w:val="2"/>
                <w:szCs w:val="21"/>
              </w:rPr>
              <w:fldChar w:fldCharType="separate"/>
            </w:r>
            <w:r>
              <w:rPr>
                <w:rFonts w:ascii="宋体" w:hAnsi="宋体" w:cs="Times New Roman"/>
                <w:bCs/>
                <w:snapToGrid w:val="0"/>
                <w:color w:val="000000"/>
                <w:kern w:val="2"/>
                <w:szCs w:val="21"/>
              </w:rPr>
              <w:t>24</w:t>
            </w:r>
            <w:r>
              <w:rPr>
                <w:rFonts w:ascii="宋体" w:hAnsi="宋体" w:cs="Times New Roman"/>
                <w:bCs/>
                <w:snapToGrid w:val="0"/>
                <w:color w:val="000000"/>
                <w:kern w:val="2"/>
                <w:szCs w:val="21"/>
              </w:rPr>
              <w:fldChar w:fldCharType="end"/>
            </w:r>
            <w:bookmarkEnd w:id="35"/>
            <w:bookmarkEnd w:id="36"/>
            <w:r>
              <w:rPr>
                <w:rFonts w:ascii="宋体" w:hAnsi="宋体" w:cs="Times New Roman"/>
                <w:bCs/>
                <w:snapToGrid w:val="0"/>
                <w:color w:val="000000"/>
                <w:kern w:val="2"/>
                <w:szCs w:val="21"/>
              </w:rPr>
              <w:t xml:space="preserve"> 项目</w:t>
            </w:r>
            <w:r>
              <w:rPr>
                <w:rFonts w:hint="eastAsia" w:ascii="宋体" w:hAnsi="宋体" w:cs="Times New Roman"/>
                <w:bCs/>
                <w:snapToGrid w:val="0"/>
                <w:color w:val="000000"/>
                <w:kern w:val="2"/>
                <w:szCs w:val="21"/>
              </w:rPr>
              <w:t>等效</w:t>
            </w:r>
            <w:r>
              <w:rPr>
                <w:rFonts w:ascii="宋体" w:hAnsi="宋体" w:cs="Times New Roman"/>
                <w:bCs/>
                <w:snapToGrid w:val="0"/>
                <w:color w:val="000000"/>
                <w:kern w:val="2"/>
                <w:szCs w:val="21"/>
              </w:rPr>
              <w:t>声源</w:t>
            </w:r>
            <w:r>
              <w:rPr>
                <w:rFonts w:hint="eastAsia" w:ascii="宋体" w:hAnsi="宋体" w:cs="Times New Roman"/>
                <w:bCs/>
                <w:snapToGrid w:val="0"/>
                <w:color w:val="000000"/>
                <w:kern w:val="2"/>
                <w:szCs w:val="21"/>
              </w:rPr>
              <w:t>、室外声源</w:t>
            </w:r>
            <w:r>
              <w:rPr>
                <w:rFonts w:ascii="宋体" w:hAnsi="宋体" w:cs="Times New Roman"/>
                <w:bCs/>
                <w:snapToGrid w:val="0"/>
                <w:color w:val="000000"/>
                <w:kern w:val="2"/>
                <w:szCs w:val="21"/>
              </w:rPr>
              <w:t>距</w:t>
            </w:r>
            <w:r>
              <w:rPr>
                <w:rFonts w:hint="eastAsia" w:ascii="宋体" w:hAnsi="宋体" w:cs="Times New Roman"/>
                <w:bCs/>
                <w:snapToGrid w:val="0"/>
                <w:color w:val="000000"/>
                <w:kern w:val="2"/>
                <w:szCs w:val="21"/>
              </w:rPr>
              <w:t>厂界距</w:t>
            </w:r>
            <w:r>
              <w:rPr>
                <w:rFonts w:ascii="宋体" w:hAnsi="宋体" w:cs="Times New Roman"/>
                <w:bCs/>
                <w:snapToGrid w:val="0"/>
                <w:color w:val="000000"/>
                <w:kern w:val="2"/>
                <w:szCs w:val="21"/>
              </w:rPr>
              <w:t>离一览表</w:t>
            </w:r>
          </w:p>
          <w:tbl>
            <w:tblPr>
              <w:tblStyle w:val="4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721"/>
              <w:gridCol w:w="1376"/>
              <w:gridCol w:w="1376"/>
              <w:gridCol w:w="1376"/>
              <w:gridCol w:w="13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restar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序号</w:t>
                  </w:r>
                </w:p>
              </w:tc>
              <w:tc>
                <w:tcPr>
                  <w:tcW w:w="1505" w:type="pct"/>
                  <w:vMerge w:val="restar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等效声源</w:t>
                  </w:r>
                  <w:r>
                    <w:rPr>
                      <w:rFonts w:hint="eastAsia" w:ascii="宋体" w:hAnsi="宋体" w:cs="Times New Roman"/>
                      <w:kern w:val="2"/>
                      <w:sz w:val="21"/>
                      <w:szCs w:val="21"/>
                    </w:rPr>
                    <w:t>/室外声源</w:t>
                  </w:r>
                </w:p>
              </w:tc>
              <w:tc>
                <w:tcPr>
                  <w:tcW w:w="3041" w:type="pct"/>
                  <w:gridSpan w:val="4"/>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距最近厂界直线距离（m）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vAlign w:val="center"/>
                </w:tcPr>
                <w:p>
                  <w:pPr>
                    <w:widowControl/>
                    <w:adjustRightInd w:val="0"/>
                    <w:snapToGrid w:val="0"/>
                    <w:spacing w:before="24" w:beforeLines="10" w:after="24" w:afterLines="10"/>
                    <w:jc w:val="center"/>
                    <w:rPr>
                      <w:rFonts w:ascii="宋体" w:hAnsi="宋体" w:cs="Times New Roman"/>
                      <w:kern w:val="2"/>
                      <w:sz w:val="21"/>
                      <w:szCs w:val="21"/>
                    </w:rPr>
                  </w:pPr>
                </w:p>
              </w:tc>
              <w:tc>
                <w:tcPr>
                  <w:tcW w:w="1505" w:type="pct"/>
                  <w:vMerge w:val="continue"/>
                  <w:vAlign w:val="center"/>
                </w:tcPr>
                <w:p>
                  <w:pPr>
                    <w:widowControl/>
                    <w:adjustRightInd w:val="0"/>
                    <w:snapToGrid w:val="0"/>
                    <w:spacing w:before="24" w:beforeLines="10" w:after="24" w:afterLines="10"/>
                    <w:jc w:val="center"/>
                    <w:rPr>
                      <w:rFonts w:ascii="宋体" w:hAnsi="宋体" w:cs="Times New Roman"/>
                      <w:kern w:val="2"/>
                      <w:sz w:val="21"/>
                      <w:szCs w:val="21"/>
                    </w:rPr>
                  </w:pPr>
                </w:p>
              </w:tc>
              <w:tc>
                <w:tcPr>
                  <w:tcW w:w="761"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东</w:t>
                  </w:r>
                </w:p>
              </w:tc>
              <w:tc>
                <w:tcPr>
                  <w:tcW w:w="761"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南</w:t>
                  </w:r>
                </w:p>
              </w:tc>
              <w:tc>
                <w:tcPr>
                  <w:tcW w:w="761"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西</w:t>
                  </w:r>
                </w:p>
              </w:tc>
              <w:tc>
                <w:tcPr>
                  <w:tcW w:w="758"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1</w:t>
                  </w:r>
                </w:p>
              </w:tc>
              <w:tc>
                <w:tcPr>
                  <w:tcW w:w="1505"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搅拌楼</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25</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40</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114</w:t>
                  </w:r>
                </w:p>
              </w:tc>
              <w:tc>
                <w:tcPr>
                  <w:tcW w:w="758"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2</w:t>
                  </w:r>
                </w:p>
              </w:tc>
              <w:tc>
                <w:tcPr>
                  <w:tcW w:w="1505"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原料库</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60</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15</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15</w:t>
                  </w:r>
                </w:p>
              </w:tc>
              <w:tc>
                <w:tcPr>
                  <w:tcW w:w="758"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3</w:t>
                  </w:r>
                </w:p>
              </w:tc>
              <w:tc>
                <w:tcPr>
                  <w:tcW w:w="1505"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cs="Times New Roman"/>
                      <w:kern w:val="2"/>
                      <w:sz w:val="21"/>
                      <w:szCs w:val="21"/>
                    </w:rPr>
                    <w:t>粉料</w:t>
                  </w:r>
                  <w:r>
                    <w:rPr>
                      <w:rFonts w:hint="eastAsia" w:cs="Times New Roman"/>
                      <w:kern w:val="2"/>
                      <w:sz w:val="21"/>
                      <w:szCs w:val="21"/>
                    </w:rPr>
                    <w:t>北筒仓</w:t>
                  </w:r>
                  <w:r>
                    <w:rPr>
                      <w:rFonts w:cs="Times New Roman"/>
                      <w:kern w:val="2"/>
                      <w:sz w:val="21"/>
                      <w:szCs w:val="21"/>
                    </w:rPr>
                    <w:t>卸料</w:t>
                  </w:r>
                  <w:r>
                    <w:rPr>
                      <w:rFonts w:hint="eastAsia" w:cs="Times New Roman"/>
                      <w:kern w:val="2"/>
                      <w:sz w:val="21"/>
                      <w:szCs w:val="21"/>
                    </w:rPr>
                    <w:t>输送</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23</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50</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114</w:t>
                  </w:r>
                </w:p>
              </w:tc>
              <w:tc>
                <w:tcPr>
                  <w:tcW w:w="758"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4</w:t>
                  </w:r>
                </w:p>
              </w:tc>
              <w:tc>
                <w:tcPr>
                  <w:tcW w:w="1505"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cs="Times New Roman"/>
                      <w:kern w:val="2"/>
                      <w:sz w:val="21"/>
                      <w:szCs w:val="21"/>
                    </w:rPr>
                    <w:t>粉料</w:t>
                  </w:r>
                  <w:r>
                    <w:rPr>
                      <w:rFonts w:hint="eastAsia" w:cs="Times New Roman"/>
                      <w:kern w:val="2"/>
                      <w:sz w:val="21"/>
                      <w:szCs w:val="21"/>
                    </w:rPr>
                    <w:t>南筒仓卸料</w:t>
                  </w:r>
                  <w:r>
                    <w:rPr>
                      <w:rFonts w:cs="Times New Roman"/>
                      <w:kern w:val="2"/>
                      <w:sz w:val="21"/>
                      <w:szCs w:val="21"/>
                    </w:rPr>
                    <w:t>输送</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23</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20</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114</w:t>
                  </w:r>
                </w:p>
              </w:tc>
              <w:tc>
                <w:tcPr>
                  <w:tcW w:w="758"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5</w:t>
                  </w:r>
                </w:p>
              </w:tc>
              <w:tc>
                <w:tcPr>
                  <w:tcW w:w="1505"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cs="Times New Roman"/>
                      <w:kern w:val="2"/>
                      <w:sz w:val="21"/>
                      <w:szCs w:val="21"/>
                    </w:rPr>
                    <w:t>砂石分离机</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45</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55</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90</w:t>
                  </w:r>
                </w:p>
              </w:tc>
              <w:tc>
                <w:tcPr>
                  <w:tcW w:w="758"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6</w:t>
                  </w:r>
                </w:p>
              </w:tc>
              <w:tc>
                <w:tcPr>
                  <w:tcW w:w="1505"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车辆行驶</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34</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35</w:t>
                  </w:r>
                </w:p>
              </w:tc>
              <w:tc>
                <w:tcPr>
                  <w:tcW w:w="761"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100</w:t>
                  </w:r>
                </w:p>
              </w:tc>
              <w:tc>
                <w:tcPr>
                  <w:tcW w:w="758" w:type="pct"/>
                  <w:shd w:val="clear" w:color="auto" w:fill="auto"/>
                  <w:vAlign w:val="center"/>
                </w:tcPr>
                <w:p>
                  <w:pPr>
                    <w:widowControl/>
                    <w:adjustRightInd w:val="0"/>
                    <w:snapToGrid w:val="0"/>
                    <w:spacing w:before="24" w:beforeLines="10" w:after="24" w:afterLines="10"/>
                    <w:jc w:val="center"/>
                    <w:rPr>
                      <w:rFonts w:ascii="宋体" w:hAnsi="宋体" w:cs="Times New Roman"/>
                      <w:color w:val="000000"/>
                      <w:kern w:val="2"/>
                      <w:sz w:val="21"/>
                      <w:szCs w:val="21"/>
                    </w:rPr>
                  </w:pPr>
                  <w:r>
                    <w:rPr>
                      <w:rFonts w:ascii="宋体" w:hAnsi="宋体" w:cs="Times New Roman"/>
                      <w:color w:val="000000"/>
                      <w:kern w:val="2"/>
                      <w:sz w:val="21"/>
                      <w:szCs w:val="21"/>
                    </w:rPr>
                    <w:t>35</w:t>
                  </w:r>
                </w:p>
              </w:tc>
            </w:tr>
          </w:tbl>
          <w:p>
            <w:pPr>
              <w:spacing w:line="360" w:lineRule="auto"/>
              <w:ind w:firstLine="480"/>
              <w:jc w:val="left"/>
              <w:rPr>
                <w:rFonts w:eastAsia="新宋体" w:cs="Times New Roman"/>
              </w:rPr>
            </w:pPr>
            <w:r>
              <w:rPr>
                <w:rFonts w:hint="eastAsia" w:eastAsia="新宋体" w:cs="Times New Roman"/>
              </w:rPr>
              <w:t>（二）厂界及保护目标噪声达标情况分析</w:t>
            </w:r>
          </w:p>
          <w:p>
            <w:pPr>
              <w:spacing w:line="360" w:lineRule="auto"/>
              <w:ind w:firstLine="482"/>
              <w:jc w:val="left"/>
              <w:rPr>
                <w:rFonts w:eastAsia="新宋体" w:cs="Times New Roman"/>
              </w:rPr>
            </w:pPr>
            <w:r>
              <w:rPr>
                <w:rFonts w:eastAsia="新宋体" w:cs="Times New Roman"/>
              </w:rPr>
              <w:t>项目</w:t>
            </w:r>
            <w:r>
              <w:rPr>
                <w:rFonts w:hint="eastAsia" w:eastAsia="新宋体" w:cs="Times New Roman"/>
              </w:rPr>
              <w:t>投产后厂界噪声排放强度分析见</w:t>
            </w:r>
            <w:bookmarkStart w:id="37" w:name="_Ref98509702"/>
            <w:r>
              <w:rPr>
                <w:rFonts w:eastAsia="新宋体" w:cs="Times New Roman"/>
                <w:lang w:eastAsia="en-US"/>
              </w:rPr>
              <w:fldChar w:fldCharType="begin"/>
            </w:r>
            <w:r>
              <w:rPr>
                <w:rFonts w:eastAsia="新宋体" w:cs="Times New Roman"/>
              </w:rPr>
              <w:instrText xml:space="preserve"> </w:instrText>
            </w:r>
            <w:r>
              <w:rPr>
                <w:rFonts w:hint="eastAsia" w:eastAsia="新宋体" w:cs="Times New Roman"/>
              </w:rPr>
              <w:instrText xml:space="preserve">REF _Ref138750735 \h</w:instrText>
            </w:r>
            <w:r>
              <w:rPr>
                <w:rFonts w:eastAsia="新宋体" w:cs="Times New Roman"/>
              </w:rPr>
              <w:instrText xml:space="preserve">  \* MERGEFORMAT </w:instrText>
            </w:r>
            <w:r>
              <w:rPr>
                <w:rFonts w:eastAsia="新宋体" w:cs="Times New Roman"/>
                <w:lang w:eastAsia="en-US"/>
              </w:rPr>
              <w:fldChar w:fldCharType="separate"/>
            </w:r>
            <w:r>
              <w:rPr>
                <w:rFonts w:eastAsia="新宋体" w:cs="Times New Roman"/>
              </w:rPr>
              <w:t>表25</w:t>
            </w:r>
            <w:r>
              <w:rPr>
                <w:rFonts w:eastAsia="新宋体" w:cs="Times New Roman"/>
                <w:lang w:eastAsia="en-US"/>
              </w:rPr>
              <w:fldChar w:fldCharType="end"/>
            </w:r>
            <w:r>
              <w:rPr>
                <w:rFonts w:hint="eastAsia" w:eastAsia="新宋体" w:cs="Times New Roman"/>
              </w:rPr>
              <w:t>。</w:t>
            </w:r>
          </w:p>
          <w:p>
            <w:pPr>
              <w:keepNext/>
              <w:widowControl/>
              <w:tabs>
                <w:tab w:val="right" w:pos="13920"/>
              </w:tabs>
              <w:spacing w:line="245" w:lineRule="auto"/>
              <w:jc w:val="center"/>
              <w:rPr>
                <w:rFonts w:ascii="宋体" w:hAnsi="宋体" w:cs="Times New Roman"/>
                <w:bCs/>
                <w:snapToGrid w:val="0"/>
                <w:color w:val="000000"/>
                <w:kern w:val="2"/>
                <w:szCs w:val="21"/>
              </w:rPr>
            </w:pPr>
            <w:bookmarkStart w:id="38" w:name="_Ref138750735"/>
            <w:r>
              <w:rPr>
                <w:rFonts w:ascii="宋体" w:hAnsi="宋体" w:cs="Times New Roman"/>
                <w:bCs/>
                <w:snapToGrid w:val="0"/>
                <w:color w:val="000000"/>
                <w:kern w:val="2"/>
                <w:szCs w:val="21"/>
              </w:rPr>
              <w:t>表</w:t>
            </w:r>
            <w:r>
              <w:rPr>
                <w:rFonts w:ascii="宋体" w:hAnsi="宋体" w:cs="Times New Roman"/>
                <w:bCs/>
                <w:snapToGrid w:val="0"/>
                <w:color w:val="000000"/>
                <w:kern w:val="2"/>
                <w:szCs w:val="21"/>
              </w:rPr>
              <w:fldChar w:fldCharType="begin"/>
            </w:r>
            <w:r>
              <w:rPr>
                <w:rFonts w:ascii="宋体" w:hAnsi="宋体" w:cs="Times New Roman"/>
                <w:bCs/>
                <w:snapToGrid w:val="0"/>
                <w:color w:val="000000"/>
                <w:kern w:val="2"/>
                <w:szCs w:val="21"/>
              </w:rPr>
              <w:instrText xml:space="preserve"> </w:instrText>
            </w:r>
            <w:r>
              <w:rPr>
                <w:rFonts w:hint="eastAsia" w:ascii="宋体" w:hAnsi="宋体" w:cs="Times New Roman"/>
                <w:bCs/>
                <w:snapToGrid w:val="0"/>
                <w:color w:val="000000"/>
                <w:kern w:val="2"/>
                <w:szCs w:val="21"/>
              </w:rPr>
              <w:instrText xml:space="preserve">SEQ 表格 \* ARABIC</w:instrText>
            </w:r>
            <w:r>
              <w:rPr>
                <w:rFonts w:ascii="宋体" w:hAnsi="宋体" w:cs="Times New Roman"/>
                <w:bCs/>
                <w:snapToGrid w:val="0"/>
                <w:color w:val="000000"/>
                <w:kern w:val="2"/>
                <w:szCs w:val="21"/>
              </w:rPr>
              <w:instrText xml:space="preserve"> </w:instrText>
            </w:r>
            <w:r>
              <w:rPr>
                <w:rFonts w:ascii="宋体" w:hAnsi="宋体" w:cs="Times New Roman"/>
                <w:bCs/>
                <w:snapToGrid w:val="0"/>
                <w:color w:val="000000"/>
                <w:kern w:val="2"/>
                <w:szCs w:val="21"/>
              </w:rPr>
              <w:fldChar w:fldCharType="separate"/>
            </w:r>
            <w:r>
              <w:rPr>
                <w:rFonts w:ascii="宋体" w:hAnsi="宋体" w:cs="Times New Roman"/>
                <w:bCs/>
                <w:snapToGrid w:val="0"/>
                <w:color w:val="000000"/>
                <w:kern w:val="2"/>
                <w:szCs w:val="21"/>
              </w:rPr>
              <w:t>25</w:t>
            </w:r>
            <w:r>
              <w:rPr>
                <w:rFonts w:ascii="宋体" w:hAnsi="宋体" w:cs="Times New Roman"/>
                <w:bCs/>
                <w:snapToGrid w:val="0"/>
                <w:color w:val="000000"/>
                <w:kern w:val="2"/>
                <w:szCs w:val="21"/>
              </w:rPr>
              <w:fldChar w:fldCharType="end"/>
            </w:r>
            <w:bookmarkEnd w:id="37"/>
            <w:bookmarkEnd w:id="38"/>
            <w:r>
              <w:rPr>
                <w:rFonts w:hint="eastAsia" w:ascii="宋体" w:hAnsi="宋体" w:cs="Times New Roman"/>
                <w:bCs/>
                <w:snapToGrid w:val="0"/>
                <w:color w:val="000000"/>
                <w:kern w:val="2"/>
                <w:szCs w:val="21"/>
              </w:rPr>
              <w:t>厂界噪声排放强度分析一览表</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2060"/>
              <w:gridCol w:w="1750"/>
              <w:gridCol w:w="1750"/>
              <w:gridCol w:w="17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58" w:type="pct"/>
                  <w:shd w:val="clear" w:color="auto" w:fill="auto"/>
                  <w:vAlign w:val="center"/>
                </w:tcPr>
                <w:p>
                  <w:pPr>
                    <w:pStyle w:val="68"/>
                    <w:spacing w:before="24" w:after="24"/>
                  </w:pPr>
                  <w:r>
                    <w:drawing>
                      <wp:inline distT="0" distB="0" distL="0" distR="0">
                        <wp:extent cx="960120" cy="409575"/>
                        <wp:effectExtent l="0" t="0" r="0" b="0"/>
                        <wp:docPr id="1208546744" name="图片 1208546744" descr="男子的脸部特写与配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46744" name="图片 1208546744" descr="男子的脸部特写与配字&#10;&#10;中度可信度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337" cy="424856"/>
                                </a:xfrm>
                                <a:prstGeom prst="rect">
                                  <a:avLst/>
                                </a:prstGeom>
                              </pic:spPr>
                            </pic:pic>
                          </a:graphicData>
                        </a:graphic>
                      </wp:inline>
                    </w:drawing>
                  </w:r>
                </w:p>
              </w:tc>
              <w:tc>
                <w:tcPr>
                  <w:tcW w:w="1139" w:type="pct"/>
                  <w:shd w:val="clear" w:color="auto" w:fill="auto"/>
                  <w:vAlign w:val="center"/>
                </w:tcPr>
                <w:p>
                  <w:pPr>
                    <w:pStyle w:val="68"/>
                    <w:spacing w:before="24" w:after="24"/>
                  </w:pPr>
                  <w:r>
                    <w:t>东厂界/dB(A)</w:t>
                  </w:r>
                </w:p>
              </w:tc>
              <w:tc>
                <w:tcPr>
                  <w:tcW w:w="968" w:type="pct"/>
                  <w:vAlign w:val="center"/>
                </w:tcPr>
                <w:p>
                  <w:pPr>
                    <w:pStyle w:val="68"/>
                    <w:spacing w:before="24" w:after="24"/>
                  </w:pPr>
                  <w:r>
                    <w:rPr>
                      <w:rFonts w:hint="eastAsia"/>
                    </w:rPr>
                    <w:t>南</w:t>
                  </w:r>
                  <w:r>
                    <w:t>厂界/dB(A)</w:t>
                  </w:r>
                </w:p>
              </w:tc>
              <w:tc>
                <w:tcPr>
                  <w:tcW w:w="968" w:type="pct"/>
                  <w:shd w:val="clear" w:color="auto" w:fill="auto"/>
                  <w:vAlign w:val="center"/>
                </w:tcPr>
                <w:p>
                  <w:pPr>
                    <w:pStyle w:val="68"/>
                    <w:spacing w:before="24" w:after="24"/>
                  </w:pPr>
                  <w:r>
                    <w:t>西厂界/dB(A)</w:t>
                  </w:r>
                </w:p>
              </w:tc>
              <w:tc>
                <w:tcPr>
                  <w:tcW w:w="967" w:type="pct"/>
                  <w:shd w:val="clear" w:color="auto" w:fill="auto"/>
                  <w:vAlign w:val="center"/>
                </w:tcPr>
                <w:p>
                  <w:pPr>
                    <w:pStyle w:val="68"/>
                    <w:spacing w:before="24" w:after="24"/>
                  </w:pPr>
                  <w:r>
                    <w:t>北厂界/dB(A)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t>搅拌楼</w:t>
                  </w:r>
                </w:p>
              </w:tc>
              <w:tc>
                <w:tcPr>
                  <w:tcW w:w="1139" w:type="pct"/>
                  <w:shd w:val="clear" w:color="auto" w:fill="auto"/>
                  <w:vAlign w:val="center"/>
                </w:tcPr>
                <w:p>
                  <w:pPr>
                    <w:pStyle w:val="68"/>
                    <w:spacing w:before="24" w:after="24"/>
                  </w:pPr>
                  <w:r>
                    <w:rPr>
                      <w:rFonts w:hint="eastAsia" w:ascii="等线" w:hAnsi="等线" w:eastAsia="等线"/>
                      <w:color w:val="000000"/>
                      <w:sz w:val="22"/>
                      <w:szCs w:val="22"/>
                    </w:rPr>
                    <w:t>49.08</w:t>
                  </w:r>
                </w:p>
              </w:tc>
              <w:tc>
                <w:tcPr>
                  <w:tcW w:w="968" w:type="pct"/>
                  <w:shd w:val="clear" w:color="auto" w:fill="auto"/>
                  <w:vAlign w:val="bottom"/>
                </w:tcPr>
                <w:p>
                  <w:pPr>
                    <w:pStyle w:val="68"/>
                    <w:spacing w:before="24" w:after="24"/>
                    <w:rPr>
                      <w:rFonts w:eastAsia="等线"/>
                      <w:color w:val="000000"/>
                      <w:sz w:val="22"/>
                      <w:szCs w:val="22"/>
                    </w:rPr>
                  </w:pPr>
                  <w:r>
                    <w:rPr>
                      <w:rFonts w:hint="eastAsia" w:ascii="等线" w:hAnsi="等线" w:eastAsia="等线"/>
                      <w:color w:val="000000"/>
                      <w:sz w:val="22"/>
                      <w:szCs w:val="22"/>
                    </w:rPr>
                    <w:t xml:space="preserve">44.95 </w:t>
                  </w:r>
                </w:p>
              </w:tc>
              <w:tc>
                <w:tcPr>
                  <w:tcW w:w="968" w:type="pct"/>
                  <w:shd w:val="clear" w:color="auto" w:fill="auto"/>
                  <w:vAlign w:val="bottom"/>
                </w:tcPr>
                <w:p>
                  <w:pPr>
                    <w:pStyle w:val="68"/>
                    <w:spacing w:before="24" w:after="24"/>
                  </w:pPr>
                  <w:r>
                    <w:rPr>
                      <w:rFonts w:hint="eastAsia" w:ascii="等线" w:hAnsi="等线" w:eastAsia="等线"/>
                      <w:color w:val="000000"/>
                      <w:sz w:val="22"/>
                      <w:szCs w:val="22"/>
                    </w:rPr>
                    <w:t xml:space="preserve">35.86 </w:t>
                  </w:r>
                </w:p>
              </w:tc>
              <w:tc>
                <w:tcPr>
                  <w:tcW w:w="967" w:type="pct"/>
                  <w:shd w:val="clear" w:color="auto" w:fill="auto"/>
                  <w:vAlign w:val="bottom"/>
                </w:tcPr>
                <w:p>
                  <w:pPr>
                    <w:pStyle w:val="68"/>
                    <w:spacing w:before="24" w:after="24"/>
                  </w:pPr>
                  <w:r>
                    <w:rPr>
                      <w:rFonts w:hint="eastAsia" w:ascii="等线" w:hAnsi="等线" w:eastAsia="等线"/>
                      <w:color w:val="000000"/>
                      <w:sz w:val="22"/>
                      <w:szCs w:val="22"/>
                    </w:rPr>
                    <w:t xml:space="preserve">44.99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t>原料库</w:t>
                  </w:r>
                </w:p>
              </w:tc>
              <w:tc>
                <w:tcPr>
                  <w:tcW w:w="1139" w:type="pct"/>
                  <w:shd w:val="clear" w:color="auto" w:fill="auto"/>
                  <w:vAlign w:val="center"/>
                </w:tcPr>
                <w:p>
                  <w:pPr>
                    <w:pStyle w:val="68"/>
                    <w:spacing w:before="24" w:after="24"/>
                    <w:rPr>
                      <w:color w:val="000000"/>
                      <w:sz w:val="22"/>
                      <w:szCs w:val="22"/>
                    </w:rPr>
                  </w:pPr>
                  <w:r>
                    <w:rPr>
                      <w:rFonts w:hint="eastAsia" w:ascii="等线" w:hAnsi="等线" w:eastAsia="等线"/>
                      <w:color w:val="000000"/>
                      <w:sz w:val="22"/>
                      <w:szCs w:val="22"/>
                    </w:rPr>
                    <w:t>9.87</w:t>
                  </w:r>
                </w:p>
              </w:tc>
              <w:tc>
                <w:tcPr>
                  <w:tcW w:w="968" w:type="pct"/>
                  <w:shd w:val="clear" w:color="auto" w:fill="auto"/>
                  <w:vAlign w:val="bottom"/>
                </w:tcPr>
                <w:p>
                  <w:pPr>
                    <w:pStyle w:val="68"/>
                    <w:spacing w:before="24" w:after="24"/>
                    <w:rPr>
                      <w:rFonts w:eastAsia="等线"/>
                      <w:color w:val="000000"/>
                      <w:sz w:val="22"/>
                      <w:szCs w:val="22"/>
                    </w:rPr>
                  </w:pPr>
                  <w:r>
                    <w:rPr>
                      <w:rFonts w:hint="eastAsia" w:ascii="等线" w:hAnsi="等线" w:eastAsia="等线"/>
                      <w:color w:val="000000"/>
                      <w:sz w:val="22"/>
                      <w:szCs w:val="22"/>
                    </w:rPr>
                    <w:t xml:space="preserve">21.89 </w:t>
                  </w:r>
                </w:p>
              </w:tc>
              <w:tc>
                <w:tcPr>
                  <w:tcW w:w="968" w:type="pct"/>
                  <w:shd w:val="clear" w:color="auto" w:fill="auto"/>
                  <w:vAlign w:val="bottom"/>
                </w:tcPr>
                <w:p>
                  <w:pPr>
                    <w:pStyle w:val="68"/>
                    <w:spacing w:before="24" w:after="24"/>
                    <w:rPr>
                      <w:color w:val="000000"/>
                      <w:sz w:val="22"/>
                      <w:szCs w:val="22"/>
                    </w:rPr>
                  </w:pPr>
                  <w:r>
                    <w:rPr>
                      <w:rFonts w:hint="eastAsia" w:ascii="等线" w:hAnsi="等线" w:eastAsia="等线"/>
                      <w:color w:val="000000"/>
                      <w:sz w:val="22"/>
                      <w:szCs w:val="22"/>
                    </w:rPr>
                    <w:t xml:space="preserve">21.99 </w:t>
                  </w:r>
                </w:p>
              </w:tc>
              <w:tc>
                <w:tcPr>
                  <w:tcW w:w="967" w:type="pct"/>
                  <w:shd w:val="clear" w:color="auto" w:fill="auto"/>
                  <w:vAlign w:val="bottom"/>
                </w:tcPr>
                <w:p>
                  <w:pPr>
                    <w:pStyle w:val="68"/>
                    <w:spacing w:before="24" w:after="24"/>
                    <w:rPr>
                      <w:color w:val="000000"/>
                      <w:sz w:val="22"/>
                      <w:szCs w:val="22"/>
                    </w:rPr>
                  </w:pPr>
                  <w:r>
                    <w:rPr>
                      <w:rFonts w:hint="eastAsia" w:ascii="等线" w:hAnsi="等线" w:eastAsia="等线"/>
                      <w:color w:val="000000"/>
                      <w:sz w:val="22"/>
                      <w:szCs w:val="22"/>
                    </w:rPr>
                    <w:t xml:space="preserve">21.91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rPr>
                      <w:rFonts w:hint="eastAsia"/>
                    </w:rPr>
                    <w:t>北筒仓</w:t>
                  </w:r>
                  <w:r>
                    <w:t>卸料</w:t>
                  </w:r>
                  <w:r>
                    <w:rPr>
                      <w:rFonts w:hint="eastAsia"/>
                    </w:rPr>
                    <w:t>输送</w:t>
                  </w:r>
                </w:p>
              </w:tc>
              <w:tc>
                <w:tcPr>
                  <w:tcW w:w="1139" w:type="pct"/>
                  <w:shd w:val="clear" w:color="auto" w:fill="auto"/>
                  <w:vAlign w:val="center"/>
                </w:tcPr>
                <w:p>
                  <w:pPr>
                    <w:pStyle w:val="68"/>
                    <w:spacing w:before="24" w:after="24"/>
                    <w:rPr>
                      <w:color w:val="000000"/>
                      <w:sz w:val="22"/>
                      <w:szCs w:val="22"/>
                    </w:rPr>
                  </w:pPr>
                  <w:r>
                    <w:rPr>
                      <w:rFonts w:hint="eastAsia" w:ascii="等线" w:hAnsi="等线" w:eastAsia="等线"/>
                      <w:color w:val="000000"/>
                      <w:sz w:val="22"/>
                      <w:szCs w:val="22"/>
                    </w:rPr>
                    <w:t>32.77</w:t>
                  </w:r>
                </w:p>
              </w:tc>
              <w:tc>
                <w:tcPr>
                  <w:tcW w:w="968" w:type="pct"/>
                  <w:shd w:val="clear" w:color="auto" w:fill="auto"/>
                  <w:vAlign w:val="bottom"/>
                </w:tcPr>
                <w:p>
                  <w:pPr>
                    <w:pStyle w:val="68"/>
                    <w:spacing w:before="24" w:after="24"/>
                    <w:rPr>
                      <w:rFonts w:eastAsia="等线"/>
                      <w:color w:val="000000"/>
                      <w:sz w:val="22"/>
                      <w:szCs w:val="22"/>
                    </w:rPr>
                  </w:pPr>
                  <w:r>
                    <w:rPr>
                      <w:rFonts w:hint="eastAsia" w:ascii="等线" w:hAnsi="等线" w:eastAsia="等线"/>
                      <w:color w:val="000000"/>
                      <w:sz w:val="22"/>
                      <w:szCs w:val="22"/>
                    </w:rPr>
                    <w:t xml:space="preserve">26.02 </w:t>
                  </w:r>
                </w:p>
              </w:tc>
              <w:tc>
                <w:tcPr>
                  <w:tcW w:w="968" w:type="pct"/>
                  <w:shd w:val="clear" w:color="auto" w:fill="auto"/>
                  <w:vAlign w:val="bottom"/>
                </w:tcPr>
                <w:p>
                  <w:pPr>
                    <w:pStyle w:val="68"/>
                    <w:spacing w:before="24" w:after="24"/>
                    <w:rPr>
                      <w:color w:val="000000"/>
                      <w:sz w:val="22"/>
                      <w:szCs w:val="22"/>
                    </w:rPr>
                  </w:pPr>
                  <w:r>
                    <w:rPr>
                      <w:rFonts w:hint="eastAsia" w:ascii="等线" w:hAnsi="等线" w:eastAsia="等线"/>
                      <w:color w:val="000000"/>
                      <w:sz w:val="22"/>
                      <w:szCs w:val="22"/>
                    </w:rPr>
                    <w:t xml:space="preserve">18.86 </w:t>
                  </w:r>
                </w:p>
              </w:tc>
              <w:tc>
                <w:tcPr>
                  <w:tcW w:w="967" w:type="pct"/>
                  <w:shd w:val="clear" w:color="auto" w:fill="auto"/>
                  <w:vAlign w:val="bottom"/>
                </w:tcPr>
                <w:p>
                  <w:pPr>
                    <w:pStyle w:val="68"/>
                    <w:spacing w:before="24" w:after="24"/>
                    <w:rPr>
                      <w:color w:val="000000"/>
                      <w:sz w:val="22"/>
                      <w:szCs w:val="22"/>
                    </w:rPr>
                  </w:pPr>
                  <w:r>
                    <w:rPr>
                      <w:rFonts w:hint="eastAsia" w:ascii="等线" w:hAnsi="等线" w:eastAsia="等线"/>
                      <w:color w:val="000000"/>
                      <w:sz w:val="22"/>
                      <w:szCs w:val="22"/>
                    </w:rPr>
                    <w:t xml:space="preserve">32.04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rPr>
                      <w:rFonts w:hint="eastAsia"/>
                    </w:rPr>
                    <w:t>南筒仓卸料</w:t>
                  </w:r>
                  <w:r>
                    <w:t>输送</w:t>
                  </w:r>
                </w:p>
              </w:tc>
              <w:tc>
                <w:tcPr>
                  <w:tcW w:w="1139" w:type="pct"/>
                  <w:shd w:val="clear" w:color="auto" w:fill="auto"/>
                  <w:vAlign w:val="center"/>
                </w:tcPr>
                <w:p>
                  <w:pPr>
                    <w:pStyle w:val="68"/>
                    <w:spacing w:before="24" w:after="24"/>
                    <w:rPr>
                      <w:color w:val="000000"/>
                      <w:sz w:val="22"/>
                      <w:szCs w:val="22"/>
                    </w:rPr>
                  </w:pPr>
                  <w:r>
                    <w:rPr>
                      <w:rFonts w:hint="eastAsia" w:ascii="等线" w:hAnsi="等线" w:eastAsia="等线"/>
                      <w:color w:val="000000"/>
                      <w:sz w:val="22"/>
                      <w:szCs w:val="22"/>
                    </w:rPr>
                    <w:t>32.77</w:t>
                  </w:r>
                </w:p>
              </w:tc>
              <w:tc>
                <w:tcPr>
                  <w:tcW w:w="968" w:type="pct"/>
                  <w:shd w:val="clear" w:color="auto" w:fill="auto"/>
                  <w:vAlign w:val="bottom"/>
                </w:tcPr>
                <w:p>
                  <w:pPr>
                    <w:pStyle w:val="68"/>
                    <w:spacing w:before="24" w:after="24"/>
                    <w:rPr>
                      <w:rFonts w:eastAsia="等线"/>
                      <w:color w:val="000000"/>
                      <w:sz w:val="22"/>
                      <w:szCs w:val="22"/>
                    </w:rPr>
                  </w:pPr>
                  <w:r>
                    <w:rPr>
                      <w:rFonts w:hint="eastAsia" w:ascii="等线" w:hAnsi="等线" w:eastAsia="等线"/>
                      <w:color w:val="000000"/>
                      <w:sz w:val="22"/>
                      <w:szCs w:val="22"/>
                    </w:rPr>
                    <w:t xml:space="preserve">33.98 </w:t>
                  </w:r>
                </w:p>
              </w:tc>
              <w:tc>
                <w:tcPr>
                  <w:tcW w:w="968" w:type="pct"/>
                  <w:shd w:val="clear" w:color="auto" w:fill="auto"/>
                  <w:vAlign w:val="bottom"/>
                </w:tcPr>
                <w:p>
                  <w:pPr>
                    <w:pStyle w:val="68"/>
                    <w:spacing w:before="24" w:after="24"/>
                    <w:rPr>
                      <w:color w:val="000000"/>
                      <w:sz w:val="22"/>
                      <w:szCs w:val="22"/>
                    </w:rPr>
                  </w:pPr>
                  <w:r>
                    <w:rPr>
                      <w:rFonts w:hint="eastAsia" w:ascii="等线" w:hAnsi="等线" w:eastAsia="等线"/>
                      <w:color w:val="000000"/>
                      <w:sz w:val="22"/>
                      <w:szCs w:val="22"/>
                    </w:rPr>
                    <w:t xml:space="preserve">18.86 </w:t>
                  </w:r>
                </w:p>
              </w:tc>
              <w:tc>
                <w:tcPr>
                  <w:tcW w:w="967" w:type="pct"/>
                  <w:shd w:val="clear" w:color="auto" w:fill="auto"/>
                  <w:vAlign w:val="bottom"/>
                </w:tcPr>
                <w:p>
                  <w:pPr>
                    <w:pStyle w:val="68"/>
                    <w:spacing w:before="24" w:after="24"/>
                    <w:rPr>
                      <w:color w:val="000000"/>
                      <w:sz w:val="22"/>
                      <w:szCs w:val="22"/>
                    </w:rPr>
                  </w:pPr>
                  <w:r>
                    <w:rPr>
                      <w:rFonts w:hint="eastAsia" w:ascii="等线" w:hAnsi="等线" w:eastAsia="等线"/>
                      <w:color w:val="000000"/>
                      <w:sz w:val="22"/>
                      <w:szCs w:val="22"/>
                    </w:rPr>
                    <w:t xml:space="preserve">26.02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rPr>
                      <w:rFonts w:hint="eastAsia"/>
                    </w:rPr>
                    <w:t>砂石分离机</w:t>
                  </w:r>
                </w:p>
              </w:tc>
              <w:tc>
                <w:tcPr>
                  <w:tcW w:w="1139" w:type="pct"/>
                  <w:shd w:val="clear" w:color="auto" w:fill="auto"/>
                  <w:vAlign w:val="center"/>
                </w:tcPr>
                <w:p>
                  <w:pPr>
                    <w:pStyle w:val="68"/>
                    <w:spacing w:before="24" w:after="24"/>
                  </w:pPr>
                  <w:r>
                    <w:rPr>
                      <w:rFonts w:hint="eastAsia" w:ascii="等线" w:hAnsi="等线" w:eastAsia="等线"/>
                      <w:color w:val="000000"/>
                      <w:sz w:val="22"/>
                      <w:szCs w:val="22"/>
                    </w:rPr>
                    <w:t>31.94</w:t>
                  </w:r>
                </w:p>
              </w:tc>
              <w:tc>
                <w:tcPr>
                  <w:tcW w:w="968" w:type="pct"/>
                  <w:shd w:val="clear" w:color="auto" w:fill="auto"/>
                  <w:vAlign w:val="bottom"/>
                </w:tcPr>
                <w:p>
                  <w:pPr>
                    <w:pStyle w:val="68"/>
                    <w:spacing w:before="24" w:after="24"/>
                    <w:rPr>
                      <w:rFonts w:eastAsia="等线"/>
                      <w:color w:val="000000"/>
                      <w:sz w:val="22"/>
                      <w:szCs w:val="22"/>
                    </w:rPr>
                  </w:pPr>
                  <w:r>
                    <w:rPr>
                      <w:rFonts w:hint="eastAsia" w:ascii="等线" w:hAnsi="等线" w:eastAsia="等线"/>
                      <w:color w:val="000000"/>
                      <w:sz w:val="22"/>
                      <w:szCs w:val="22"/>
                    </w:rPr>
                    <w:t xml:space="preserve">30.19 </w:t>
                  </w:r>
                </w:p>
              </w:tc>
              <w:tc>
                <w:tcPr>
                  <w:tcW w:w="968" w:type="pct"/>
                  <w:shd w:val="clear" w:color="auto" w:fill="auto"/>
                  <w:vAlign w:val="bottom"/>
                </w:tcPr>
                <w:p>
                  <w:pPr>
                    <w:pStyle w:val="68"/>
                    <w:spacing w:before="24" w:after="24"/>
                  </w:pPr>
                  <w:r>
                    <w:rPr>
                      <w:rFonts w:hint="eastAsia" w:ascii="等线" w:hAnsi="等线" w:eastAsia="等线"/>
                      <w:color w:val="000000"/>
                      <w:sz w:val="22"/>
                      <w:szCs w:val="22"/>
                    </w:rPr>
                    <w:t xml:space="preserve">25.92 </w:t>
                  </w:r>
                </w:p>
              </w:tc>
              <w:tc>
                <w:tcPr>
                  <w:tcW w:w="967" w:type="pct"/>
                  <w:shd w:val="clear" w:color="auto" w:fill="auto"/>
                  <w:vAlign w:val="bottom"/>
                </w:tcPr>
                <w:p>
                  <w:pPr>
                    <w:pStyle w:val="68"/>
                    <w:spacing w:before="24" w:after="24"/>
                  </w:pPr>
                  <w:r>
                    <w:rPr>
                      <w:rFonts w:hint="eastAsia" w:ascii="等线" w:hAnsi="等线" w:eastAsia="等线"/>
                      <w:color w:val="000000"/>
                      <w:sz w:val="22"/>
                      <w:szCs w:val="22"/>
                    </w:rPr>
                    <w:t xml:space="preserve">38.98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t>车辆行驶</w:t>
                  </w:r>
                </w:p>
              </w:tc>
              <w:tc>
                <w:tcPr>
                  <w:tcW w:w="1139" w:type="pct"/>
                  <w:shd w:val="clear" w:color="auto" w:fill="auto"/>
                  <w:vAlign w:val="center"/>
                </w:tcPr>
                <w:p>
                  <w:pPr>
                    <w:pStyle w:val="68"/>
                    <w:spacing w:before="24" w:after="24"/>
                  </w:pPr>
                  <w:r>
                    <w:rPr>
                      <w:rFonts w:hint="eastAsia" w:ascii="等线" w:hAnsi="等线" w:eastAsia="等线"/>
                      <w:color w:val="000000"/>
                      <w:sz w:val="22"/>
                      <w:szCs w:val="22"/>
                    </w:rPr>
                    <w:t>29.37</w:t>
                  </w:r>
                </w:p>
              </w:tc>
              <w:tc>
                <w:tcPr>
                  <w:tcW w:w="968" w:type="pct"/>
                  <w:shd w:val="clear" w:color="auto" w:fill="auto"/>
                  <w:vAlign w:val="bottom"/>
                </w:tcPr>
                <w:p>
                  <w:pPr>
                    <w:pStyle w:val="68"/>
                    <w:spacing w:before="24" w:after="24"/>
                    <w:rPr>
                      <w:rFonts w:eastAsia="等线"/>
                      <w:color w:val="000000"/>
                      <w:sz w:val="22"/>
                      <w:szCs w:val="22"/>
                    </w:rPr>
                  </w:pPr>
                  <w:r>
                    <w:rPr>
                      <w:rFonts w:hint="eastAsia" w:ascii="等线" w:hAnsi="等线" w:eastAsia="等线"/>
                      <w:color w:val="000000"/>
                      <w:sz w:val="22"/>
                      <w:szCs w:val="22"/>
                    </w:rPr>
                    <w:t xml:space="preserve">29.12 </w:t>
                  </w:r>
                </w:p>
              </w:tc>
              <w:tc>
                <w:tcPr>
                  <w:tcW w:w="968" w:type="pct"/>
                  <w:shd w:val="clear" w:color="auto" w:fill="auto"/>
                  <w:vAlign w:val="bottom"/>
                </w:tcPr>
                <w:p>
                  <w:pPr>
                    <w:pStyle w:val="68"/>
                    <w:spacing w:before="24" w:after="24"/>
                  </w:pPr>
                  <w:r>
                    <w:rPr>
                      <w:rFonts w:hint="eastAsia" w:ascii="等线" w:hAnsi="等线" w:eastAsia="等线"/>
                      <w:color w:val="000000"/>
                      <w:sz w:val="22"/>
                      <w:szCs w:val="22"/>
                    </w:rPr>
                    <w:t xml:space="preserve">20.00 </w:t>
                  </w:r>
                </w:p>
              </w:tc>
              <w:tc>
                <w:tcPr>
                  <w:tcW w:w="967" w:type="pct"/>
                  <w:shd w:val="clear" w:color="auto" w:fill="auto"/>
                  <w:vAlign w:val="bottom"/>
                </w:tcPr>
                <w:p>
                  <w:pPr>
                    <w:pStyle w:val="68"/>
                    <w:spacing w:before="24" w:after="24"/>
                  </w:pPr>
                  <w:r>
                    <w:rPr>
                      <w:rFonts w:hint="eastAsia" w:ascii="等线" w:hAnsi="等线" w:eastAsia="等线"/>
                      <w:color w:val="000000"/>
                      <w:sz w:val="22"/>
                      <w:szCs w:val="22"/>
                    </w:rPr>
                    <w:t xml:space="preserve">29.12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t>叠加贡献值</w:t>
                  </w:r>
                </w:p>
              </w:tc>
              <w:tc>
                <w:tcPr>
                  <w:tcW w:w="1139" w:type="pct"/>
                  <w:shd w:val="clear" w:color="auto" w:fill="auto"/>
                  <w:vAlign w:val="center"/>
                </w:tcPr>
                <w:p>
                  <w:pPr>
                    <w:pStyle w:val="68"/>
                    <w:spacing w:before="24" w:after="24"/>
                  </w:pPr>
                  <w:r>
                    <w:rPr>
                      <w:color w:val="000000"/>
                      <w:sz w:val="22"/>
                      <w:szCs w:val="22"/>
                    </w:rPr>
                    <w:t>49.40</w:t>
                  </w:r>
                </w:p>
              </w:tc>
              <w:tc>
                <w:tcPr>
                  <w:tcW w:w="968" w:type="pct"/>
                  <w:vAlign w:val="center"/>
                </w:tcPr>
                <w:p>
                  <w:pPr>
                    <w:pStyle w:val="68"/>
                    <w:spacing w:before="24" w:after="24"/>
                    <w:rPr>
                      <w:color w:val="000000"/>
                      <w:sz w:val="22"/>
                      <w:szCs w:val="22"/>
                    </w:rPr>
                  </w:pPr>
                  <w:r>
                    <w:rPr>
                      <w:rFonts w:hint="eastAsia"/>
                      <w:color w:val="000000"/>
                      <w:sz w:val="22"/>
                      <w:szCs w:val="22"/>
                    </w:rPr>
                    <w:t>4</w:t>
                  </w:r>
                  <w:r>
                    <w:rPr>
                      <w:color w:val="000000"/>
                      <w:sz w:val="22"/>
                      <w:szCs w:val="22"/>
                    </w:rPr>
                    <w:t>5.58</w:t>
                  </w:r>
                </w:p>
              </w:tc>
              <w:tc>
                <w:tcPr>
                  <w:tcW w:w="968" w:type="pct"/>
                  <w:shd w:val="clear" w:color="auto" w:fill="auto"/>
                  <w:vAlign w:val="center"/>
                </w:tcPr>
                <w:p>
                  <w:pPr>
                    <w:pStyle w:val="68"/>
                    <w:spacing w:before="24" w:after="24"/>
                  </w:pPr>
                  <w:r>
                    <w:rPr>
                      <w:color w:val="000000"/>
                      <w:sz w:val="22"/>
                      <w:szCs w:val="22"/>
                    </w:rPr>
                    <w:t>36.69</w:t>
                  </w:r>
                </w:p>
              </w:tc>
              <w:tc>
                <w:tcPr>
                  <w:tcW w:w="967" w:type="pct"/>
                  <w:shd w:val="clear" w:color="auto" w:fill="auto"/>
                  <w:vAlign w:val="center"/>
                </w:tcPr>
                <w:p>
                  <w:pPr>
                    <w:pStyle w:val="68"/>
                    <w:spacing w:before="24" w:after="24"/>
                  </w:pPr>
                  <w:r>
                    <w:rPr>
                      <w:color w:val="000000"/>
                      <w:sz w:val="22"/>
                      <w:szCs w:val="22"/>
                    </w:rPr>
                    <w:t>46.28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t>标准值</w:t>
                  </w:r>
                  <w:r>
                    <w:rPr>
                      <w:rFonts w:hint="eastAsia"/>
                    </w:rPr>
                    <w:t>(</w:t>
                  </w:r>
                  <w:r>
                    <w:t>昼/夜</w:t>
                  </w:r>
                  <w:r>
                    <w:rPr>
                      <w:rFonts w:hint="eastAsia"/>
                    </w:rPr>
                    <w:t>)</w:t>
                  </w:r>
                </w:p>
              </w:tc>
              <w:tc>
                <w:tcPr>
                  <w:tcW w:w="1139" w:type="pct"/>
                  <w:shd w:val="clear" w:color="auto" w:fill="auto"/>
                  <w:vAlign w:val="center"/>
                </w:tcPr>
                <w:p>
                  <w:pPr>
                    <w:pStyle w:val="68"/>
                    <w:spacing w:before="24" w:after="24"/>
                  </w:pPr>
                  <w:r>
                    <w:t>60/50</w:t>
                  </w:r>
                </w:p>
              </w:tc>
              <w:tc>
                <w:tcPr>
                  <w:tcW w:w="968" w:type="pct"/>
                  <w:vAlign w:val="center"/>
                </w:tcPr>
                <w:p>
                  <w:pPr>
                    <w:pStyle w:val="68"/>
                    <w:spacing w:before="24" w:after="24"/>
                  </w:pPr>
                  <w:r>
                    <w:t>60/50</w:t>
                  </w:r>
                </w:p>
              </w:tc>
              <w:tc>
                <w:tcPr>
                  <w:tcW w:w="968" w:type="pct"/>
                  <w:shd w:val="clear" w:color="auto" w:fill="auto"/>
                  <w:vAlign w:val="center"/>
                </w:tcPr>
                <w:p>
                  <w:pPr>
                    <w:pStyle w:val="68"/>
                    <w:spacing w:before="24" w:after="24"/>
                  </w:pPr>
                  <w:r>
                    <w:t>60/50</w:t>
                  </w:r>
                </w:p>
              </w:tc>
              <w:tc>
                <w:tcPr>
                  <w:tcW w:w="967" w:type="pct"/>
                  <w:shd w:val="clear" w:color="auto" w:fill="auto"/>
                  <w:vAlign w:val="center"/>
                </w:tcPr>
                <w:p>
                  <w:pPr>
                    <w:pStyle w:val="68"/>
                    <w:spacing w:before="24" w:after="24"/>
                  </w:pPr>
                  <w:r>
                    <w:t>60/50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pct"/>
                  <w:shd w:val="clear" w:color="auto" w:fill="auto"/>
                  <w:vAlign w:val="center"/>
                </w:tcPr>
                <w:p>
                  <w:pPr>
                    <w:pStyle w:val="68"/>
                    <w:spacing w:before="24" w:after="24"/>
                  </w:pPr>
                  <w:r>
                    <w:t>达标分析</w:t>
                  </w:r>
                </w:p>
              </w:tc>
              <w:tc>
                <w:tcPr>
                  <w:tcW w:w="1139" w:type="pct"/>
                  <w:shd w:val="clear" w:color="auto" w:fill="auto"/>
                  <w:vAlign w:val="center"/>
                </w:tcPr>
                <w:p>
                  <w:pPr>
                    <w:pStyle w:val="68"/>
                    <w:spacing w:before="24" w:after="24"/>
                  </w:pPr>
                  <w:r>
                    <w:t>达标</w:t>
                  </w:r>
                </w:p>
              </w:tc>
              <w:tc>
                <w:tcPr>
                  <w:tcW w:w="968" w:type="pct"/>
                  <w:vAlign w:val="center"/>
                </w:tcPr>
                <w:p>
                  <w:pPr>
                    <w:pStyle w:val="68"/>
                    <w:spacing w:before="24" w:after="24"/>
                  </w:pPr>
                  <w:r>
                    <w:t>达标</w:t>
                  </w:r>
                </w:p>
              </w:tc>
              <w:tc>
                <w:tcPr>
                  <w:tcW w:w="968" w:type="pct"/>
                  <w:shd w:val="clear" w:color="auto" w:fill="auto"/>
                  <w:vAlign w:val="center"/>
                </w:tcPr>
                <w:p>
                  <w:pPr>
                    <w:pStyle w:val="68"/>
                    <w:spacing w:before="24" w:after="24"/>
                  </w:pPr>
                  <w:r>
                    <w:t>达标</w:t>
                  </w:r>
                </w:p>
              </w:tc>
              <w:tc>
                <w:tcPr>
                  <w:tcW w:w="967" w:type="pct"/>
                  <w:shd w:val="clear" w:color="auto" w:fill="auto"/>
                  <w:vAlign w:val="center"/>
                </w:tcPr>
                <w:p>
                  <w:pPr>
                    <w:pStyle w:val="68"/>
                    <w:spacing w:before="24" w:after="24"/>
                  </w:pPr>
                  <w:r>
                    <w:t>达标</w:t>
                  </w:r>
                </w:p>
              </w:tc>
            </w:tr>
          </w:tbl>
          <w:p>
            <w:pPr>
              <w:pStyle w:val="69"/>
              <w:ind w:left="48" w:right="48"/>
              <w:jc w:val="both"/>
              <w:rPr>
                <w:lang w:eastAsia="zh-CN"/>
              </w:rPr>
            </w:pPr>
            <w:r>
              <w:rPr>
                <w:rFonts w:hint="eastAsia"/>
                <w:lang w:eastAsia="zh-CN"/>
              </w:rPr>
              <w:t>（三）噪声环境影响分析结论</w:t>
            </w:r>
          </w:p>
          <w:p>
            <w:pPr>
              <w:pStyle w:val="69"/>
              <w:ind w:left="48" w:right="48"/>
              <w:jc w:val="both"/>
              <w:rPr>
                <w:lang w:eastAsia="zh-CN"/>
              </w:rPr>
            </w:pPr>
            <w:r>
              <w:rPr>
                <w:rFonts w:hint="eastAsia"/>
                <w:lang w:eastAsia="zh-CN"/>
              </w:rPr>
              <w:t>根据预测结果，</w:t>
            </w:r>
            <w:r>
              <w:rPr>
                <w:lang w:eastAsia="zh-CN"/>
              </w:rPr>
              <w:t>经</w:t>
            </w:r>
            <w:r>
              <w:rPr>
                <w:rFonts w:hint="eastAsia"/>
                <w:lang w:eastAsia="zh-CN"/>
              </w:rPr>
              <w:t>对噪声源采取</w:t>
            </w:r>
            <w:r>
              <w:rPr>
                <w:lang w:eastAsia="zh-CN"/>
              </w:rPr>
              <w:t>选用低噪声设备、基础减振、</w:t>
            </w:r>
            <w:r>
              <w:rPr>
                <w:rFonts w:hint="eastAsia"/>
                <w:lang w:eastAsia="zh-CN"/>
              </w:rPr>
              <w:t>隔声、加装隔声罩、消声器，</w:t>
            </w:r>
            <w:r>
              <w:rPr>
                <w:lang w:eastAsia="zh-CN"/>
              </w:rPr>
              <w:t>厂房及围墙隔音、绿化降噪、距离衰减</w:t>
            </w:r>
            <w:r>
              <w:rPr>
                <w:rFonts w:hint="eastAsia"/>
                <w:lang w:eastAsia="zh-CN"/>
              </w:rPr>
              <w:t>等措施，</w:t>
            </w:r>
            <w:r>
              <w:rPr>
                <w:lang w:eastAsia="zh-CN"/>
              </w:rPr>
              <w:t>项目</w:t>
            </w:r>
            <w:r>
              <w:rPr>
                <w:rFonts w:hint="eastAsia"/>
                <w:lang w:eastAsia="zh-CN"/>
              </w:rPr>
              <w:t>建成后运营期厂界噪声</w:t>
            </w:r>
            <w:r>
              <w:rPr>
                <w:lang w:eastAsia="zh-CN"/>
              </w:rPr>
              <w:t>能够满足《工业企业厂界环境噪声排放标准》（GB12348-2008）</w:t>
            </w:r>
            <w:r>
              <w:rPr>
                <w:rFonts w:hint="eastAsia"/>
                <w:lang w:eastAsia="zh-CN"/>
              </w:rPr>
              <w:t>2</w:t>
            </w:r>
            <w:r>
              <w:rPr>
                <w:lang w:eastAsia="zh-CN"/>
              </w:rPr>
              <w:t xml:space="preserve"> 类标准要求。拟建项目厂</w:t>
            </w:r>
            <w:r>
              <w:rPr>
                <w:rFonts w:hint="eastAsia"/>
                <w:lang w:eastAsia="zh-CN"/>
              </w:rPr>
              <w:t>界外</w:t>
            </w:r>
            <w:r>
              <w:rPr>
                <w:lang w:eastAsia="zh-CN"/>
              </w:rPr>
              <w:t>50</w:t>
            </w:r>
            <w:r>
              <w:rPr>
                <w:rFonts w:hint="eastAsia"/>
                <w:lang w:eastAsia="zh-CN"/>
              </w:rPr>
              <w:t>米</w:t>
            </w:r>
            <w:r>
              <w:rPr>
                <w:lang w:eastAsia="zh-CN"/>
              </w:rPr>
              <w:t>范围内无居民区</w:t>
            </w:r>
            <w:r>
              <w:rPr>
                <w:rFonts w:hint="eastAsia"/>
                <w:lang w:eastAsia="zh-CN"/>
              </w:rPr>
              <w:t>等</w:t>
            </w:r>
            <w:r>
              <w:rPr>
                <w:lang w:eastAsia="zh-CN"/>
              </w:rPr>
              <w:t>环境敏感目标，项目建设对周围声环境质量影响较小。</w:t>
            </w:r>
          </w:p>
          <w:p>
            <w:pPr>
              <w:pStyle w:val="69"/>
              <w:ind w:left="48" w:right="48"/>
              <w:jc w:val="both"/>
              <w:rPr>
                <w:lang w:eastAsia="zh-CN"/>
              </w:rPr>
            </w:pPr>
            <w:r>
              <w:rPr>
                <w:rFonts w:hint="eastAsia"/>
                <w:lang w:eastAsia="zh-CN"/>
              </w:rPr>
              <w:t>（四）噪声自行监测计划</w:t>
            </w:r>
          </w:p>
          <w:p>
            <w:pPr>
              <w:pStyle w:val="69"/>
              <w:ind w:left="48" w:right="48"/>
              <w:jc w:val="both"/>
              <w:rPr>
                <w:lang w:eastAsia="zh-CN"/>
              </w:rPr>
            </w:pPr>
            <w:r>
              <w:rPr>
                <w:rFonts w:hint="eastAsia"/>
                <w:lang w:eastAsia="zh-CN"/>
              </w:rPr>
              <w:t>根据参照《排污单位自行监测技术指南总则》（</w:t>
            </w:r>
            <w:r>
              <w:rPr>
                <w:lang w:eastAsia="zh-CN"/>
              </w:rPr>
              <w:t>HJ 819-2017</w:t>
            </w:r>
            <w:r>
              <w:rPr>
                <w:rFonts w:hint="eastAsia"/>
                <w:lang w:eastAsia="zh-CN"/>
              </w:rPr>
              <w:t>）：厂界环境噪声每季度至少开展一次监测，夜间生产的要监测夜间噪声。结合项目运营期间污染排放特点，项目运营期间噪声监测计划如下表所示：</w:t>
            </w:r>
          </w:p>
          <w:p>
            <w:pPr>
              <w:keepNext/>
              <w:widowControl/>
              <w:tabs>
                <w:tab w:val="right" w:pos="13920"/>
              </w:tabs>
              <w:spacing w:line="245" w:lineRule="auto"/>
              <w:jc w:val="center"/>
              <w:rPr>
                <w:rFonts w:ascii="宋体" w:hAnsi="宋体" w:cs="Times New Roman"/>
                <w:bCs/>
                <w:snapToGrid w:val="0"/>
                <w:color w:val="000000"/>
                <w:kern w:val="2"/>
                <w:szCs w:val="21"/>
              </w:rPr>
            </w:pPr>
            <w:r>
              <w:rPr>
                <w:rFonts w:ascii="宋体" w:hAnsi="宋体" w:cs="Times New Roman"/>
                <w:bCs/>
                <w:snapToGrid w:val="0"/>
                <w:color w:val="000000"/>
                <w:kern w:val="2"/>
                <w:szCs w:val="21"/>
              </w:rPr>
              <w:t>表</w:t>
            </w:r>
            <w:r>
              <w:rPr>
                <w:rFonts w:ascii="宋体" w:hAnsi="宋体" w:cs="Times New Roman"/>
                <w:bCs/>
                <w:snapToGrid w:val="0"/>
                <w:color w:val="000000"/>
                <w:kern w:val="2"/>
                <w:szCs w:val="21"/>
              </w:rPr>
              <w:fldChar w:fldCharType="begin"/>
            </w:r>
            <w:r>
              <w:rPr>
                <w:rFonts w:ascii="宋体" w:hAnsi="宋体" w:cs="Times New Roman"/>
                <w:bCs/>
                <w:snapToGrid w:val="0"/>
                <w:color w:val="000000"/>
                <w:kern w:val="2"/>
                <w:szCs w:val="21"/>
              </w:rPr>
              <w:instrText xml:space="preserve"> </w:instrText>
            </w:r>
            <w:r>
              <w:rPr>
                <w:rFonts w:hint="eastAsia" w:ascii="宋体" w:hAnsi="宋体" w:cs="Times New Roman"/>
                <w:bCs/>
                <w:snapToGrid w:val="0"/>
                <w:color w:val="000000"/>
                <w:kern w:val="2"/>
                <w:szCs w:val="21"/>
              </w:rPr>
              <w:instrText xml:space="preserve">SEQ 表格 \* ARABIC</w:instrText>
            </w:r>
            <w:r>
              <w:rPr>
                <w:rFonts w:ascii="宋体" w:hAnsi="宋体" w:cs="Times New Roman"/>
                <w:bCs/>
                <w:snapToGrid w:val="0"/>
                <w:color w:val="000000"/>
                <w:kern w:val="2"/>
                <w:szCs w:val="21"/>
              </w:rPr>
              <w:instrText xml:space="preserve"> </w:instrText>
            </w:r>
            <w:r>
              <w:rPr>
                <w:rFonts w:ascii="宋体" w:hAnsi="宋体" w:cs="Times New Roman"/>
                <w:bCs/>
                <w:snapToGrid w:val="0"/>
                <w:color w:val="000000"/>
                <w:kern w:val="2"/>
                <w:szCs w:val="21"/>
              </w:rPr>
              <w:fldChar w:fldCharType="separate"/>
            </w:r>
            <w:r>
              <w:rPr>
                <w:rFonts w:ascii="宋体" w:hAnsi="宋体" w:cs="Times New Roman"/>
                <w:bCs/>
                <w:snapToGrid w:val="0"/>
                <w:color w:val="000000"/>
                <w:kern w:val="2"/>
                <w:szCs w:val="21"/>
              </w:rPr>
              <w:t>26</w:t>
            </w:r>
            <w:r>
              <w:rPr>
                <w:rFonts w:ascii="宋体" w:hAnsi="宋体" w:cs="Times New Roman"/>
                <w:bCs/>
                <w:snapToGrid w:val="0"/>
                <w:color w:val="000000"/>
                <w:kern w:val="2"/>
                <w:szCs w:val="21"/>
              </w:rPr>
              <w:fldChar w:fldCharType="end"/>
            </w:r>
            <w:r>
              <w:rPr>
                <w:rFonts w:ascii="宋体" w:hAnsi="宋体" w:cs="Times New Roman"/>
                <w:bCs/>
                <w:snapToGrid w:val="0"/>
                <w:color w:val="000000"/>
                <w:kern w:val="2"/>
                <w:szCs w:val="21"/>
              </w:rPr>
              <w:t xml:space="preserve"> </w:t>
            </w:r>
            <w:r>
              <w:rPr>
                <w:rFonts w:hint="eastAsia" w:ascii="宋体" w:hAnsi="宋体" w:cs="Times New Roman"/>
                <w:bCs/>
                <w:snapToGrid w:val="0"/>
                <w:color w:val="000000"/>
                <w:kern w:val="2"/>
                <w:szCs w:val="21"/>
              </w:rPr>
              <w:t>噪声监测计划表</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240"/>
              <w:gridCol w:w="1624"/>
              <w:gridCol w:w="1519"/>
              <w:gridCol w:w="36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239"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监测点位</w:t>
                  </w:r>
                </w:p>
              </w:tc>
              <w:tc>
                <w:tcPr>
                  <w:tcW w:w="898"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监测指标</w:t>
                  </w:r>
                </w:p>
              </w:tc>
              <w:tc>
                <w:tcPr>
                  <w:tcW w:w="840"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监测频次</w:t>
                  </w:r>
                </w:p>
              </w:tc>
              <w:tc>
                <w:tcPr>
                  <w:tcW w:w="2023"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执行排放标准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1239"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厂区边界外</w:t>
                  </w:r>
                  <w:r>
                    <w:rPr>
                      <w:rFonts w:ascii="宋体" w:hAnsi="宋体" w:cs="Times New Roman"/>
                      <w:kern w:val="2"/>
                      <w:sz w:val="21"/>
                      <w:szCs w:val="21"/>
                    </w:rPr>
                    <w:t>1</w:t>
                  </w:r>
                  <w:r>
                    <w:rPr>
                      <w:rFonts w:hint="eastAsia" w:ascii="宋体" w:hAnsi="宋体" w:cs="Times New Roman"/>
                      <w:kern w:val="2"/>
                      <w:sz w:val="21"/>
                      <w:szCs w:val="21"/>
                    </w:rPr>
                    <w:t>米处</w:t>
                  </w:r>
                </w:p>
              </w:tc>
              <w:tc>
                <w:tcPr>
                  <w:tcW w:w="898"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厂界噪声（等效连续</w:t>
                  </w:r>
                  <w:r>
                    <w:rPr>
                      <w:rFonts w:ascii="宋体" w:hAnsi="宋体" w:cs="Times New Roman"/>
                      <w:kern w:val="2"/>
                      <w:sz w:val="21"/>
                      <w:szCs w:val="21"/>
                    </w:rPr>
                    <w:t>A</w:t>
                  </w:r>
                  <w:r>
                    <w:rPr>
                      <w:rFonts w:hint="eastAsia" w:ascii="宋体" w:hAnsi="宋体" w:cs="Times New Roman"/>
                      <w:kern w:val="2"/>
                      <w:sz w:val="21"/>
                      <w:szCs w:val="21"/>
                    </w:rPr>
                    <w:t>声级）</w:t>
                  </w:r>
                </w:p>
              </w:tc>
              <w:tc>
                <w:tcPr>
                  <w:tcW w:w="840"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ascii="宋体" w:hAnsi="宋体" w:cs="Times New Roman"/>
                      <w:kern w:val="2"/>
                      <w:sz w:val="21"/>
                      <w:szCs w:val="21"/>
                    </w:rPr>
                    <w:t xml:space="preserve">1 </w:t>
                  </w:r>
                  <w:r>
                    <w:rPr>
                      <w:rFonts w:hint="eastAsia" w:ascii="宋体" w:hAnsi="宋体" w:cs="Times New Roman"/>
                      <w:kern w:val="2"/>
                      <w:sz w:val="21"/>
                      <w:szCs w:val="21"/>
                    </w:rPr>
                    <w:t>次</w:t>
                  </w:r>
                  <w:r>
                    <w:rPr>
                      <w:rFonts w:ascii="宋体" w:hAnsi="宋体" w:cs="Times New Roman"/>
                      <w:kern w:val="2"/>
                      <w:sz w:val="21"/>
                      <w:szCs w:val="21"/>
                    </w:rPr>
                    <w:t>/</w:t>
                  </w:r>
                  <w:r>
                    <w:rPr>
                      <w:rFonts w:hint="eastAsia" w:ascii="宋体" w:hAnsi="宋体" w:cs="Times New Roman"/>
                      <w:kern w:val="2"/>
                      <w:sz w:val="21"/>
                      <w:szCs w:val="21"/>
                    </w:rPr>
                    <w:t>季度</w:t>
                  </w:r>
                </w:p>
              </w:tc>
              <w:tc>
                <w:tcPr>
                  <w:tcW w:w="2023" w:type="pct"/>
                  <w:vAlign w:val="center"/>
                </w:tcPr>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《工业企业厂界环境噪声排放标准》</w:t>
                  </w:r>
                </w:p>
                <w:p>
                  <w:pPr>
                    <w:widowControl/>
                    <w:adjustRightInd w:val="0"/>
                    <w:snapToGrid w:val="0"/>
                    <w:spacing w:before="24" w:beforeLines="10" w:after="24" w:afterLines="10"/>
                    <w:jc w:val="center"/>
                    <w:rPr>
                      <w:rFonts w:ascii="宋体" w:hAnsi="宋体" w:cs="Times New Roman"/>
                      <w:kern w:val="2"/>
                      <w:sz w:val="21"/>
                      <w:szCs w:val="21"/>
                    </w:rPr>
                  </w:pPr>
                  <w:r>
                    <w:rPr>
                      <w:rFonts w:hint="eastAsia" w:ascii="宋体" w:hAnsi="宋体" w:cs="Times New Roman"/>
                      <w:kern w:val="2"/>
                      <w:sz w:val="21"/>
                      <w:szCs w:val="21"/>
                    </w:rPr>
                    <w:t>（</w:t>
                  </w:r>
                  <w:r>
                    <w:rPr>
                      <w:rFonts w:ascii="宋体" w:hAnsi="宋体" w:cs="Times New Roman"/>
                      <w:kern w:val="2"/>
                      <w:sz w:val="21"/>
                      <w:szCs w:val="21"/>
                    </w:rPr>
                    <w:t>GB12348-2008</w:t>
                  </w:r>
                  <w:r>
                    <w:rPr>
                      <w:rFonts w:hint="eastAsia" w:ascii="宋体" w:hAnsi="宋体" w:cs="Times New Roman"/>
                      <w:kern w:val="2"/>
                      <w:sz w:val="21"/>
                      <w:szCs w:val="21"/>
                    </w:rPr>
                    <w:t>）中</w:t>
                  </w:r>
                  <w:r>
                    <w:rPr>
                      <w:rFonts w:ascii="宋体" w:hAnsi="宋体" w:cs="Times New Roman"/>
                      <w:kern w:val="2"/>
                      <w:sz w:val="21"/>
                      <w:szCs w:val="21"/>
                    </w:rPr>
                    <w:t xml:space="preserve"> 2 </w:t>
                  </w:r>
                  <w:r>
                    <w:rPr>
                      <w:rFonts w:hint="eastAsia" w:ascii="宋体" w:hAnsi="宋体" w:cs="Times New Roman"/>
                      <w:kern w:val="2"/>
                      <w:sz w:val="21"/>
                      <w:szCs w:val="21"/>
                    </w:rPr>
                    <w:t>类标准</w:t>
                  </w:r>
                </w:p>
              </w:tc>
            </w:tr>
            <w:bookmarkEnd w:id="34"/>
          </w:tbl>
          <w:p>
            <w:pPr>
              <w:pStyle w:val="69"/>
              <w:ind w:left="48" w:right="48"/>
              <w:jc w:val="both"/>
              <w:rPr>
                <w:b/>
                <w:bCs/>
                <w:lang w:eastAsia="zh-CN"/>
              </w:rPr>
            </w:pPr>
            <w:r>
              <w:rPr>
                <w:b/>
                <w:bCs/>
                <w:lang w:eastAsia="zh-CN"/>
              </w:rPr>
              <w:t>四、固体废物</w:t>
            </w:r>
          </w:p>
          <w:p>
            <w:pPr>
              <w:pStyle w:val="69"/>
              <w:ind w:left="48" w:right="48"/>
              <w:jc w:val="both"/>
              <w:rPr>
                <w:lang w:eastAsia="zh-CN"/>
              </w:rPr>
            </w:pPr>
            <w:r>
              <w:rPr>
                <w:rFonts w:hint="eastAsia"/>
                <w:lang w:eastAsia="zh-CN"/>
              </w:rPr>
              <w:t>（一）固体废物识别及处理措施</w:t>
            </w:r>
          </w:p>
          <w:p>
            <w:pPr>
              <w:pStyle w:val="69"/>
              <w:ind w:left="48" w:right="48"/>
              <w:jc w:val="both"/>
              <w:rPr>
                <w:lang w:eastAsia="zh-CN"/>
              </w:rPr>
            </w:pPr>
            <w:r>
              <w:rPr>
                <w:rFonts w:hint="eastAsia"/>
                <w:lang w:eastAsia="zh-CN"/>
              </w:rPr>
              <w:t>根据工程建设内容，项目运营期固体废物主要为除尘器收集的物料粉尘、地面沉降粉尘、砂石分离机回收的砂石料、沉淀池沉渣、车辆及设备维护保养产生的废机油、废机油桶、职工生活垃圾等。</w:t>
            </w:r>
          </w:p>
          <w:p>
            <w:pPr>
              <w:pStyle w:val="69"/>
              <w:ind w:left="48" w:right="48"/>
              <w:jc w:val="both"/>
              <w:rPr>
                <w:lang w:eastAsia="zh-CN"/>
              </w:rPr>
            </w:pPr>
            <w:r>
              <w:rPr>
                <w:rFonts w:hint="eastAsia"/>
                <w:lang w:eastAsia="zh-CN"/>
              </w:rPr>
              <w:t>项目</w:t>
            </w:r>
            <w:r>
              <w:rPr>
                <w:lang w:eastAsia="zh-CN"/>
              </w:rPr>
              <w:t>固体废物</w:t>
            </w:r>
            <w:r>
              <w:rPr>
                <w:rFonts w:hint="eastAsia"/>
                <w:lang w:eastAsia="zh-CN"/>
              </w:rPr>
              <w:t>分类识别及汇总情况见</w:t>
            </w:r>
            <w:r>
              <w:fldChar w:fldCharType="begin"/>
            </w:r>
            <w:r>
              <w:rPr>
                <w:lang w:eastAsia="zh-CN"/>
              </w:rPr>
              <w:instrText xml:space="preserve"> </w:instrText>
            </w:r>
            <w:r>
              <w:rPr>
                <w:rFonts w:hint="eastAsia"/>
                <w:lang w:eastAsia="zh-CN"/>
              </w:rPr>
              <w:instrText xml:space="preserve">REF _Ref151432424 \h</w:instrText>
            </w:r>
            <w:r>
              <w:rPr>
                <w:lang w:eastAsia="zh-CN"/>
              </w:rPr>
              <w:instrText xml:space="preserve">  \* MERGEFORMAT </w:instrText>
            </w:r>
            <w:r>
              <w:fldChar w:fldCharType="separate"/>
            </w:r>
            <w:r>
              <w:rPr>
                <w:lang w:eastAsia="zh-CN"/>
              </w:rPr>
              <w:t>表27</w:t>
            </w:r>
            <w:r>
              <w:fldChar w:fldCharType="end"/>
            </w:r>
            <w:r>
              <w:rPr>
                <w:rFonts w:hint="eastAsia"/>
                <w:lang w:eastAsia="zh-CN"/>
              </w:rPr>
              <w:t>。</w:t>
            </w:r>
          </w:p>
          <w:p>
            <w:pPr>
              <w:keepNext/>
              <w:widowControl/>
              <w:tabs>
                <w:tab w:val="right" w:pos="13920"/>
              </w:tabs>
              <w:spacing w:line="245" w:lineRule="auto"/>
              <w:jc w:val="center"/>
              <w:rPr>
                <w:rFonts w:ascii="宋体" w:hAnsi="宋体" w:cs="Times New Roman"/>
                <w:bCs/>
                <w:snapToGrid w:val="0"/>
                <w:color w:val="000000"/>
                <w:kern w:val="2"/>
                <w:szCs w:val="21"/>
              </w:rPr>
            </w:pPr>
            <w:bookmarkStart w:id="39" w:name="_Ref151432424"/>
            <w:r>
              <w:rPr>
                <w:rFonts w:ascii="宋体" w:hAnsi="宋体" w:cs="Times New Roman"/>
                <w:bCs/>
                <w:snapToGrid w:val="0"/>
                <w:color w:val="000000"/>
                <w:kern w:val="2"/>
                <w:szCs w:val="21"/>
              </w:rPr>
              <w:t>表</w:t>
            </w:r>
            <w:r>
              <w:rPr>
                <w:rFonts w:ascii="宋体" w:hAnsi="宋体" w:cs="Times New Roman"/>
                <w:bCs/>
                <w:snapToGrid w:val="0"/>
                <w:color w:val="000000"/>
                <w:kern w:val="2"/>
                <w:szCs w:val="21"/>
              </w:rPr>
              <w:fldChar w:fldCharType="begin"/>
            </w:r>
            <w:r>
              <w:rPr>
                <w:rFonts w:ascii="宋体" w:hAnsi="宋体" w:cs="Times New Roman"/>
                <w:bCs/>
                <w:snapToGrid w:val="0"/>
                <w:color w:val="000000"/>
                <w:kern w:val="2"/>
                <w:szCs w:val="21"/>
              </w:rPr>
              <w:instrText xml:space="preserve"> SEQ 表格 \* ARABIC </w:instrText>
            </w:r>
            <w:r>
              <w:rPr>
                <w:rFonts w:ascii="宋体" w:hAnsi="宋体" w:cs="Times New Roman"/>
                <w:bCs/>
                <w:snapToGrid w:val="0"/>
                <w:color w:val="000000"/>
                <w:kern w:val="2"/>
                <w:szCs w:val="21"/>
              </w:rPr>
              <w:fldChar w:fldCharType="separate"/>
            </w:r>
            <w:r>
              <w:rPr>
                <w:rFonts w:ascii="宋体" w:hAnsi="宋体" w:cs="Times New Roman"/>
                <w:bCs/>
                <w:snapToGrid w:val="0"/>
                <w:color w:val="000000"/>
                <w:kern w:val="2"/>
                <w:szCs w:val="21"/>
              </w:rPr>
              <w:t>27</w:t>
            </w:r>
            <w:r>
              <w:rPr>
                <w:rFonts w:ascii="宋体" w:hAnsi="宋体" w:cs="Times New Roman"/>
                <w:bCs/>
                <w:snapToGrid w:val="0"/>
                <w:color w:val="000000"/>
                <w:kern w:val="2"/>
                <w:szCs w:val="21"/>
              </w:rPr>
              <w:fldChar w:fldCharType="end"/>
            </w:r>
            <w:bookmarkEnd w:id="39"/>
            <w:r>
              <w:rPr>
                <w:rFonts w:ascii="宋体" w:hAnsi="宋体" w:cs="Times New Roman"/>
                <w:bCs/>
                <w:snapToGrid w:val="0"/>
                <w:color w:val="000000"/>
                <w:kern w:val="2"/>
                <w:szCs w:val="21"/>
              </w:rPr>
              <w:t xml:space="preserve"> </w:t>
            </w:r>
            <w:r>
              <w:rPr>
                <w:rFonts w:hint="eastAsia" w:ascii="宋体" w:hAnsi="宋体" w:cs="Times New Roman"/>
                <w:bCs/>
                <w:snapToGrid w:val="0"/>
                <w:color w:val="000000"/>
                <w:kern w:val="2"/>
                <w:szCs w:val="21"/>
              </w:rPr>
              <w:t>拟建项目</w:t>
            </w:r>
            <w:r>
              <w:rPr>
                <w:rFonts w:ascii="宋体" w:hAnsi="宋体" w:cs="Times New Roman"/>
                <w:bCs/>
                <w:snapToGrid w:val="0"/>
                <w:color w:val="000000"/>
                <w:kern w:val="2"/>
                <w:szCs w:val="21"/>
              </w:rPr>
              <w:t>固体废物</w:t>
            </w:r>
            <w:r>
              <w:rPr>
                <w:rFonts w:hint="eastAsia" w:ascii="宋体" w:hAnsi="宋体" w:cs="Times New Roman"/>
                <w:bCs/>
                <w:snapToGrid w:val="0"/>
                <w:color w:val="000000"/>
                <w:kern w:val="2"/>
                <w:szCs w:val="21"/>
              </w:rPr>
              <w:t>分类识别及汇总情况一览表</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Layout w:type="autofit"/>
              <w:tblCellMar>
                <w:top w:w="0" w:type="dxa"/>
                <w:left w:w="6" w:type="dxa"/>
                <w:bottom w:w="0" w:type="dxa"/>
                <w:right w:w="6" w:type="dxa"/>
              </w:tblCellMar>
            </w:tblPr>
            <w:tblGrid>
              <w:gridCol w:w="324"/>
              <w:gridCol w:w="725"/>
              <w:gridCol w:w="725"/>
              <w:gridCol w:w="725"/>
              <w:gridCol w:w="897"/>
              <w:gridCol w:w="553"/>
              <w:gridCol w:w="725"/>
              <w:gridCol w:w="564"/>
              <w:gridCol w:w="595"/>
              <w:gridCol w:w="857"/>
              <w:gridCol w:w="908"/>
              <w:gridCol w:w="810"/>
              <w:gridCol w:w="6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6" w:type="dxa"/>
                  <w:bottom w:w="0" w:type="dxa"/>
                  <w:right w:w="6" w:type="dxa"/>
                </w:tblCellMar>
              </w:tblPrEx>
              <w:trPr>
                <w:trHeight w:val="397" w:hRule="atLeast"/>
              </w:trPr>
              <w:tc>
                <w:tcPr>
                  <w:tcW w:w="179" w:type="pct"/>
                  <w:shd w:val="clear" w:color="auto" w:fill="FFFFFF"/>
                  <w:vAlign w:val="center"/>
                </w:tcPr>
                <w:p>
                  <w:pPr>
                    <w:pStyle w:val="68"/>
                    <w:spacing w:before="24" w:after="24"/>
                  </w:pPr>
                  <w:r>
                    <w:t>序号</w:t>
                  </w:r>
                </w:p>
              </w:tc>
              <w:tc>
                <w:tcPr>
                  <w:tcW w:w="401" w:type="pct"/>
                  <w:shd w:val="clear" w:color="auto" w:fill="FFFFFF"/>
                  <w:vAlign w:val="center"/>
                </w:tcPr>
                <w:p>
                  <w:pPr>
                    <w:pStyle w:val="68"/>
                    <w:spacing w:before="24" w:after="24"/>
                  </w:pPr>
                  <w:r>
                    <w:t>产生环节</w:t>
                  </w:r>
                </w:p>
              </w:tc>
              <w:tc>
                <w:tcPr>
                  <w:tcW w:w="401" w:type="pct"/>
                  <w:shd w:val="clear" w:color="auto" w:fill="FFFFFF"/>
                  <w:vAlign w:val="center"/>
                </w:tcPr>
                <w:p>
                  <w:pPr>
                    <w:pStyle w:val="68"/>
                    <w:spacing w:before="24" w:after="24"/>
                  </w:pPr>
                  <w:r>
                    <w:t>固体废物名称</w:t>
                  </w:r>
                </w:p>
              </w:tc>
              <w:tc>
                <w:tcPr>
                  <w:tcW w:w="401" w:type="pct"/>
                  <w:shd w:val="clear" w:color="auto" w:fill="FFFFFF"/>
                  <w:vAlign w:val="center"/>
                </w:tcPr>
                <w:p>
                  <w:pPr>
                    <w:pStyle w:val="68"/>
                    <w:spacing w:before="24" w:after="24"/>
                  </w:pPr>
                  <w:r>
                    <w:t>属性</w:t>
                  </w:r>
                </w:p>
              </w:tc>
              <w:tc>
                <w:tcPr>
                  <w:tcW w:w="496" w:type="pct"/>
                  <w:shd w:val="clear" w:color="auto" w:fill="FFFFFF"/>
                  <w:vAlign w:val="center"/>
                </w:tcPr>
                <w:p>
                  <w:pPr>
                    <w:pStyle w:val="68"/>
                    <w:spacing w:before="24" w:after="24"/>
                  </w:pPr>
                  <w:r>
                    <w:rPr>
                      <w:rFonts w:hint="eastAsia"/>
                    </w:rPr>
                    <w:t>危险</w:t>
                  </w:r>
                  <w:r>
                    <w:t>废物</w:t>
                  </w:r>
                  <w:r>
                    <w:rPr>
                      <w:rFonts w:hint="eastAsia"/>
                    </w:rPr>
                    <w:t>编码</w:t>
                  </w:r>
                </w:p>
              </w:tc>
              <w:tc>
                <w:tcPr>
                  <w:tcW w:w="306" w:type="pct"/>
                  <w:shd w:val="clear" w:color="auto" w:fill="FFFFFF"/>
                  <w:vAlign w:val="center"/>
                </w:tcPr>
                <w:p>
                  <w:pPr>
                    <w:pStyle w:val="68"/>
                    <w:spacing w:before="24" w:after="24"/>
                  </w:pPr>
                  <w:r>
                    <w:rPr>
                      <w:rFonts w:hint="eastAsia"/>
                    </w:rPr>
                    <w:t>物理性状</w:t>
                  </w:r>
                </w:p>
              </w:tc>
              <w:tc>
                <w:tcPr>
                  <w:tcW w:w="401" w:type="pct"/>
                  <w:shd w:val="clear" w:color="auto" w:fill="FFFFFF"/>
                  <w:vAlign w:val="center"/>
                </w:tcPr>
                <w:p>
                  <w:pPr>
                    <w:pStyle w:val="68"/>
                    <w:spacing w:before="24" w:after="24"/>
                  </w:pPr>
                  <w:r>
                    <w:rPr>
                      <w:rFonts w:hint="eastAsia"/>
                    </w:rPr>
                    <w:t>主要有毒有害物质</w:t>
                  </w:r>
                </w:p>
              </w:tc>
              <w:tc>
                <w:tcPr>
                  <w:tcW w:w="312" w:type="pct"/>
                  <w:shd w:val="clear" w:color="auto" w:fill="FFFFFF"/>
                  <w:vAlign w:val="center"/>
                </w:tcPr>
                <w:p>
                  <w:pPr>
                    <w:pStyle w:val="68"/>
                    <w:spacing w:before="24" w:after="24"/>
                  </w:pPr>
                  <w:r>
                    <w:rPr>
                      <w:rFonts w:hint="eastAsia"/>
                    </w:rPr>
                    <w:t>环境危险特性</w:t>
                  </w:r>
                </w:p>
              </w:tc>
              <w:tc>
                <w:tcPr>
                  <w:tcW w:w="329" w:type="pct"/>
                  <w:shd w:val="clear" w:color="auto" w:fill="FFFFFF"/>
                  <w:vAlign w:val="center"/>
                </w:tcPr>
                <w:p>
                  <w:pPr>
                    <w:pStyle w:val="68"/>
                    <w:spacing w:before="24" w:after="24"/>
                  </w:pPr>
                  <w:r>
                    <w:rPr>
                      <w:rFonts w:hint="eastAsia"/>
                    </w:rPr>
                    <w:t>产生量</w:t>
                  </w:r>
                </w:p>
                <w:p>
                  <w:pPr>
                    <w:pStyle w:val="68"/>
                    <w:spacing w:before="24" w:after="24"/>
                    <w:rPr>
                      <w:rFonts w:ascii="宋体" w:hAnsi="宋体"/>
                    </w:rPr>
                  </w:pPr>
                  <w:r>
                    <w:rPr>
                      <w:rFonts w:ascii="宋体" w:hAnsi="宋体"/>
                    </w:rPr>
                    <w:t>/</w:t>
                  </w:r>
                  <w:r>
                    <w:rPr>
                      <w:rFonts w:hint="eastAsia" w:ascii="宋体" w:hAnsi="宋体"/>
                    </w:rPr>
                    <w:t>t</w:t>
                  </w:r>
                  <w:r>
                    <w:rPr>
                      <w:rFonts w:ascii="宋体" w:hAnsi="宋体"/>
                    </w:rPr>
                    <w:t>/</w:t>
                  </w:r>
                  <w:r>
                    <w:t>a</w:t>
                  </w:r>
                </w:p>
              </w:tc>
              <w:tc>
                <w:tcPr>
                  <w:tcW w:w="474" w:type="pct"/>
                  <w:shd w:val="clear" w:color="auto" w:fill="FFFFFF"/>
                  <w:vAlign w:val="center"/>
                </w:tcPr>
                <w:p>
                  <w:pPr>
                    <w:pStyle w:val="68"/>
                    <w:spacing w:before="24" w:after="24"/>
                  </w:pPr>
                  <w:r>
                    <w:rPr>
                      <w:rFonts w:hint="eastAsia"/>
                    </w:rPr>
                    <w:t>贮存方式</w:t>
                  </w:r>
                </w:p>
              </w:tc>
              <w:tc>
                <w:tcPr>
                  <w:tcW w:w="502" w:type="pct"/>
                  <w:shd w:val="clear" w:color="auto" w:fill="FFFFFF"/>
                  <w:vAlign w:val="center"/>
                </w:tcPr>
                <w:p>
                  <w:pPr>
                    <w:pStyle w:val="68"/>
                    <w:spacing w:before="24" w:after="24"/>
                  </w:pPr>
                  <w:r>
                    <w:rPr>
                      <w:rFonts w:hint="eastAsia"/>
                    </w:rPr>
                    <w:t>利用处置方式</w:t>
                  </w:r>
                </w:p>
              </w:tc>
              <w:tc>
                <w:tcPr>
                  <w:tcW w:w="448" w:type="pct"/>
                  <w:shd w:val="clear" w:color="auto" w:fill="FFFFFF"/>
                  <w:vAlign w:val="center"/>
                </w:tcPr>
                <w:p>
                  <w:pPr>
                    <w:pStyle w:val="68"/>
                    <w:spacing w:before="24" w:after="24"/>
                  </w:pPr>
                  <w:r>
                    <w:rPr>
                      <w:rFonts w:hint="eastAsia"/>
                    </w:rPr>
                    <w:t>去向</w:t>
                  </w:r>
                </w:p>
              </w:tc>
              <w:tc>
                <w:tcPr>
                  <w:tcW w:w="350" w:type="pct"/>
                  <w:shd w:val="clear" w:color="auto" w:fill="FFFFFF"/>
                  <w:vAlign w:val="center"/>
                </w:tcPr>
                <w:p>
                  <w:pPr>
                    <w:pStyle w:val="68"/>
                    <w:spacing w:before="24" w:after="24"/>
                  </w:pPr>
                  <w:r>
                    <w:rPr>
                      <w:rFonts w:hint="eastAsia"/>
                    </w:rPr>
                    <w:t>利用或处置量</w:t>
                  </w:r>
                </w:p>
                <w:p>
                  <w:pPr>
                    <w:pStyle w:val="68"/>
                    <w:spacing w:before="24" w:after="24"/>
                    <w:rPr>
                      <w:rFonts w:ascii="宋体" w:hAnsi="宋体"/>
                    </w:rPr>
                  </w:pPr>
                  <w:r>
                    <w:rPr>
                      <w:rFonts w:ascii="宋体" w:hAnsi="宋体"/>
                    </w:rPr>
                    <w:t>/</w:t>
                  </w:r>
                  <w:r>
                    <w:rPr>
                      <w:rFonts w:hint="eastAsia" w:ascii="宋体" w:hAnsi="宋体"/>
                    </w:rPr>
                    <w:t>t</w:t>
                  </w:r>
                  <w:r>
                    <w:rPr>
                      <w:rFonts w:ascii="宋体" w:hAnsi="宋体"/>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97" w:hRule="atLeast"/>
              </w:trPr>
              <w:tc>
                <w:tcPr>
                  <w:tcW w:w="179" w:type="pct"/>
                  <w:shd w:val="clear" w:color="auto" w:fill="FFFFFF"/>
                  <w:vAlign w:val="center"/>
                </w:tcPr>
                <w:p>
                  <w:pPr>
                    <w:pStyle w:val="68"/>
                    <w:numPr>
                      <w:ilvl w:val="0"/>
                      <w:numId w:val="6"/>
                    </w:numPr>
                    <w:spacing w:before="24" w:after="24"/>
                  </w:pPr>
                </w:p>
              </w:tc>
              <w:tc>
                <w:tcPr>
                  <w:tcW w:w="401" w:type="pct"/>
                  <w:shd w:val="clear" w:color="auto" w:fill="FFFFFF"/>
                  <w:vAlign w:val="center"/>
                </w:tcPr>
                <w:p>
                  <w:pPr>
                    <w:pStyle w:val="68"/>
                    <w:spacing w:before="24" w:after="24"/>
                  </w:pPr>
                  <w:r>
                    <w:rPr>
                      <w:rFonts w:hint="eastAsia"/>
                    </w:rPr>
                    <w:t>布袋除尘</w:t>
                  </w:r>
                </w:p>
              </w:tc>
              <w:tc>
                <w:tcPr>
                  <w:tcW w:w="401" w:type="pct"/>
                  <w:shd w:val="clear" w:color="auto" w:fill="FFFFFF"/>
                  <w:vAlign w:val="center"/>
                </w:tcPr>
                <w:p>
                  <w:pPr>
                    <w:pStyle w:val="68"/>
                    <w:spacing w:before="24" w:after="24"/>
                  </w:pPr>
                  <w:r>
                    <w:rPr>
                      <w:rFonts w:hint="eastAsia"/>
                    </w:rPr>
                    <w:t>物料粉尘</w:t>
                  </w:r>
                </w:p>
              </w:tc>
              <w:tc>
                <w:tcPr>
                  <w:tcW w:w="401" w:type="pct"/>
                  <w:shd w:val="clear" w:color="auto" w:fill="FFFFFF"/>
                  <w:vAlign w:val="center"/>
                </w:tcPr>
                <w:p>
                  <w:pPr>
                    <w:pStyle w:val="68"/>
                    <w:spacing w:before="24" w:after="24"/>
                  </w:pPr>
                  <w:r>
                    <w:t>一般固废</w:t>
                  </w:r>
                </w:p>
              </w:tc>
              <w:tc>
                <w:tcPr>
                  <w:tcW w:w="496" w:type="pct"/>
                  <w:shd w:val="clear" w:color="auto" w:fill="FFFFFF"/>
                  <w:vAlign w:val="center"/>
                </w:tcPr>
                <w:p>
                  <w:pPr>
                    <w:pStyle w:val="68"/>
                    <w:spacing w:before="24" w:after="24"/>
                  </w:pPr>
                  <w:r>
                    <w:rPr>
                      <w:rFonts w:hint="eastAsia"/>
                    </w:rPr>
                    <w:t>/</w:t>
                  </w:r>
                </w:p>
              </w:tc>
              <w:tc>
                <w:tcPr>
                  <w:tcW w:w="306" w:type="pct"/>
                  <w:shd w:val="clear" w:color="auto" w:fill="FFFFFF"/>
                  <w:vAlign w:val="center"/>
                </w:tcPr>
                <w:p>
                  <w:pPr>
                    <w:pStyle w:val="68"/>
                    <w:spacing w:before="24" w:after="24"/>
                  </w:pPr>
                  <w:r>
                    <w:t>固态</w:t>
                  </w:r>
                </w:p>
              </w:tc>
              <w:tc>
                <w:tcPr>
                  <w:tcW w:w="401" w:type="pct"/>
                  <w:shd w:val="clear" w:color="auto" w:fill="FFFFFF"/>
                  <w:vAlign w:val="center"/>
                </w:tcPr>
                <w:p>
                  <w:pPr>
                    <w:pStyle w:val="68"/>
                    <w:spacing w:before="24" w:after="24"/>
                  </w:pPr>
                  <w:r>
                    <w:rPr>
                      <w:rFonts w:hint="eastAsia"/>
                    </w:rPr>
                    <w:t>/</w:t>
                  </w:r>
                </w:p>
              </w:tc>
              <w:tc>
                <w:tcPr>
                  <w:tcW w:w="312" w:type="pct"/>
                  <w:shd w:val="clear" w:color="auto" w:fill="FFFFFF"/>
                  <w:vAlign w:val="center"/>
                </w:tcPr>
                <w:p>
                  <w:pPr>
                    <w:pStyle w:val="68"/>
                    <w:spacing w:before="24" w:after="24"/>
                  </w:pPr>
                  <w:r>
                    <w:rPr>
                      <w:rFonts w:hint="eastAsia"/>
                    </w:rPr>
                    <w:t>/</w:t>
                  </w:r>
                </w:p>
              </w:tc>
              <w:tc>
                <w:tcPr>
                  <w:tcW w:w="329" w:type="pct"/>
                  <w:shd w:val="clear" w:color="auto" w:fill="FFFFFF"/>
                  <w:vAlign w:val="center"/>
                </w:tcPr>
                <w:p>
                  <w:pPr>
                    <w:pStyle w:val="68"/>
                    <w:spacing w:before="24" w:after="24"/>
                  </w:pPr>
                  <w:r>
                    <w:t>10</w:t>
                  </w:r>
                  <w:r>
                    <w:rPr>
                      <w:rFonts w:hint="eastAsia"/>
                    </w:rPr>
                    <w:t>4.31</w:t>
                  </w:r>
                </w:p>
              </w:tc>
              <w:tc>
                <w:tcPr>
                  <w:tcW w:w="474" w:type="pct"/>
                  <w:shd w:val="clear" w:color="auto" w:fill="FFFFFF"/>
                  <w:vAlign w:val="center"/>
                </w:tcPr>
                <w:p>
                  <w:pPr>
                    <w:pStyle w:val="68"/>
                    <w:spacing w:before="24" w:after="24"/>
                  </w:pPr>
                  <w:r>
                    <w:rPr>
                      <w:rFonts w:hint="eastAsia"/>
                    </w:rPr>
                    <w:t>不贮存，直接回用</w:t>
                  </w:r>
                </w:p>
              </w:tc>
              <w:tc>
                <w:tcPr>
                  <w:tcW w:w="502" w:type="pct"/>
                  <w:shd w:val="clear" w:color="auto" w:fill="FFFFFF"/>
                  <w:vAlign w:val="center"/>
                </w:tcPr>
                <w:p>
                  <w:pPr>
                    <w:pStyle w:val="68"/>
                    <w:spacing w:before="24" w:after="24"/>
                  </w:pPr>
                  <w:r>
                    <w:rPr>
                      <w:rFonts w:hint="eastAsia"/>
                    </w:rPr>
                    <w:t>回用</w:t>
                  </w:r>
                </w:p>
              </w:tc>
              <w:tc>
                <w:tcPr>
                  <w:tcW w:w="448" w:type="pct"/>
                  <w:shd w:val="clear" w:color="auto" w:fill="FFFFFF"/>
                  <w:vAlign w:val="center"/>
                </w:tcPr>
                <w:p>
                  <w:pPr>
                    <w:pStyle w:val="68"/>
                    <w:spacing w:before="24" w:after="24"/>
                  </w:pPr>
                  <w:r>
                    <w:rPr>
                      <w:rFonts w:hint="eastAsia"/>
                    </w:rPr>
                    <w:t>回用于生产</w:t>
                  </w:r>
                </w:p>
              </w:tc>
              <w:tc>
                <w:tcPr>
                  <w:tcW w:w="350" w:type="pct"/>
                  <w:shd w:val="clear" w:color="auto" w:fill="FFFFFF"/>
                  <w:vAlign w:val="center"/>
                </w:tcPr>
                <w:p>
                  <w:pPr>
                    <w:pStyle w:val="68"/>
                    <w:spacing w:before="24" w:after="24"/>
                  </w:pPr>
                  <w:r>
                    <w:t>10</w:t>
                  </w:r>
                  <w:r>
                    <w:rPr>
                      <w:rFonts w:hint="eastAsia"/>
                    </w:rPr>
                    <w:t>4.31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97" w:hRule="atLeast"/>
              </w:trPr>
              <w:tc>
                <w:tcPr>
                  <w:tcW w:w="179" w:type="pct"/>
                  <w:shd w:val="clear" w:color="auto" w:fill="FFFFFF"/>
                  <w:vAlign w:val="center"/>
                </w:tcPr>
                <w:p>
                  <w:pPr>
                    <w:pStyle w:val="68"/>
                    <w:numPr>
                      <w:ilvl w:val="0"/>
                      <w:numId w:val="6"/>
                    </w:numPr>
                    <w:spacing w:before="24" w:after="24"/>
                  </w:pPr>
                </w:p>
              </w:tc>
              <w:tc>
                <w:tcPr>
                  <w:tcW w:w="401" w:type="pct"/>
                  <w:shd w:val="clear" w:color="auto" w:fill="FFFFFF"/>
                  <w:vAlign w:val="center"/>
                </w:tcPr>
                <w:p>
                  <w:pPr>
                    <w:pStyle w:val="68"/>
                    <w:spacing w:before="24" w:after="24"/>
                  </w:pPr>
                  <w:r>
                    <w:rPr>
                      <w:rFonts w:hint="eastAsia"/>
                    </w:rPr>
                    <w:t>地面沉降</w:t>
                  </w:r>
                </w:p>
              </w:tc>
              <w:tc>
                <w:tcPr>
                  <w:tcW w:w="401" w:type="pct"/>
                  <w:shd w:val="clear" w:color="auto" w:fill="FFFFFF"/>
                  <w:vAlign w:val="center"/>
                </w:tcPr>
                <w:p>
                  <w:pPr>
                    <w:pStyle w:val="68"/>
                    <w:spacing w:before="24" w:after="24"/>
                  </w:pPr>
                  <w:r>
                    <w:rPr>
                      <w:rFonts w:hint="eastAsia"/>
                    </w:rPr>
                    <w:t>物料粉尘</w:t>
                  </w:r>
                </w:p>
              </w:tc>
              <w:tc>
                <w:tcPr>
                  <w:tcW w:w="401" w:type="pct"/>
                  <w:shd w:val="clear" w:color="auto" w:fill="FFFFFF"/>
                  <w:vAlign w:val="center"/>
                </w:tcPr>
                <w:p>
                  <w:pPr>
                    <w:pStyle w:val="68"/>
                    <w:spacing w:before="24" w:after="24"/>
                  </w:pPr>
                  <w:r>
                    <w:t>一般固废</w:t>
                  </w:r>
                </w:p>
              </w:tc>
              <w:tc>
                <w:tcPr>
                  <w:tcW w:w="496" w:type="pct"/>
                  <w:shd w:val="clear" w:color="auto" w:fill="FFFFFF"/>
                  <w:vAlign w:val="center"/>
                </w:tcPr>
                <w:p>
                  <w:pPr>
                    <w:pStyle w:val="68"/>
                    <w:spacing w:before="24" w:after="24"/>
                  </w:pPr>
                  <w:r>
                    <w:rPr>
                      <w:rFonts w:hint="eastAsia"/>
                    </w:rPr>
                    <w:t>/</w:t>
                  </w:r>
                </w:p>
              </w:tc>
              <w:tc>
                <w:tcPr>
                  <w:tcW w:w="306" w:type="pct"/>
                  <w:shd w:val="clear" w:color="auto" w:fill="FFFFFF"/>
                  <w:vAlign w:val="center"/>
                </w:tcPr>
                <w:p>
                  <w:pPr>
                    <w:pStyle w:val="68"/>
                    <w:spacing w:before="24" w:after="24"/>
                  </w:pPr>
                  <w:r>
                    <w:t>固态</w:t>
                  </w:r>
                </w:p>
              </w:tc>
              <w:tc>
                <w:tcPr>
                  <w:tcW w:w="401" w:type="pct"/>
                  <w:shd w:val="clear" w:color="auto" w:fill="FFFFFF"/>
                  <w:vAlign w:val="center"/>
                </w:tcPr>
                <w:p>
                  <w:pPr>
                    <w:pStyle w:val="68"/>
                    <w:spacing w:before="24" w:after="24"/>
                  </w:pPr>
                  <w:r>
                    <w:rPr>
                      <w:rFonts w:hint="eastAsia"/>
                    </w:rPr>
                    <w:t>/</w:t>
                  </w:r>
                </w:p>
              </w:tc>
              <w:tc>
                <w:tcPr>
                  <w:tcW w:w="312" w:type="pct"/>
                  <w:shd w:val="clear" w:color="auto" w:fill="FFFFFF"/>
                  <w:vAlign w:val="center"/>
                </w:tcPr>
                <w:p>
                  <w:pPr>
                    <w:pStyle w:val="68"/>
                    <w:spacing w:before="24" w:after="24"/>
                  </w:pPr>
                  <w:r>
                    <w:rPr>
                      <w:rFonts w:hint="eastAsia"/>
                    </w:rPr>
                    <w:t>/</w:t>
                  </w:r>
                </w:p>
              </w:tc>
              <w:tc>
                <w:tcPr>
                  <w:tcW w:w="329" w:type="pct"/>
                  <w:shd w:val="clear" w:color="auto" w:fill="FFFFFF"/>
                  <w:vAlign w:val="center"/>
                </w:tcPr>
                <w:p>
                  <w:pPr>
                    <w:pStyle w:val="68"/>
                    <w:spacing w:before="24" w:after="24"/>
                  </w:pPr>
                  <w:r>
                    <w:t>2.32</w:t>
                  </w:r>
                </w:p>
              </w:tc>
              <w:tc>
                <w:tcPr>
                  <w:tcW w:w="474" w:type="pct"/>
                  <w:shd w:val="clear" w:color="auto" w:fill="FFFFFF"/>
                  <w:vAlign w:val="center"/>
                </w:tcPr>
                <w:p>
                  <w:pPr>
                    <w:pStyle w:val="68"/>
                    <w:spacing w:before="24" w:after="24"/>
                  </w:pPr>
                  <w:r>
                    <w:rPr>
                      <w:rFonts w:hint="eastAsia"/>
                    </w:rPr>
                    <w:t>一般固废暂存处</w:t>
                  </w:r>
                </w:p>
              </w:tc>
              <w:tc>
                <w:tcPr>
                  <w:tcW w:w="502" w:type="pct"/>
                  <w:shd w:val="clear" w:color="auto" w:fill="FFFFFF"/>
                  <w:vAlign w:val="center"/>
                </w:tcPr>
                <w:p>
                  <w:pPr>
                    <w:pStyle w:val="68"/>
                    <w:spacing w:before="24" w:after="24"/>
                  </w:pPr>
                  <w:r>
                    <w:rPr>
                      <w:rFonts w:hint="eastAsia"/>
                    </w:rPr>
                    <w:t>收集回用</w:t>
                  </w:r>
                </w:p>
              </w:tc>
              <w:tc>
                <w:tcPr>
                  <w:tcW w:w="448" w:type="pct"/>
                  <w:shd w:val="clear" w:color="auto" w:fill="FFFFFF"/>
                  <w:vAlign w:val="center"/>
                </w:tcPr>
                <w:p>
                  <w:pPr>
                    <w:pStyle w:val="68"/>
                    <w:spacing w:before="24" w:after="24"/>
                  </w:pPr>
                  <w:r>
                    <w:rPr>
                      <w:rFonts w:hint="eastAsia"/>
                    </w:rPr>
                    <w:t>回用于生产</w:t>
                  </w:r>
                </w:p>
              </w:tc>
              <w:tc>
                <w:tcPr>
                  <w:tcW w:w="350" w:type="pct"/>
                  <w:shd w:val="clear" w:color="auto" w:fill="FFFFFF"/>
                  <w:vAlign w:val="center"/>
                </w:tcPr>
                <w:p>
                  <w:pPr>
                    <w:pStyle w:val="68"/>
                    <w:spacing w:before="24" w:after="24"/>
                  </w:pPr>
                  <w:r>
                    <w:t>2.32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97" w:hRule="atLeast"/>
              </w:trPr>
              <w:tc>
                <w:tcPr>
                  <w:tcW w:w="179" w:type="pct"/>
                  <w:shd w:val="clear" w:color="auto" w:fill="FFFFFF"/>
                  <w:vAlign w:val="center"/>
                </w:tcPr>
                <w:p>
                  <w:pPr>
                    <w:pStyle w:val="68"/>
                    <w:numPr>
                      <w:ilvl w:val="0"/>
                      <w:numId w:val="6"/>
                    </w:numPr>
                    <w:spacing w:before="24" w:after="24"/>
                  </w:pPr>
                </w:p>
              </w:tc>
              <w:tc>
                <w:tcPr>
                  <w:tcW w:w="401" w:type="pct"/>
                  <w:shd w:val="clear" w:color="auto" w:fill="FFFFFF"/>
                  <w:vAlign w:val="center"/>
                </w:tcPr>
                <w:p>
                  <w:pPr>
                    <w:pStyle w:val="68"/>
                    <w:spacing w:before="24" w:after="24"/>
                  </w:pPr>
                  <w:r>
                    <w:rPr>
                      <w:rFonts w:hint="eastAsia"/>
                    </w:rPr>
                    <w:t>砂石分离机</w:t>
                  </w:r>
                </w:p>
              </w:tc>
              <w:tc>
                <w:tcPr>
                  <w:tcW w:w="401" w:type="pct"/>
                  <w:shd w:val="clear" w:color="auto" w:fill="FFFFFF"/>
                  <w:vAlign w:val="center"/>
                </w:tcPr>
                <w:p>
                  <w:pPr>
                    <w:pStyle w:val="68"/>
                    <w:spacing w:before="24" w:after="24"/>
                  </w:pPr>
                  <w:r>
                    <w:rPr>
                      <w:rFonts w:hint="eastAsia"/>
                    </w:rPr>
                    <w:t>砂石料</w:t>
                  </w:r>
                </w:p>
              </w:tc>
              <w:tc>
                <w:tcPr>
                  <w:tcW w:w="401" w:type="pct"/>
                  <w:shd w:val="clear" w:color="auto" w:fill="FFFFFF"/>
                  <w:vAlign w:val="center"/>
                </w:tcPr>
                <w:p>
                  <w:pPr>
                    <w:pStyle w:val="68"/>
                    <w:spacing w:before="24" w:after="24"/>
                  </w:pPr>
                  <w:r>
                    <w:t>一般固废</w:t>
                  </w:r>
                </w:p>
              </w:tc>
              <w:tc>
                <w:tcPr>
                  <w:tcW w:w="496" w:type="pct"/>
                  <w:shd w:val="clear" w:color="auto" w:fill="FFFFFF"/>
                  <w:vAlign w:val="center"/>
                </w:tcPr>
                <w:p>
                  <w:pPr>
                    <w:pStyle w:val="68"/>
                    <w:spacing w:before="24" w:after="24"/>
                  </w:pPr>
                  <w:r>
                    <w:rPr>
                      <w:rFonts w:hint="eastAsia"/>
                    </w:rPr>
                    <w:t>/</w:t>
                  </w:r>
                </w:p>
              </w:tc>
              <w:tc>
                <w:tcPr>
                  <w:tcW w:w="306" w:type="pct"/>
                  <w:shd w:val="clear" w:color="auto" w:fill="FFFFFF"/>
                  <w:vAlign w:val="center"/>
                </w:tcPr>
                <w:p>
                  <w:pPr>
                    <w:pStyle w:val="68"/>
                    <w:spacing w:before="24" w:after="24"/>
                  </w:pPr>
                  <w:r>
                    <w:t>固态</w:t>
                  </w:r>
                </w:p>
              </w:tc>
              <w:tc>
                <w:tcPr>
                  <w:tcW w:w="401" w:type="pct"/>
                  <w:shd w:val="clear" w:color="auto" w:fill="FFFFFF"/>
                  <w:vAlign w:val="center"/>
                </w:tcPr>
                <w:p>
                  <w:pPr>
                    <w:pStyle w:val="68"/>
                    <w:spacing w:before="24" w:after="24"/>
                  </w:pPr>
                  <w:r>
                    <w:rPr>
                      <w:rFonts w:hint="eastAsia"/>
                    </w:rPr>
                    <w:t>/</w:t>
                  </w:r>
                </w:p>
              </w:tc>
              <w:tc>
                <w:tcPr>
                  <w:tcW w:w="312" w:type="pct"/>
                  <w:shd w:val="clear" w:color="auto" w:fill="FFFFFF"/>
                  <w:vAlign w:val="center"/>
                </w:tcPr>
                <w:p>
                  <w:pPr>
                    <w:pStyle w:val="68"/>
                    <w:spacing w:before="24" w:after="24"/>
                  </w:pPr>
                  <w:r>
                    <w:rPr>
                      <w:rFonts w:hint="eastAsia"/>
                    </w:rPr>
                    <w:t>/</w:t>
                  </w:r>
                </w:p>
              </w:tc>
              <w:tc>
                <w:tcPr>
                  <w:tcW w:w="329" w:type="pct"/>
                  <w:shd w:val="clear" w:color="auto" w:fill="FFFFFF"/>
                  <w:vAlign w:val="center"/>
                </w:tcPr>
                <w:p>
                  <w:pPr>
                    <w:pStyle w:val="68"/>
                    <w:spacing w:before="24" w:after="24"/>
                  </w:pPr>
                  <w:r>
                    <w:t>50</w:t>
                  </w:r>
                </w:p>
              </w:tc>
              <w:tc>
                <w:tcPr>
                  <w:tcW w:w="474" w:type="pct"/>
                  <w:shd w:val="clear" w:color="auto" w:fill="FFFFFF"/>
                  <w:vAlign w:val="center"/>
                </w:tcPr>
                <w:p>
                  <w:pPr>
                    <w:pStyle w:val="68"/>
                    <w:spacing w:before="24" w:after="24"/>
                  </w:pPr>
                  <w:r>
                    <w:rPr>
                      <w:rFonts w:hint="eastAsia"/>
                    </w:rPr>
                    <w:t>一般固废暂存处</w:t>
                  </w:r>
                </w:p>
              </w:tc>
              <w:tc>
                <w:tcPr>
                  <w:tcW w:w="502" w:type="pct"/>
                  <w:shd w:val="clear" w:color="auto" w:fill="FFFFFF"/>
                  <w:vAlign w:val="center"/>
                </w:tcPr>
                <w:p>
                  <w:pPr>
                    <w:pStyle w:val="68"/>
                    <w:spacing w:before="24" w:after="24"/>
                  </w:pPr>
                  <w:r>
                    <w:rPr>
                      <w:rFonts w:hint="eastAsia"/>
                    </w:rPr>
                    <w:t>收集回用</w:t>
                  </w:r>
                </w:p>
              </w:tc>
              <w:tc>
                <w:tcPr>
                  <w:tcW w:w="448" w:type="pct"/>
                  <w:shd w:val="clear" w:color="auto" w:fill="FFFFFF"/>
                  <w:vAlign w:val="center"/>
                </w:tcPr>
                <w:p>
                  <w:pPr>
                    <w:pStyle w:val="68"/>
                    <w:spacing w:before="24" w:after="24"/>
                  </w:pPr>
                  <w:r>
                    <w:rPr>
                      <w:rFonts w:hint="eastAsia"/>
                    </w:rPr>
                    <w:t>回用于生产</w:t>
                  </w:r>
                </w:p>
              </w:tc>
              <w:tc>
                <w:tcPr>
                  <w:tcW w:w="350" w:type="pct"/>
                  <w:shd w:val="clear" w:color="auto" w:fill="FFFFFF"/>
                  <w:vAlign w:val="center"/>
                </w:tcPr>
                <w:p>
                  <w:pPr>
                    <w:pStyle w:val="68"/>
                    <w:spacing w:before="24" w:after="24"/>
                  </w:pPr>
                  <w: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97" w:hRule="atLeast"/>
              </w:trPr>
              <w:tc>
                <w:tcPr>
                  <w:tcW w:w="179" w:type="pct"/>
                  <w:shd w:val="clear" w:color="auto" w:fill="FFFFFF"/>
                  <w:vAlign w:val="center"/>
                </w:tcPr>
                <w:p>
                  <w:pPr>
                    <w:pStyle w:val="68"/>
                    <w:numPr>
                      <w:ilvl w:val="0"/>
                      <w:numId w:val="6"/>
                    </w:numPr>
                    <w:spacing w:before="24" w:after="24"/>
                  </w:pPr>
                </w:p>
              </w:tc>
              <w:tc>
                <w:tcPr>
                  <w:tcW w:w="401" w:type="pct"/>
                  <w:shd w:val="clear" w:color="auto" w:fill="FFFFFF"/>
                  <w:vAlign w:val="center"/>
                </w:tcPr>
                <w:p>
                  <w:pPr>
                    <w:pStyle w:val="68"/>
                    <w:spacing w:before="24" w:after="24"/>
                  </w:pPr>
                  <w:r>
                    <w:rPr>
                      <w:rFonts w:hint="eastAsia"/>
                    </w:rPr>
                    <w:t>沉淀池</w:t>
                  </w:r>
                </w:p>
              </w:tc>
              <w:tc>
                <w:tcPr>
                  <w:tcW w:w="401" w:type="pct"/>
                  <w:shd w:val="clear" w:color="auto" w:fill="FFFFFF"/>
                  <w:vAlign w:val="center"/>
                </w:tcPr>
                <w:p>
                  <w:pPr>
                    <w:pStyle w:val="68"/>
                    <w:spacing w:before="24" w:after="24"/>
                  </w:pPr>
                  <w:r>
                    <w:rPr>
                      <w:rFonts w:hint="eastAsia"/>
                    </w:rPr>
                    <w:t>沉淀池沉渣</w:t>
                  </w:r>
                </w:p>
              </w:tc>
              <w:tc>
                <w:tcPr>
                  <w:tcW w:w="401" w:type="pct"/>
                  <w:shd w:val="clear" w:color="auto" w:fill="FFFFFF"/>
                  <w:vAlign w:val="center"/>
                </w:tcPr>
                <w:p>
                  <w:pPr>
                    <w:pStyle w:val="68"/>
                    <w:spacing w:before="24" w:after="24"/>
                  </w:pPr>
                  <w:r>
                    <w:rPr>
                      <w:rFonts w:hint="eastAsia"/>
                    </w:rPr>
                    <w:t>一般固废</w:t>
                  </w:r>
                </w:p>
              </w:tc>
              <w:tc>
                <w:tcPr>
                  <w:tcW w:w="496" w:type="pct"/>
                  <w:shd w:val="clear" w:color="auto" w:fill="FFFFFF"/>
                  <w:vAlign w:val="center"/>
                </w:tcPr>
                <w:p>
                  <w:pPr>
                    <w:pStyle w:val="68"/>
                    <w:spacing w:before="24" w:after="24"/>
                  </w:pPr>
                  <w:r>
                    <w:rPr>
                      <w:rFonts w:hint="eastAsia"/>
                    </w:rPr>
                    <w:t>/</w:t>
                  </w:r>
                </w:p>
              </w:tc>
              <w:tc>
                <w:tcPr>
                  <w:tcW w:w="306" w:type="pct"/>
                  <w:shd w:val="clear" w:color="auto" w:fill="FFFFFF"/>
                  <w:vAlign w:val="center"/>
                </w:tcPr>
                <w:p>
                  <w:pPr>
                    <w:pStyle w:val="68"/>
                    <w:spacing w:before="24" w:after="24"/>
                  </w:pPr>
                  <w:r>
                    <w:rPr>
                      <w:rFonts w:hint="eastAsia"/>
                    </w:rPr>
                    <w:t>固态</w:t>
                  </w:r>
                </w:p>
              </w:tc>
              <w:tc>
                <w:tcPr>
                  <w:tcW w:w="401" w:type="pct"/>
                  <w:shd w:val="clear" w:color="auto" w:fill="FFFFFF"/>
                  <w:vAlign w:val="center"/>
                </w:tcPr>
                <w:p>
                  <w:pPr>
                    <w:pStyle w:val="68"/>
                    <w:spacing w:before="24" w:after="24"/>
                  </w:pPr>
                  <w:r>
                    <w:rPr>
                      <w:rFonts w:hint="eastAsia"/>
                    </w:rPr>
                    <w:t>/</w:t>
                  </w:r>
                </w:p>
              </w:tc>
              <w:tc>
                <w:tcPr>
                  <w:tcW w:w="312" w:type="pct"/>
                  <w:shd w:val="clear" w:color="auto" w:fill="FFFFFF"/>
                  <w:vAlign w:val="center"/>
                </w:tcPr>
                <w:p>
                  <w:pPr>
                    <w:pStyle w:val="68"/>
                    <w:spacing w:before="24" w:after="24"/>
                  </w:pPr>
                  <w:r>
                    <w:rPr>
                      <w:rFonts w:hint="eastAsia"/>
                    </w:rPr>
                    <w:t>/</w:t>
                  </w:r>
                </w:p>
              </w:tc>
              <w:tc>
                <w:tcPr>
                  <w:tcW w:w="329" w:type="pct"/>
                  <w:shd w:val="clear" w:color="auto" w:fill="FFFFFF"/>
                  <w:vAlign w:val="center"/>
                </w:tcPr>
                <w:p>
                  <w:pPr>
                    <w:pStyle w:val="68"/>
                    <w:spacing w:before="24" w:after="24"/>
                  </w:pPr>
                  <w:r>
                    <w:t>10</w:t>
                  </w:r>
                </w:p>
              </w:tc>
              <w:tc>
                <w:tcPr>
                  <w:tcW w:w="474" w:type="pct"/>
                  <w:shd w:val="clear" w:color="auto" w:fill="FFFFFF"/>
                  <w:vAlign w:val="center"/>
                </w:tcPr>
                <w:p>
                  <w:pPr>
                    <w:pStyle w:val="68"/>
                    <w:spacing w:before="24" w:after="24"/>
                  </w:pPr>
                  <w:r>
                    <w:rPr>
                      <w:rFonts w:hint="eastAsia"/>
                    </w:rPr>
                    <w:t>一般固废暂存处</w:t>
                  </w:r>
                </w:p>
              </w:tc>
              <w:tc>
                <w:tcPr>
                  <w:tcW w:w="502" w:type="pct"/>
                  <w:shd w:val="clear" w:color="auto" w:fill="FFFFFF"/>
                  <w:vAlign w:val="center"/>
                </w:tcPr>
                <w:p>
                  <w:pPr>
                    <w:pStyle w:val="68"/>
                    <w:spacing w:before="24" w:after="24"/>
                  </w:pPr>
                  <w:r>
                    <w:rPr>
                      <w:rFonts w:hint="eastAsia"/>
                    </w:rPr>
                    <w:t>外运用作路基材料</w:t>
                  </w:r>
                </w:p>
              </w:tc>
              <w:tc>
                <w:tcPr>
                  <w:tcW w:w="448" w:type="pct"/>
                  <w:shd w:val="clear" w:color="auto" w:fill="FFFFFF"/>
                  <w:vAlign w:val="center"/>
                </w:tcPr>
                <w:p>
                  <w:pPr>
                    <w:pStyle w:val="68"/>
                    <w:spacing w:before="24" w:after="24"/>
                  </w:pPr>
                  <w:r>
                    <w:rPr>
                      <w:rFonts w:hint="eastAsia"/>
                    </w:rPr>
                    <w:t>外运综合利用</w:t>
                  </w:r>
                </w:p>
              </w:tc>
              <w:tc>
                <w:tcPr>
                  <w:tcW w:w="350" w:type="pct"/>
                  <w:shd w:val="clear" w:color="auto" w:fill="FFFFFF"/>
                  <w:vAlign w:val="center"/>
                </w:tcPr>
                <w:p>
                  <w:pPr>
                    <w:pStyle w:val="68"/>
                    <w:spacing w:before="24" w:after="24"/>
                  </w:pPr>
                  <w: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97" w:hRule="atLeast"/>
              </w:trPr>
              <w:tc>
                <w:tcPr>
                  <w:tcW w:w="179" w:type="pct"/>
                  <w:shd w:val="clear" w:color="auto" w:fill="FFFFFF"/>
                  <w:vAlign w:val="center"/>
                </w:tcPr>
                <w:p>
                  <w:pPr>
                    <w:pStyle w:val="68"/>
                    <w:numPr>
                      <w:ilvl w:val="0"/>
                      <w:numId w:val="6"/>
                    </w:numPr>
                    <w:spacing w:before="24" w:after="24"/>
                  </w:pPr>
                </w:p>
              </w:tc>
              <w:tc>
                <w:tcPr>
                  <w:tcW w:w="401" w:type="pct"/>
                  <w:shd w:val="clear" w:color="auto" w:fill="FFFFFF"/>
                  <w:vAlign w:val="center"/>
                </w:tcPr>
                <w:p>
                  <w:pPr>
                    <w:pStyle w:val="68"/>
                    <w:spacing w:before="24" w:after="24"/>
                  </w:pPr>
                  <w:r>
                    <w:rPr>
                      <w:rFonts w:hint="eastAsia"/>
                    </w:rPr>
                    <w:t>车辆及设备维护保养</w:t>
                  </w:r>
                </w:p>
              </w:tc>
              <w:tc>
                <w:tcPr>
                  <w:tcW w:w="401" w:type="pct"/>
                  <w:shd w:val="clear" w:color="auto" w:fill="FFFFFF"/>
                  <w:vAlign w:val="center"/>
                </w:tcPr>
                <w:p>
                  <w:pPr>
                    <w:pStyle w:val="68"/>
                    <w:spacing w:before="24" w:after="24"/>
                  </w:pPr>
                  <w:r>
                    <w:rPr>
                      <w:rFonts w:hint="eastAsia"/>
                    </w:rPr>
                    <w:t>废机油</w:t>
                  </w:r>
                </w:p>
              </w:tc>
              <w:tc>
                <w:tcPr>
                  <w:tcW w:w="401" w:type="pct"/>
                  <w:shd w:val="clear" w:color="auto" w:fill="FFFFFF"/>
                  <w:vAlign w:val="center"/>
                </w:tcPr>
                <w:p>
                  <w:pPr>
                    <w:pStyle w:val="68"/>
                    <w:spacing w:before="24" w:after="24"/>
                  </w:pPr>
                  <w:r>
                    <w:rPr>
                      <w:rFonts w:hint="eastAsia"/>
                    </w:rPr>
                    <w:t>危险废物</w:t>
                  </w:r>
                </w:p>
              </w:tc>
              <w:tc>
                <w:tcPr>
                  <w:tcW w:w="496" w:type="pct"/>
                  <w:shd w:val="clear" w:color="auto" w:fill="FFFFFF"/>
                  <w:vAlign w:val="center"/>
                </w:tcPr>
                <w:p>
                  <w:pPr>
                    <w:pStyle w:val="68"/>
                    <w:spacing w:before="24" w:after="24"/>
                  </w:pPr>
                  <w:r>
                    <w:rPr>
                      <w:rFonts w:hint="eastAsia"/>
                    </w:rPr>
                    <w:t>9</w:t>
                  </w:r>
                  <w:r>
                    <w:t>00-249-08</w:t>
                  </w:r>
                </w:p>
              </w:tc>
              <w:tc>
                <w:tcPr>
                  <w:tcW w:w="306" w:type="pct"/>
                  <w:shd w:val="clear" w:color="auto" w:fill="FFFFFF"/>
                  <w:vAlign w:val="center"/>
                </w:tcPr>
                <w:p>
                  <w:pPr>
                    <w:pStyle w:val="68"/>
                    <w:spacing w:before="24" w:after="24"/>
                  </w:pPr>
                  <w:r>
                    <w:rPr>
                      <w:rFonts w:hint="eastAsia"/>
                    </w:rPr>
                    <w:t>液态</w:t>
                  </w:r>
                </w:p>
              </w:tc>
              <w:tc>
                <w:tcPr>
                  <w:tcW w:w="401" w:type="pct"/>
                  <w:shd w:val="clear" w:color="auto" w:fill="FFFFFF"/>
                  <w:vAlign w:val="center"/>
                </w:tcPr>
                <w:p>
                  <w:pPr>
                    <w:pStyle w:val="68"/>
                    <w:spacing w:before="24" w:after="24"/>
                  </w:pPr>
                  <w:r>
                    <w:rPr>
                      <w:rFonts w:hint="eastAsia"/>
                    </w:rPr>
                    <w:t>废矿物油</w:t>
                  </w:r>
                </w:p>
              </w:tc>
              <w:tc>
                <w:tcPr>
                  <w:tcW w:w="312" w:type="pct"/>
                  <w:shd w:val="clear" w:color="auto" w:fill="FFFFFF"/>
                  <w:vAlign w:val="center"/>
                </w:tcPr>
                <w:p>
                  <w:pPr>
                    <w:pStyle w:val="68"/>
                    <w:spacing w:before="24" w:after="24"/>
                  </w:pPr>
                  <w:r>
                    <w:t>T</w:t>
                  </w:r>
                  <w:r>
                    <w:rPr>
                      <w:rFonts w:hint="eastAsia"/>
                    </w:rPr>
                    <w:t>，</w:t>
                  </w:r>
                  <w:r>
                    <w:t>I</w:t>
                  </w:r>
                </w:p>
              </w:tc>
              <w:tc>
                <w:tcPr>
                  <w:tcW w:w="329" w:type="pct"/>
                  <w:shd w:val="clear" w:color="auto" w:fill="FFFFFF"/>
                  <w:vAlign w:val="center"/>
                </w:tcPr>
                <w:p>
                  <w:pPr>
                    <w:pStyle w:val="68"/>
                    <w:spacing w:before="24" w:after="24"/>
                  </w:pPr>
                  <w:r>
                    <w:t>0.1</w:t>
                  </w:r>
                </w:p>
              </w:tc>
              <w:tc>
                <w:tcPr>
                  <w:tcW w:w="474" w:type="pct"/>
                  <w:shd w:val="clear" w:color="auto" w:fill="FFFFFF"/>
                  <w:vAlign w:val="center"/>
                </w:tcPr>
                <w:p>
                  <w:pPr>
                    <w:pStyle w:val="68"/>
                    <w:spacing w:before="24" w:after="24"/>
                  </w:pPr>
                  <w:r>
                    <w:rPr>
                      <w:rFonts w:hint="eastAsia"/>
                    </w:rPr>
                    <w:t>危废间</w:t>
                  </w:r>
                </w:p>
              </w:tc>
              <w:tc>
                <w:tcPr>
                  <w:tcW w:w="502" w:type="pct"/>
                  <w:shd w:val="clear" w:color="auto" w:fill="FFFFFF"/>
                  <w:vAlign w:val="center"/>
                </w:tcPr>
                <w:p>
                  <w:pPr>
                    <w:pStyle w:val="68"/>
                    <w:spacing w:before="24" w:after="24"/>
                  </w:pPr>
                  <w:r>
                    <w:rPr>
                      <w:rFonts w:hint="eastAsia"/>
                    </w:rPr>
                    <w:t>委托有资质单位处置</w:t>
                  </w:r>
                </w:p>
              </w:tc>
              <w:tc>
                <w:tcPr>
                  <w:tcW w:w="448" w:type="pct"/>
                  <w:shd w:val="clear" w:color="auto" w:fill="FFFFFF"/>
                  <w:vAlign w:val="center"/>
                </w:tcPr>
                <w:p>
                  <w:pPr>
                    <w:pStyle w:val="68"/>
                    <w:spacing w:before="24" w:after="24"/>
                  </w:pPr>
                  <w:r>
                    <w:t>有资质单位</w:t>
                  </w:r>
                </w:p>
              </w:tc>
              <w:tc>
                <w:tcPr>
                  <w:tcW w:w="350" w:type="pct"/>
                  <w:shd w:val="clear" w:color="auto" w:fill="FFFFFF"/>
                  <w:vAlign w:val="center"/>
                </w:tcPr>
                <w:p>
                  <w:pPr>
                    <w:pStyle w:val="68"/>
                    <w:spacing w:before="24" w:after="24"/>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22" w:hRule="atLeast"/>
              </w:trPr>
              <w:tc>
                <w:tcPr>
                  <w:tcW w:w="179" w:type="pct"/>
                  <w:shd w:val="clear" w:color="auto" w:fill="FFFFFF"/>
                  <w:vAlign w:val="center"/>
                </w:tcPr>
                <w:p>
                  <w:pPr>
                    <w:pStyle w:val="68"/>
                    <w:numPr>
                      <w:ilvl w:val="0"/>
                      <w:numId w:val="6"/>
                    </w:numPr>
                    <w:spacing w:before="24" w:after="24"/>
                  </w:pPr>
                </w:p>
              </w:tc>
              <w:tc>
                <w:tcPr>
                  <w:tcW w:w="401" w:type="pct"/>
                  <w:shd w:val="clear" w:color="auto" w:fill="FFFFFF"/>
                  <w:vAlign w:val="center"/>
                </w:tcPr>
                <w:p>
                  <w:pPr>
                    <w:pStyle w:val="68"/>
                    <w:spacing w:before="24" w:after="24"/>
                  </w:pPr>
                  <w:r>
                    <w:rPr>
                      <w:rFonts w:hint="eastAsia"/>
                    </w:rPr>
                    <w:t>车辆及设备维护保养</w:t>
                  </w:r>
                </w:p>
              </w:tc>
              <w:tc>
                <w:tcPr>
                  <w:tcW w:w="401" w:type="pct"/>
                  <w:shd w:val="clear" w:color="auto" w:fill="FFFFFF"/>
                  <w:vAlign w:val="center"/>
                </w:tcPr>
                <w:p>
                  <w:pPr>
                    <w:pStyle w:val="68"/>
                    <w:spacing w:before="24" w:after="24"/>
                  </w:pPr>
                  <w:r>
                    <w:rPr>
                      <w:rFonts w:hint="eastAsia"/>
                    </w:rPr>
                    <w:t>废机油桶</w:t>
                  </w:r>
                </w:p>
              </w:tc>
              <w:tc>
                <w:tcPr>
                  <w:tcW w:w="401" w:type="pct"/>
                  <w:shd w:val="clear" w:color="auto" w:fill="FFFFFF"/>
                  <w:vAlign w:val="center"/>
                </w:tcPr>
                <w:p>
                  <w:pPr>
                    <w:pStyle w:val="68"/>
                    <w:spacing w:before="24" w:after="24"/>
                  </w:pPr>
                  <w:r>
                    <w:rPr>
                      <w:rFonts w:hint="eastAsia"/>
                    </w:rPr>
                    <w:t>危险废物</w:t>
                  </w:r>
                </w:p>
              </w:tc>
              <w:tc>
                <w:tcPr>
                  <w:tcW w:w="496" w:type="pct"/>
                  <w:shd w:val="clear" w:color="auto" w:fill="FFFFFF"/>
                  <w:vAlign w:val="center"/>
                </w:tcPr>
                <w:p>
                  <w:pPr>
                    <w:pStyle w:val="68"/>
                    <w:spacing w:before="24" w:after="24"/>
                  </w:pPr>
                  <w:r>
                    <w:rPr>
                      <w:rFonts w:hint="eastAsia"/>
                    </w:rPr>
                    <w:t>9</w:t>
                  </w:r>
                  <w:r>
                    <w:t>00-249-08</w:t>
                  </w:r>
                </w:p>
              </w:tc>
              <w:tc>
                <w:tcPr>
                  <w:tcW w:w="306" w:type="pct"/>
                  <w:shd w:val="clear" w:color="auto" w:fill="FFFFFF"/>
                  <w:vAlign w:val="center"/>
                </w:tcPr>
                <w:p>
                  <w:pPr>
                    <w:pStyle w:val="68"/>
                    <w:spacing w:before="24" w:after="24"/>
                  </w:pPr>
                  <w:r>
                    <w:rPr>
                      <w:rFonts w:hint="eastAsia"/>
                    </w:rPr>
                    <w:t>固态</w:t>
                  </w:r>
                </w:p>
              </w:tc>
              <w:tc>
                <w:tcPr>
                  <w:tcW w:w="401" w:type="pct"/>
                  <w:shd w:val="clear" w:color="auto" w:fill="FFFFFF"/>
                  <w:vAlign w:val="center"/>
                </w:tcPr>
                <w:p>
                  <w:pPr>
                    <w:pStyle w:val="68"/>
                    <w:spacing w:before="24" w:after="24"/>
                  </w:pPr>
                  <w:r>
                    <w:rPr>
                      <w:rFonts w:hint="eastAsia"/>
                    </w:rPr>
                    <w:t>废矿物油</w:t>
                  </w:r>
                </w:p>
              </w:tc>
              <w:tc>
                <w:tcPr>
                  <w:tcW w:w="312" w:type="pct"/>
                  <w:shd w:val="clear" w:color="auto" w:fill="FFFFFF"/>
                  <w:vAlign w:val="center"/>
                </w:tcPr>
                <w:p>
                  <w:pPr>
                    <w:pStyle w:val="68"/>
                    <w:spacing w:before="24" w:after="24"/>
                  </w:pPr>
                  <w:r>
                    <w:t>T</w:t>
                  </w:r>
                  <w:r>
                    <w:rPr>
                      <w:rFonts w:hint="eastAsia"/>
                    </w:rPr>
                    <w:t>，</w:t>
                  </w:r>
                  <w:r>
                    <w:t>I</w:t>
                  </w:r>
                </w:p>
              </w:tc>
              <w:tc>
                <w:tcPr>
                  <w:tcW w:w="329" w:type="pct"/>
                  <w:shd w:val="clear" w:color="auto" w:fill="FFFFFF"/>
                  <w:vAlign w:val="center"/>
                </w:tcPr>
                <w:p>
                  <w:pPr>
                    <w:pStyle w:val="68"/>
                    <w:spacing w:before="24" w:after="24"/>
                  </w:pPr>
                  <w:r>
                    <w:rPr>
                      <w:rFonts w:hint="eastAsia"/>
                    </w:rPr>
                    <w:t>0</w:t>
                  </w:r>
                  <w:r>
                    <w:t>.03</w:t>
                  </w:r>
                </w:p>
              </w:tc>
              <w:tc>
                <w:tcPr>
                  <w:tcW w:w="474" w:type="pct"/>
                  <w:shd w:val="clear" w:color="auto" w:fill="FFFFFF"/>
                  <w:vAlign w:val="center"/>
                </w:tcPr>
                <w:p>
                  <w:pPr>
                    <w:pStyle w:val="68"/>
                    <w:spacing w:before="24" w:after="24"/>
                  </w:pPr>
                  <w:r>
                    <w:rPr>
                      <w:rFonts w:hint="eastAsia"/>
                    </w:rPr>
                    <w:t>危废间</w:t>
                  </w:r>
                </w:p>
              </w:tc>
              <w:tc>
                <w:tcPr>
                  <w:tcW w:w="502" w:type="pct"/>
                  <w:shd w:val="clear" w:color="auto" w:fill="FFFFFF"/>
                  <w:vAlign w:val="center"/>
                </w:tcPr>
                <w:p>
                  <w:pPr>
                    <w:pStyle w:val="68"/>
                    <w:spacing w:before="24" w:after="24"/>
                  </w:pPr>
                  <w:r>
                    <w:rPr>
                      <w:rFonts w:hint="eastAsia"/>
                    </w:rPr>
                    <w:t>委托有资质单位处置</w:t>
                  </w:r>
                </w:p>
              </w:tc>
              <w:tc>
                <w:tcPr>
                  <w:tcW w:w="448" w:type="pct"/>
                  <w:shd w:val="clear" w:color="auto" w:fill="FFFFFF"/>
                  <w:vAlign w:val="center"/>
                </w:tcPr>
                <w:p>
                  <w:pPr>
                    <w:pStyle w:val="68"/>
                    <w:spacing w:before="24" w:after="24"/>
                  </w:pPr>
                  <w:r>
                    <w:t>有资质单位</w:t>
                  </w:r>
                </w:p>
              </w:tc>
              <w:tc>
                <w:tcPr>
                  <w:tcW w:w="350" w:type="pct"/>
                  <w:shd w:val="clear" w:color="auto" w:fill="FFFFFF"/>
                  <w:vAlign w:val="center"/>
                </w:tcPr>
                <w:p>
                  <w:pPr>
                    <w:pStyle w:val="68"/>
                    <w:spacing w:before="24" w:after="24"/>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22" w:hRule="atLeast"/>
              </w:trPr>
              <w:tc>
                <w:tcPr>
                  <w:tcW w:w="179" w:type="pct"/>
                  <w:shd w:val="clear" w:color="auto" w:fill="FFFFFF"/>
                  <w:vAlign w:val="center"/>
                </w:tcPr>
                <w:p>
                  <w:pPr>
                    <w:pStyle w:val="68"/>
                    <w:numPr>
                      <w:ilvl w:val="0"/>
                      <w:numId w:val="6"/>
                    </w:numPr>
                    <w:spacing w:before="24" w:after="24"/>
                  </w:pPr>
                </w:p>
              </w:tc>
              <w:tc>
                <w:tcPr>
                  <w:tcW w:w="401" w:type="pct"/>
                  <w:shd w:val="clear" w:color="auto" w:fill="FFFFFF"/>
                  <w:vAlign w:val="center"/>
                </w:tcPr>
                <w:p>
                  <w:pPr>
                    <w:pStyle w:val="68"/>
                    <w:spacing w:before="24" w:after="24"/>
                  </w:pPr>
                  <w:r>
                    <w:rPr>
                      <w:rFonts w:hint="eastAsia"/>
                    </w:rPr>
                    <w:t>职工生活</w:t>
                  </w:r>
                </w:p>
              </w:tc>
              <w:tc>
                <w:tcPr>
                  <w:tcW w:w="401" w:type="pct"/>
                  <w:shd w:val="clear" w:color="auto" w:fill="FFFFFF"/>
                  <w:vAlign w:val="center"/>
                </w:tcPr>
                <w:p>
                  <w:pPr>
                    <w:pStyle w:val="68"/>
                    <w:spacing w:before="24" w:after="24"/>
                  </w:pPr>
                  <w:r>
                    <w:rPr>
                      <w:rFonts w:hint="eastAsia"/>
                    </w:rPr>
                    <w:t>生活垃圾</w:t>
                  </w:r>
                </w:p>
              </w:tc>
              <w:tc>
                <w:tcPr>
                  <w:tcW w:w="401" w:type="pct"/>
                  <w:shd w:val="clear" w:color="auto" w:fill="FFFFFF"/>
                  <w:vAlign w:val="center"/>
                </w:tcPr>
                <w:p>
                  <w:pPr>
                    <w:pStyle w:val="68"/>
                    <w:spacing w:before="24" w:after="24"/>
                  </w:pPr>
                  <w:r>
                    <w:t>一般固废</w:t>
                  </w:r>
                </w:p>
              </w:tc>
              <w:tc>
                <w:tcPr>
                  <w:tcW w:w="496" w:type="pct"/>
                  <w:shd w:val="clear" w:color="auto" w:fill="FFFFFF"/>
                  <w:vAlign w:val="center"/>
                </w:tcPr>
                <w:p>
                  <w:pPr>
                    <w:pStyle w:val="68"/>
                    <w:spacing w:before="24" w:after="24"/>
                  </w:pPr>
                  <w:r>
                    <w:rPr>
                      <w:rFonts w:hint="eastAsia"/>
                    </w:rPr>
                    <w:t>/</w:t>
                  </w:r>
                </w:p>
              </w:tc>
              <w:tc>
                <w:tcPr>
                  <w:tcW w:w="306" w:type="pct"/>
                  <w:shd w:val="clear" w:color="auto" w:fill="FFFFFF"/>
                  <w:vAlign w:val="center"/>
                </w:tcPr>
                <w:p>
                  <w:pPr>
                    <w:pStyle w:val="68"/>
                    <w:spacing w:before="24" w:after="24"/>
                  </w:pPr>
                  <w:r>
                    <w:t>固态</w:t>
                  </w:r>
                </w:p>
              </w:tc>
              <w:tc>
                <w:tcPr>
                  <w:tcW w:w="401" w:type="pct"/>
                  <w:shd w:val="clear" w:color="auto" w:fill="FFFFFF"/>
                  <w:vAlign w:val="center"/>
                </w:tcPr>
                <w:p>
                  <w:pPr>
                    <w:pStyle w:val="68"/>
                    <w:spacing w:before="24" w:after="24"/>
                  </w:pPr>
                  <w:r>
                    <w:rPr>
                      <w:rFonts w:hint="eastAsia"/>
                    </w:rPr>
                    <w:t>/</w:t>
                  </w:r>
                </w:p>
              </w:tc>
              <w:tc>
                <w:tcPr>
                  <w:tcW w:w="312" w:type="pct"/>
                  <w:shd w:val="clear" w:color="auto" w:fill="FFFFFF"/>
                  <w:vAlign w:val="center"/>
                </w:tcPr>
                <w:p>
                  <w:pPr>
                    <w:pStyle w:val="68"/>
                    <w:spacing w:before="24" w:after="24"/>
                  </w:pPr>
                  <w:r>
                    <w:rPr>
                      <w:rFonts w:hint="eastAsia"/>
                    </w:rPr>
                    <w:t>/</w:t>
                  </w:r>
                </w:p>
              </w:tc>
              <w:tc>
                <w:tcPr>
                  <w:tcW w:w="329" w:type="pct"/>
                  <w:shd w:val="clear" w:color="auto" w:fill="FFFFFF"/>
                  <w:vAlign w:val="center"/>
                </w:tcPr>
                <w:p>
                  <w:pPr>
                    <w:pStyle w:val="68"/>
                    <w:spacing w:before="24" w:after="24"/>
                  </w:pPr>
                  <w:r>
                    <w:t>3</w:t>
                  </w:r>
                </w:p>
              </w:tc>
              <w:tc>
                <w:tcPr>
                  <w:tcW w:w="474" w:type="pct"/>
                  <w:shd w:val="clear" w:color="auto" w:fill="FFFFFF"/>
                  <w:vAlign w:val="center"/>
                </w:tcPr>
                <w:p>
                  <w:pPr>
                    <w:pStyle w:val="68"/>
                    <w:spacing w:before="24" w:after="24"/>
                  </w:pPr>
                  <w:r>
                    <w:rPr>
                      <w:rFonts w:hint="eastAsia"/>
                    </w:rPr>
                    <w:t>垃圾桶</w:t>
                  </w:r>
                </w:p>
              </w:tc>
              <w:tc>
                <w:tcPr>
                  <w:tcW w:w="502" w:type="pct"/>
                  <w:shd w:val="clear" w:color="auto" w:fill="FFFFFF"/>
                  <w:vAlign w:val="center"/>
                </w:tcPr>
                <w:p>
                  <w:pPr>
                    <w:pStyle w:val="68"/>
                    <w:spacing w:before="24" w:after="24"/>
                  </w:pPr>
                  <w:r>
                    <w:rPr>
                      <w:rFonts w:hint="eastAsia"/>
                    </w:rPr>
                    <w:t>委托环卫部门清运</w:t>
                  </w:r>
                </w:p>
              </w:tc>
              <w:tc>
                <w:tcPr>
                  <w:tcW w:w="448" w:type="pct"/>
                  <w:shd w:val="clear" w:color="auto" w:fill="FFFFFF"/>
                  <w:vAlign w:val="center"/>
                </w:tcPr>
                <w:p>
                  <w:pPr>
                    <w:pStyle w:val="68"/>
                    <w:spacing w:before="24" w:after="24"/>
                  </w:pPr>
                  <w:r>
                    <w:rPr>
                      <w:rFonts w:hint="eastAsia"/>
                    </w:rPr>
                    <w:t>生活垃圾处理厂</w:t>
                  </w:r>
                </w:p>
              </w:tc>
              <w:tc>
                <w:tcPr>
                  <w:tcW w:w="350" w:type="pct"/>
                  <w:shd w:val="clear" w:color="auto" w:fill="FFFFFF"/>
                  <w:vAlign w:val="center"/>
                </w:tcPr>
                <w:p>
                  <w:pPr>
                    <w:pStyle w:val="68"/>
                    <w:spacing w:before="24" w:after="24"/>
                  </w:pPr>
                  <w:r>
                    <w:rPr>
                      <w:rFonts w:hint="eastAsia"/>
                    </w:rPr>
                    <w:t>/</w:t>
                  </w:r>
                </w:p>
              </w:tc>
            </w:tr>
          </w:tbl>
          <w:p>
            <w:pPr>
              <w:spacing w:line="336" w:lineRule="auto"/>
              <w:ind w:firstLine="482"/>
              <w:jc w:val="left"/>
              <w:rPr>
                <w:rFonts w:eastAsia="新宋体" w:cs="Times New Roman"/>
              </w:rPr>
            </w:pPr>
            <w:r>
              <w:rPr>
                <w:rFonts w:hint="eastAsia" w:eastAsia="新宋体" w:cs="Times New Roman"/>
              </w:rPr>
              <w:t>（二）固体废物核算过程简要说明</w:t>
            </w:r>
          </w:p>
          <w:p>
            <w:pPr>
              <w:spacing w:line="360" w:lineRule="auto"/>
              <w:ind w:left="24" w:right="24" w:firstLine="482"/>
              <w:jc w:val="left"/>
              <w:rPr>
                <w:rFonts w:eastAsia="新宋体" w:cs="Times New Roman"/>
              </w:rPr>
            </w:pPr>
            <w:r>
              <w:rPr>
                <w:rFonts w:hint="eastAsia" w:eastAsia="新宋体" w:cs="Times New Roman"/>
              </w:rPr>
              <w:t>（1）布袋除尘器物料粉尘</w:t>
            </w:r>
          </w:p>
          <w:p>
            <w:pPr>
              <w:spacing w:line="360" w:lineRule="auto"/>
              <w:ind w:left="24" w:right="24" w:firstLine="482"/>
              <w:jc w:val="left"/>
              <w:rPr>
                <w:rFonts w:eastAsia="新宋体" w:cs="Times New Roman"/>
              </w:rPr>
            </w:pPr>
            <w:r>
              <w:rPr>
                <w:rFonts w:hint="eastAsia" w:eastAsia="新宋体" w:cs="Times New Roman"/>
              </w:rPr>
              <w:t>根据工程分析，搅拌机布袋除尘器、筒仓除尘器收集的粉尘约104.305t</w:t>
            </w:r>
            <w:r>
              <w:rPr>
                <w:rFonts w:eastAsia="新宋体" w:cs="Times New Roman"/>
              </w:rPr>
              <w:t>/a</w:t>
            </w:r>
            <w:r>
              <w:rPr>
                <w:rFonts w:hint="eastAsia" w:eastAsia="新宋体" w:cs="Times New Roman"/>
              </w:rPr>
              <w:t>（搅拌机布袋除尘器90.049</w:t>
            </w:r>
            <w:r>
              <w:rPr>
                <w:rFonts w:eastAsia="新宋体" w:cs="Times New Roman"/>
              </w:rPr>
              <w:t>t/</w:t>
            </w:r>
            <w:r>
              <w:rPr>
                <w:rFonts w:hint="eastAsia" w:eastAsia="新宋体" w:cs="Times New Roman"/>
              </w:rPr>
              <w:t>a、筒仓除尘器1</w:t>
            </w:r>
            <w:r>
              <w:rPr>
                <w:rFonts w:eastAsia="新宋体" w:cs="Times New Roman"/>
              </w:rPr>
              <w:t>4.256</w:t>
            </w:r>
            <w:r>
              <w:rPr>
                <w:rFonts w:hint="eastAsia" w:eastAsia="新宋体" w:cs="Times New Roman"/>
              </w:rPr>
              <w:t>t</w:t>
            </w:r>
            <w:r>
              <w:rPr>
                <w:rFonts w:eastAsia="新宋体" w:cs="Times New Roman"/>
              </w:rPr>
              <w:t>/a</w:t>
            </w:r>
            <w:r>
              <w:rPr>
                <w:rFonts w:hint="eastAsia" w:eastAsia="新宋体" w:cs="Times New Roman"/>
              </w:rPr>
              <w:t>），</w:t>
            </w:r>
            <w:r>
              <w:rPr>
                <w:rFonts w:eastAsia="新宋体" w:cs="Times New Roman"/>
              </w:rPr>
              <w:t>除尘器收集的物料</w:t>
            </w:r>
            <w:r>
              <w:rPr>
                <w:rFonts w:hint="eastAsia" w:eastAsia="新宋体" w:cs="Times New Roman"/>
              </w:rPr>
              <w:t>粉尘全部作为原料回用于生产。</w:t>
            </w:r>
          </w:p>
          <w:p>
            <w:pPr>
              <w:spacing w:line="360" w:lineRule="auto"/>
              <w:ind w:left="24" w:right="24" w:firstLine="482"/>
              <w:jc w:val="left"/>
              <w:rPr>
                <w:rFonts w:eastAsia="新宋体" w:cs="Times New Roman"/>
              </w:rPr>
            </w:pPr>
            <w:r>
              <w:rPr>
                <w:rFonts w:hint="eastAsia" w:eastAsia="新宋体" w:cs="Times New Roman"/>
              </w:rPr>
              <w:t>（2）地面沉降粉尘</w:t>
            </w:r>
          </w:p>
          <w:p>
            <w:pPr>
              <w:spacing w:line="360" w:lineRule="auto"/>
              <w:ind w:left="24" w:right="24" w:firstLine="482"/>
              <w:jc w:val="left"/>
              <w:rPr>
                <w:rFonts w:eastAsia="新宋体" w:cs="Times New Roman"/>
              </w:rPr>
            </w:pPr>
            <w:r>
              <w:rPr>
                <w:rFonts w:hint="eastAsia" w:eastAsia="新宋体" w:cs="Times New Roman"/>
              </w:rPr>
              <w:t>根据工程分析，原料库、搅拌楼等地面沉降粉尘约2</w:t>
            </w:r>
            <w:r>
              <w:rPr>
                <w:rFonts w:eastAsia="新宋体" w:cs="Times New Roman"/>
              </w:rPr>
              <w:t>.317</w:t>
            </w:r>
            <w:r>
              <w:rPr>
                <w:rFonts w:hint="eastAsia" w:eastAsia="新宋体" w:cs="Times New Roman"/>
              </w:rPr>
              <w:t>t</w:t>
            </w:r>
            <w:r>
              <w:rPr>
                <w:rFonts w:eastAsia="新宋体" w:cs="Times New Roman"/>
              </w:rPr>
              <w:t>/a</w:t>
            </w:r>
            <w:r>
              <w:rPr>
                <w:rFonts w:hint="eastAsia" w:eastAsia="新宋体" w:cs="Times New Roman"/>
              </w:rPr>
              <w:t>（原料库地面沉降粉尘约1</w:t>
            </w:r>
            <w:r>
              <w:rPr>
                <w:rFonts w:eastAsia="新宋体" w:cs="Times New Roman"/>
              </w:rPr>
              <w:t>.585</w:t>
            </w:r>
            <w:r>
              <w:rPr>
                <w:rFonts w:hint="eastAsia" w:eastAsia="新宋体" w:cs="Times New Roman"/>
              </w:rPr>
              <w:t>t</w:t>
            </w:r>
            <w:r>
              <w:rPr>
                <w:rFonts w:eastAsia="新宋体" w:cs="Times New Roman"/>
              </w:rPr>
              <w:t>/a</w:t>
            </w:r>
            <w:r>
              <w:rPr>
                <w:rFonts w:hint="eastAsia" w:eastAsia="新宋体" w:cs="Times New Roman"/>
              </w:rPr>
              <w:t>、搅拌楼地面沉降粉尘约0</w:t>
            </w:r>
            <w:r>
              <w:rPr>
                <w:rFonts w:eastAsia="新宋体" w:cs="Times New Roman"/>
              </w:rPr>
              <w:t>.731</w:t>
            </w:r>
            <w:r>
              <w:rPr>
                <w:rFonts w:hint="eastAsia" w:eastAsia="新宋体" w:cs="Times New Roman"/>
              </w:rPr>
              <w:t>t</w:t>
            </w:r>
            <w:r>
              <w:rPr>
                <w:rFonts w:eastAsia="新宋体" w:cs="Times New Roman"/>
              </w:rPr>
              <w:t>/a</w:t>
            </w:r>
            <w:r>
              <w:rPr>
                <w:rFonts w:hint="eastAsia" w:eastAsia="新宋体" w:cs="Times New Roman"/>
              </w:rPr>
              <w:t>），地面沉降粉尘收集后全部作为原料回用于生产。</w:t>
            </w:r>
          </w:p>
          <w:p>
            <w:pPr>
              <w:spacing w:line="360" w:lineRule="auto"/>
              <w:ind w:left="24" w:right="24" w:firstLine="482"/>
              <w:jc w:val="left"/>
              <w:rPr>
                <w:rFonts w:eastAsia="新宋体" w:cs="Times New Roman"/>
              </w:rPr>
            </w:pPr>
            <w:r>
              <w:rPr>
                <w:rFonts w:hint="eastAsia" w:eastAsia="新宋体" w:cs="Times New Roman"/>
              </w:rPr>
              <w:t>（3）砂石分离机回收的砂石料、沉淀池沉渣</w:t>
            </w:r>
          </w:p>
          <w:p>
            <w:pPr>
              <w:spacing w:line="360" w:lineRule="auto"/>
              <w:ind w:left="24" w:right="24" w:firstLine="482"/>
              <w:jc w:val="left"/>
              <w:rPr>
                <w:rFonts w:eastAsia="新宋体" w:cs="Times New Roman"/>
              </w:rPr>
            </w:pPr>
            <w:r>
              <w:rPr>
                <w:rFonts w:hint="eastAsia" w:eastAsia="新宋体" w:cs="Times New Roman"/>
              </w:rPr>
              <w:t>根据企业提供数据，砂石分离机回收的砂石料约5</w:t>
            </w:r>
            <w:r>
              <w:rPr>
                <w:rFonts w:eastAsia="新宋体" w:cs="Times New Roman"/>
              </w:rPr>
              <w:t>0t/a</w:t>
            </w:r>
            <w:r>
              <w:rPr>
                <w:rFonts w:hint="eastAsia" w:eastAsia="新宋体" w:cs="Times New Roman"/>
              </w:rPr>
              <w:t>，沉淀池产生的沉渣约</w:t>
            </w:r>
            <w:r>
              <w:rPr>
                <w:rFonts w:eastAsia="新宋体" w:cs="Times New Roman"/>
              </w:rPr>
              <w:t>10t/a</w:t>
            </w:r>
            <w:r>
              <w:rPr>
                <w:rFonts w:hint="eastAsia" w:eastAsia="新宋体" w:cs="Times New Roman"/>
              </w:rPr>
              <w:t>，砂石分离机回收的砂石料作为原料回用于生产，沉淀池沉渣收集后外运用作路基材料综合利用。</w:t>
            </w:r>
          </w:p>
          <w:p>
            <w:pPr>
              <w:spacing w:line="360" w:lineRule="auto"/>
              <w:ind w:left="24" w:right="24" w:firstLine="482"/>
              <w:jc w:val="left"/>
              <w:rPr>
                <w:rFonts w:eastAsia="新宋体" w:cs="Times New Roman"/>
              </w:rPr>
            </w:pPr>
            <w:r>
              <w:rPr>
                <w:rFonts w:hint="eastAsia" w:eastAsia="新宋体" w:cs="Times New Roman"/>
              </w:rPr>
              <w:t>（4）废机油、废机油桶</w:t>
            </w:r>
          </w:p>
          <w:p>
            <w:pPr>
              <w:spacing w:line="360" w:lineRule="auto"/>
              <w:ind w:left="24" w:right="24" w:firstLine="482"/>
              <w:jc w:val="left"/>
              <w:rPr>
                <w:rFonts w:eastAsia="新宋体" w:cs="Times New Roman"/>
                <w:bCs/>
              </w:rPr>
            </w:pPr>
            <w:r>
              <w:rPr>
                <w:rFonts w:hint="eastAsia" w:eastAsia="新宋体" w:cs="Times New Roman"/>
              </w:rPr>
              <w:t>车辆及设备维护保养产生废机油、废机油桶。类比同类项目，</w:t>
            </w:r>
            <w:r>
              <w:rPr>
                <w:rFonts w:eastAsia="新宋体" w:cs="Times New Roman"/>
              </w:rPr>
              <w:t>废机油、废机油桶</w:t>
            </w:r>
            <w:r>
              <w:rPr>
                <w:rFonts w:hint="eastAsia" w:eastAsia="新宋体" w:cs="Times New Roman"/>
              </w:rPr>
              <w:t>产生量分别为0</w:t>
            </w:r>
            <w:r>
              <w:rPr>
                <w:rFonts w:eastAsia="新宋体" w:cs="Times New Roman"/>
              </w:rPr>
              <w:t>.1t/a</w:t>
            </w:r>
            <w:r>
              <w:rPr>
                <w:rFonts w:hint="eastAsia" w:eastAsia="新宋体" w:cs="Times New Roman"/>
              </w:rPr>
              <w:t>、0</w:t>
            </w:r>
            <w:r>
              <w:rPr>
                <w:rFonts w:eastAsia="新宋体" w:cs="Times New Roman"/>
              </w:rPr>
              <w:t>.03</w:t>
            </w:r>
            <w:r>
              <w:rPr>
                <w:rFonts w:hint="eastAsia" w:eastAsia="新宋体" w:cs="Times New Roman"/>
              </w:rPr>
              <w:t>t</w:t>
            </w:r>
            <w:r>
              <w:rPr>
                <w:rFonts w:eastAsia="新宋体" w:cs="Times New Roman"/>
              </w:rPr>
              <w:t>/a，</w:t>
            </w:r>
            <w:r>
              <w:rPr>
                <w:rFonts w:eastAsia="新宋体" w:cs="Times New Roman"/>
                <w:bCs/>
              </w:rPr>
              <w:t>根据《国家危险废物名录》（2021版）</w:t>
            </w:r>
            <w:r>
              <w:rPr>
                <w:rFonts w:hint="eastAsia" w:eastAsia="新宋体" w:cs="Times New Roman"/>
                <w:bCs/>
              </w:rPr>
              <w:t>，废机油、废气机油桶均</w:t>
            </w:r>
            <w:r>
              <w:rPr>
                <w:rFonts w:eastAsia="新宋体" w:cs="Times New Roman"/>
                <w:bCs/>
              </w:rPr>
              <w:t>属于危</w:t>
            </w:r>
            <w:r>
              <w:rPr>
                <w:rFonts w:hint="eastAsia" w:eastAsia="新宋体" w:cs="Times New Roman"/>
                <w:bCs/>
              </w:rPr>
              <w:t>险</w:t>
            </w:r>
            <w:r>
              <w:rPr>
                <w:rFonts w:eastAsia="新宋体" w:cs="Times New Roman"/>
                <w:bCs/>
              </w:rPr>
              <w:t>废</w:t>
            </w:r>
            <w:r>
              <w:rPr>
                <w:rFonts w:hint="eastAsia" w:eastAsia="新宋体" w:cs="Times New Roman"/>
                <w:bCs/>
              </w:rPr>
              <w:t>物，</w:t>
            </w:r>
            <w:r>
              <w:rPr>
                <w:rFonts w:eastAsia="新宋体" w:cs="Times New Roman"/>
                <w:bCs/>
              </w:rPr>
              <w:t>委托有资质单位处理。</w:t>
            </w:r>
          </w:p>
          <w:p>
            <w:pPr>
              <w:spacing w:line="360" w:lineRule="auto"/>
              <w:ind w:firstLine="480"/>
              <w:jc w:val="left"/>
              <w:rPr>
                <w:rFonts w:eastAsia="新宋体" w:cs="Times New Roman"/>
              </w:rPr>
            </w:pPr>
            <w:r>
              <w:rPr>
                <w:rFonts w:hint="eastAsia" w:eastAsia="新宋体" w:cs="Times New Roman"/>
              </w:rPr>
              <w:t>（5）职工生活垃圾</w:t>
            </w:r>
          </w:p>
          <w:p>
            <w:pPr>
              <w:widowControl/>
              <w:spacing w:line="360" w:lineRule="auto"/>
              <w:ind w:firstLine="480" w:firstLineChars="200"/>
              <w:jc w:val="left"/>
              <w:rPr>
                <w:rFonts w:ascii="宋体" w:hAnsi="宋体"/>
              </w:rPr>
            </w:pPr>
            <w:r>
              <w:rPr>
                <w:rFonts w:hint="eastAsia" w:ascii="宋体" w:hAnsi="宋体"/>
              </w:rPr>
              <w:t>项目建成后全厂劳动定员2</w:t>
            </w:r>
            <w:r>
              <w:rPr>
                <w:rFonts w:ascii="宋体" w:hAnsi="宋体"/>
              </w:rPr>
              <w:t>0</w:t>
            </w:r>
            <w:r>
              <w:rPr>
                <w:rFonts w:hint="eastAsia" w:ascii="宋体" w:hAnsi="宋体"/>
              </w:rPr>
              <w:t>人，生活垃圾产生量按</w:t>
            </w:r>
            <w:r>
              <w:rPr>
                <w:rFonts w:ascii="宋体" w:hAnsi="宋体"/>
              </w:rPr>
              <w:t>0.5kg/(p·d)</w:t>
            </w:r>
            <w:r>
              <w:rPr>
                <w:rFonts w:hint="eastAsia" w:ascii="宋体" w:hAnsi="宋体"/>
              </w:rPr>
              <w:t>计，</w:t>
            </w:r>
            <w:r>
              <w:rPr>
                <w:rFonts w:ascii="宋体" w:hAnsi="宋体"/>
              </w:rPr>
              <w:t>年工作时</w:t>
            </w:r>
            <w:r>
              <w:rPr>
                <w:rFonts w:hint="eastAsia" w:ascii="宋体" w:hAnsi="宋体"/>
              </w:rPr>
              <w:t>间3</w:t>
            </w:r>
            <w:r>
              <w:rPr>
                <w:rFonts w:ascii="宋体" w:hAnsi="宋体"/>
              </w:rPr>
              <w:t>00天，生活垃圾产生量</w:t>
            </w:r>
            <w:r>
              <w:rPr>
                <w:rFonts w:hint="eastAsia" w:ascii="宋体" w:hAnsi="宋体"/>
              </w:rPr>
              <w:t>3t</w:t>
            </w:r>
            <w:r>
              <w:rPr>
                <w:rFonts w:ascii="宋体" w:hAnsi="宋体"/>
              </w:rPr>
              <w:t>/</w:t>
            </w:r>
            <w:r>
              <w:rPr>
                <w:rFonts w:hint="eastAsia" w:ascii="宋体" w:hAnsi="宋体"/>
              </w:rPr>
              <w:t>a。</w:t>
            </w:r>
            <w:r>
              <w:rPr>
                <w:rFonts w:ascii="宋体" w:hAnsi="宋体"/>
              </w:rPr>
              <w:t>生活垃圾委托环卫部门定期清运。</w:t>
            </w:r>
          </w:p>
          <w:p>
            <w:pPr>
              <w:spacing w:line="336" w:lineRule="auto"/>
              <w:ind w:firstLine="482"/>
              <w:jc w:val="left"/>
              <w:rPr>
                <w:rFonts w:eastAsia="新宋体" w:cs="Times New Roman"/>
              </w:rPr>
            </w:pPr>
            <w:r>
              <w:rPr>
                <w:rFonts w:hint="eastAsia" w:eastAsia="新宋体" w:cs="Times New Roman"/>
              </w:rPr>
              <w:t>（三）固体废物环境管理要求</w:t>
            </w:r>
          </w:p>
          <w:p>
            <w:pPr>
              <w:spacing w:line="360" w:lineRule="auto"/>
              <w:ind w:firstLine="482"/>
              <w:jc w:val="left"/>
              <w:rPr>
                <w:rFonts w:eastAsia="新宋体" w:cs="Times New Roman"/>
                <w:bCs/>
              </w:rPr>
            </w:pPr>
            <w:r>
              <w:rPr>
                <w:rFonts w:hint="eastAsia" w:eastAsia="新宋体" w:cs="Times New Roman"/>
                <w:bCs/>
              </w:rPr>
              <w:t>一般固体废物按照《一般工业固体废物贮存和填埋污染控制标准》（GB18599-2020）中相关要求规范建设和维护厂区内一般固体废物临时堆放场所，贮存区采取防风防雨措施，各类固废应分类收集，贮存区按照《环境保护图形标志——固体废物贮存（处置）场》(GB15562.2)的要求设置环保图形标志；指定专人进行日常管理。</w:t>
            </w:r>
          </w:p>
          <w:p>
            <w:pPr>
              <w:spacing w:line="360" w:lineRule="auto"/>
              <w:ind w:firstLine="482"/>
              <w:jc w:val="left"/>
              <w:rPr>
                <w:rFonts w:eastAsia="新宋体" w:cs="Times New Roman"/>
                <w:bCs/>
              </w:rPr>
            </w:pPr>
            <w:bookmarkStart w:id="40" w:name="_Hlk141895979"/>
            <w:r>
              <w:rPr>
                <w:rFonts w:hint="eastAsia" w:eastAsia="新宋体" w:cs="Times New Roman"/>
                <w:bCs/>
              </w:rPr>
              <w:t>危险废物收集、贮存执行《危险废物贮存污染控制标准》（</w:t>
            </w:r>
            <w:r>
              <w:rPr>
                <w:rFonts w:eastAsia="新宋体" w:cs="Times New Roman"/>
                <w:bCs/>
              </w:rPr>
              <w:t>GB 18597-2023</w:t>
            </w:r>
            <w:r>
              <w:rPr>
                <w:rFonts w:hint="eastAsia" w:eastAsia="新宋体" w:cs="Times New Roman"/>
                <w:bCs/>
              </w:rPr>
              <w:t>），转移按照《危险废物转移管理办法》（</w:t>
            </w:r>
            <w:r>
              <w:rPr>
                <w:rFonts w:eastAsia="新宋体" w:cs="Times New Roman"/>
                <w:bCs/>
              </w:rPr>
              <w:t>2022</w:t>
            </w:r>
            <w:r>
              <w:rPr>
                <w:rFonts w:hint="eastAsia" w:eastAsia="新宋体" w:cs="Times New Roman"/>
                <w:bCs/>
              </w:rPr>
              <w:t>年</w:t>
            </w:r>
            <w:r>
              <w:rPr>
                <w:rFonts w:eastAsia="新宋体" w:cs="Times New Roman"/>
                <w:bCs/>
              </w:rPr>
              <w:t>1</w:t>
            </w:r>
            <w:r>
              <w:rPr>
                <w:rFonts w:hint="eastAsia" w:eastAsia="新宋体" w:cs="Times New Roman"/>
                <w:bCs/>
              </w:rPr>
              <w:t>月</w:t>
            </w:r>
            <w:r>
              <w:rPr>
                <w:rFonts w:eastAsia="新宋体" w:cs="Times New Roman"/>
                <w:bCs/>
              </w:rPr>
              <w:t>1</w:t>
            </w:r>
            <w:r>
              <w:rPr>
                <w:rFonts w:hint="eastAsia" w:eastAsia="新宋体" w:cs="Times New Roman"/>
                <w:bCs/>
              </w:rPr>
              <w:t>日）执行，按照《危险废物管理计划和管理台账制定技术导则》制定管理计划、规范台账记录，按照《危险废物识别标志设置技术规范》（H</w:t>
            </w:r>
            <w:r>
              <w:rPr>
                <w:rFonts w:eastAsia="新宋体" w:cs="Times New Roman"/>
                <w:bCs/>
              </w:rPr>
              <w:t>J1276-2022</w:t>
            </w:r>
            <w:r>
              <w:rPr>
                <w:rFonts w:hint="eastAsia" w:eastAsia="新宋体" w:cs="Times New Roman"/>
                <w:bCs/>
              </w:rPr>
              <w:t>）规范危险废物标识。</w:t>
            </w:r>
          </w:p>
          <w:bookmarkEnd w:id="40"/>
          <w:p>
            <w:pPr>
              <w:spacing w:line="360" w:lineRule="auto"/>
              <w:ind w:firstLine="482"/>
              <w:jc w:val="left"/>
              <w:rPr>
                <w:rFonts w:eastAsia="新宋体" w:cs="Times New Roman"/>
                <w:bCs/>
              </w:rPr>
            </w:pPr>
            <w:r>
              <w:rPr>
                <w:rFonts w:hint="eastAsia" w:eastAsia="新宋体" w:cs="Times New Roman"/>
                <w:bCs/>
              </w:rPr>
              <w:t>根据《危险废物贮存污染控制标准》（</w:t>
            </w:r>
            <w:r>
              <w:rPr>
                <w:rFonts w:eastAsia="新宋体" w:cs="Times New Roman"/>
                <w:bCs/>
              </w:rPr>
              <w:t>GB18597-2023</w:t>
            </w:r>
            <w:r>
              <w:rPr>
                <w:rFonts w:hint="eastAsia" w:eastAsia="新宋体" w:cs="Times New Roman"/>
                <w:bCs/>
              </w:rPr>
              <w:t>），贮存点应满足以下要求：</w:t>
            </w:r>
          </w:p>
          <w:p>
            <w:pPr>
              <w:spacing w:line="360" w:lineRule="auto"/>
              <w:ind w:firstLine="482"/>
              <w:jc w:val="left"/>
              <w:rPr>
                <w:rFonts w:eastAsia="新宋体" w:cs="Times New Roman"/>
                <w:bCs/>
              </w:rPr>
            </w:pPr>
            <w:r>
              <w:rPr>
                <w:rFonts w:hint="eastAsia" w:eastAsia="新宋体" w:cs="Times New Roman"/>
                <w:bCs/>
              </w:rPr>
              <w:t>“</w:t>
            </w:r>
            <w:r>
              <w:rPr>
                <w:rFonts w:eastAsia="新宋体" w:cs="Times New Roman"/>
                <w:bCs/>
              </w:rPr>
              <w:t xml:space="preserve">8.3.1 </w:t>
            </w:r>
            <w:r>
              <w:rPr>
                <w:rFonts w:hint="eastAsia" w:eastAsia="新宋体" w:cs="Times New Roman"/>
                <w:bCs/>
              </w:rPr>
              <w:t>应具有固定的区域边界，并应采取与其他区域进行隔离的措施。</w:t>
            </w:r>
            <w:r>
              <w:rPr>
                <w:rFonts w:eastAsia="新宋体" w:cs="Times New Roman"/>
                <w:bCs/>
              </w:rPr>
              <w:t xml:space="preserve">8.3.2 </w:t>
            </w:r>
            <w:r>
              <w:rPr>
                <w:rFonts w:hint="eastAsia" w:eastAsia="新宋体" w:cs="Times New Roman"/>
                <w:bCs/>
              </w:rPr>
              <w:t>贮存点应采取防风、防雨、防晒和防止危险废物流失、扬散等措施。</w:t>
            </w:r>
            <w:r>
              <w:rPr>
                <w:rFonts w:eastAsia="新宋体" w:cs="Times New Roman"/>
                <w:bCs/>
              </w:rPr>
              <w:t xml:space="preserve">8.3.3 </w:t>
            </w:r>
            <w:r>
              <w:rPr>
                <w:rFonts w:hint="eastAsia" w:eastAsia="新宋体" w:cs="Times New Roman"/>
                <w:bCs/>
              </w:rPr>
              <w:t>贮存点贮存的危险废物应置于容器或包装物中，不应直接散堆。</w:t>
            </w:r>
            <w:r>
              <w:rPr>
                <w:rFonts w:eastAsia="新宋体" w:cs="Times New Roman"/>
                <w:bCs/>
              </w:rPr>
              <w:t xml:space="preserve">8.3.4 </w:t>
            </w:r>
            <w:r>
              <w:rPr>
                <w:rFonts w:hint="eastAsia" w:eastAsia="新宋体" w:cs="Times New Roman"/>
                <w:bCs/>
              </w:rPr>
              <w:t>贮存点应根据危险废物的形态、物理化学性质、包装形式等，采取防渗、防漏等污染防治措施或采用具有相应功能的装置。</w:t>
            </w:r>
            <w:r>
              <w:rPr>
                <w:rFonts w:eastAsia="新宋体" w:cs="Times New Roman"/>
                <w:bCs/>
              </w:rPr>
              <w:t xml:space="preserve">8.3.5 </w:t>
            </w:r>
            <w:r>
              <w:rPr>
                <w:rFonts w:hint="eastAsia" w:eastAsia="新宋体" w:cs="Times New Roman"/>
                <w:bCs/>
              </w:rPr>
              <w:t>贮存点应及时清运贮存的危险废物，实时贮存量不应超过</w:t>
            </w:r>
            <w:r>
              <w:rPr>
                <w:rFonts w:eastAsia="新宋体" w:cs="Times New Roman"/>
                <w:bCs/>
              </w:rPr>
              <w:t xml:space="preserve">3 </w:t>
            </w:r>
            <w:r>
              <w:rPr>
                <w:rFonts w:hint="eastAsia" w:eastAsia="新宋体" w:cs="Times New Roman"/>
                <w:bCs/>
              </w:rPr>
              <w:t>吨。贮存设施或场所、容器和包装物应按</w:t>
            </w:r>
            <w:r>
              <w:rPr>
                <w:rFonts w:eastAsia="新宋体" w:cs="Times New Roman"/>
                <w:bCs/>
              </w:rPr>
              <w:t xml:space="preserve">HJ1276 </w:t>
            </w:r>
            <w:r>
              <w:rPr>
                <w:rFonts w:hint="eastAsia" w:eastAsia="新宋体" w:cs="Times New Roman"/>
                <w:bCs/>
              </w:rPr>
              <w:t>要求设置危险废物贮存设施或场所标志、危险废物贮存分区标志和危险废物标签等危险废物识别标志。”</w:t>
            </w:r>
          </w:p>
          <w:p>
            <w:pPr>
              <w:spacing w:line="336" w:lineRule="auto"/>
              <w:ind w:firstLine="482"/>
              <w:jc w:val="left"/>
              <w:rPr>
                <w:rFonts w:eastAsia="新宋体" w:cs="Times New Roman"/>
                <w:bCs/>
              </w:rPr>
            </w:pPr>
            <w:r>
              <w:rPr>
                <w:rFonts w:hint="eastAsia" w:eastAsia="新宋体" w:cs="Times New Roman"/>
                <w:bCs/>
              </w:rPr>
              <w:t>危险废物</w:t>
            </w:r>
            <w:r>
              <w:rPr>
                <w:rFonts w:eastAsia="新宋体" w:cs="Times New Roman"/>
                <w:bCs/>
              </w:rPr>
              <w:t>转移</w:t>
            </w:r>
            <w:r>
              <w:rPr>
                <w:rFonts w:hint="eastAsia" w:eastAsia="新宋体" w:cs="Times New Roman"/>
                <w:bCs/>
              </w:rPr>
              <w:t>严格按照《危险废物转移管理办法》（</w:t>
            </w:r>
            <w:r>
              <w:rPr>
                <w:rFonts w:eastAsia="新宋体" w:cs="Times New Roman"/>
                <w:bCs/>
              </w:rPr>
              <w:t xml:space="preserve">2022 </w:t>
            </w:r>
            <w:r>
              <w:rPr>
                <w:rFonts w:hint="eastAsia" w:eastAsia="新宋体" w:cs="Times New Roman"/>
                <w:bCs/>
              </w:rPr>
              <w:t>年</w:t>
            </w:r>
            <w:r>
              <w:rPr>
                <w:rFonts w:eastAsia="新宋体" w:cs="Times New Roman"/>
                <w:bCs/>
              </w:rPr>
              <w:t>1</w:t>
            </w:r>
            <w:r>
              <w:rPr>
                <w:rFonts w:hint="eastAsia" w:eastAsia="新宋体" w:cs="Times New Roman"/>
                <w:bCs/>
              </w:rPr>
              <w:t>月</w:t>
            </w:r>
            <w:r>
              <w:rPr>
                <w:rFonts w:eastAsia="新宋体" w:cs="Times New Roman"/>
                <w:bCs/>
              </w:rPr>
              <w:t>1</w:t>
            </w:r>
            <w:r>
              <w:rPr>
                <w:rFonts w:hint="eastAsia" w:eastAsia="新宋体" w:cs="Times New Roman"/>
                <w:bCs/>
              </w:rPr>
              <w:t>日）执行，</w:t>
            </w:r>
            <w:r>
              <w:rPr>
                <w:rFonts w:eastAsia="新宋体" w:cs="Times New Roman"/>
                <w:bCs/>
              </w:rPr>
              <w:t>危险废物定期由有资质单位负责转运处理，企业不得私自转运。</w:t>
            </w:r>
          </w:p>
          <w:p>
            <w:pPr>
              <w:spacing w:line="336" w:lineRule="auto"/>
              <w:ind w:firstLine="482"/>
              <w:jc w:val="left"/>
              <w:rPr>
                <w:rFonts w:eastAsia="新宋体" w:cs="Times New Roman"/>
              </w:rPr>
            </w:pPr>
            <w:r>
              <w:rPr>
                <w:rFonts w:hint="eastAsia" w:eastAsia="新宋体" w:cs="Times New Roman"/>
              </w:rPr>
              <w:t>（四）固体废物环境影响评价结论</w:t>
            </w:r>
          </w:p>
          <w:p>
            <w:pPr>
              <w:spacing w:line="360" w:lineRule="auto"/>
              <w:ind w:firstLine="482"/>
              <w:jc w:val="left"/>
              <w:rPr>
                <w:rFonts w:eastAsia="新宋体" w:cs="Times New Roman"/>
                <w:b/>
                <w:bCs/>
              </w:rPr>
            </w:pPr>
            <w:r>
              <w:rPr>
                <w:rFonts w:eastAsia="新宋体" w:cs="Times New Roman"/>
              </w:rPr>
              <w:t>本项目固废均得到合理处置，对周围环境影响较小。</w:t>
            </w:r>
          </w:p>
          <w:p>
            <w:pPr>
              <w:spacing w:line="360" w:lineRule="auto"/>
              <w:ind w:firstLine="482"/>
              <w:jc w:val="left"/>
              <w:rPr>
                <w:rFonts w:eastAsia="新宋体" w:cs="Times New Roman"/>
                <w:b/>
                <w:bCs/>
              </w:rPr>
            </w:pPr>
            <w:r>
              <w:rPr>
                <w:rFonts w:hint="eastAsia" w:eastAsia="新宋体" w:cs="Times New Roman"/>
                <w:b/>
                <w:bCs/>
              </w:rPr>
              <w:t>五、地下水、土壤</w:t>
            </w:r>
          </w:p>
          <w:p>
            <w:pPr>
              <w:spacing w:line="360" w:lineRule="auto"/>
              <w:ind w:left="24" w:right="24" w:firstLine="482"/>
              <w:jc w:val="left"/>
              <w:rPr>
                <w:rFonts w:eastAsia="新宋体" w:cs="Times New Roman"/>
              </w:rPr>
            </w:pPr>
            <w:r>
              <w:rPr>
                <w:rFonts w:hint="eastAsia" w:eastAsia="新宋体" w:cs="Times New Roman"/>
              </w:rPr>
              <w:t>（一）地下水及土壤污染源、污染物类型及污染途径</w:t>
            </w:r>
          </w:p>
          <w:p>
            <w:pPr>
              <w:spacing w:line="360" w:lineRule="auto"/>
              <w:ind w:left="24" w:right="24" w:firstLine="480"/>
              <w:jc w:val="left"/>
              <w:rPr>
                <w:rFonts w:eastAsia="新宋体" w:cs="Times New Roman"/>
              </w:rPr>
            </w:pPr>
            <w:r>
              <w:rPr>
                <w:rFonts w:hint="eastAsia" w:eastAsia="新宋体" w:cs="Times New Roman"/>
              </w:rPr>
              <w:t>本项目为编制报告表项目，本项目原辅材料、产品均不属于易燃易爆危险物质，项目工艺不属于高温高压等危险工艺，项目无生产废水排放，项目正常工况下无对区域地下水、土壤产生污染的重大污染源、污染物及污染途径。项目可能对地下水、土壤产生影响的情况为事故状态下危废暂存间、沉淀池、化粪池等防渗不当，造成废水污染物下渗污染地下水、土壤。污染物主要为</w:t>
            </w:r>
            <w:r>
              <w:rPr>
                <w:rFonts w:eastAsia="新宋体" w:cs="Times New Roman"/>
              </w:rPr>
              <w:t>COD</w:t>
            </w:r>
            <w:r>
              <w:rPr>
                <w:rFonts w:hint="eastAsia" w:eastAsia="新宋体" w:cs="Times New Roman"/>
              </w:rPr>
              <w:t>cr、氨氮、石油类等。</w:t>
            </w:r>
          </w:p>
          <w:p>
            <w:pPr>
              <w:spacing w:line="360" w:lineRule="auto"/>
              <w:ind w:left="24" w:right="24" w:firstLine="482"/>
              <w:jc w:val="left"/>
              <w:rPr>
                <w:rFonts w:eastAsia="新宋体" w:cs="Times New Roman"/>
              </w:rPr>
            </w:pPr>
            <w:r>
              <w:rPr>
                <w:rFonts w:hint="eastAsia" w:eastAsia="新宋体" w:cs="Times New Roman"/>
              </w:rPr>
              <w:t>（二）污染防治措施</w:t>
            </w:r>
          </w:p>
          <w:p>
            <w:pPr>
              <w:spacing w:line="360" w:lineRule="auto"/>
              <w:ind w:left="24" w:right="24" w:firstLine="482"/>
              <w:jc w:val="left"/>
              <w:rPr>
                <w:rFonts w:eastAsia="新宋体" w:cs="Times New Roman"/>
              </w:rPr>
            </w:pPr>
            <w:r>
              <w:rPr>
                <w:rFonts w:hint="eastAsia" w:eastAsia="新宋体" w:cs="Times New Roman"/>
              </w:rPr>
              <w:t>1、项目应做好沉淀池、危废间、化粪池、搅拌楼、原料库等防渗处理，主要防渗措施如下：</w:t>
            </w:r>
          </w:p>
          <w:p>
            <w:pPr>
              <w:spacing w:line="360" w:lineRule="auto"/>
              <w:ind w:left="24" w:right="24" w:firstLine="482"/>
              <w:jc w:val="left"/>
              <w:rPr>
                <w:rFonts w:eastAsia="新宋体" w:cs="Times New Roman"/>
              </w:rPr>
            </w:pPr>
            <w:r>
              <w:rPr>
                <w:rFonts w:hint="eastAsia" w:eastAsia="新宋体" w:cs="Times New Roman"/>
              </w:rPr>
              <w:t>（</w:t>
            </w:r>
            <w:r>
              <w:rPr>
                <w:rFonts w:eastAsia="新宋体" w:cs="Times New Roman"/>
              </w:rPr>
              <w:t>1</w:t>
            </w:r>
            <w:r>
              <w:rPr>
                <w:rFonts w:hint="eastAsia" w:eastAsia="新宋体" w:cs="Times New Roman"/>
              </w:rPr>
              <w:t>）沉淀池、搅拌楼、原料库等地面进行硬化，满足一般防渗区要求，防渗性能不应低于1.5m厚渗透系数为1.0×10</w:t>
            </w:r>
            <w:r>
              <w:rPr>
                <w:rFonts w:hint="eastAsia" w:eastAsia="新宋体" w:cs="Times New Roman"/>
                <w:vertAlign w:val="superscript"/>
              </w:rPr>
              <w:t>-7</w:t>
            </w:r>
            <w:r>
              <w:rPr>
                <w:rFonts w:hint="eastAsia" w:eastAsia="新宋体" w:cs="Times New Roman"/>
              </w:rPr>
              <w:t xml:space="preserve"> cm/s的黏土层的防渗性能。</w:t>
            </w:r>
          </w:p>
          <w:p>
            <w:pPr>
              <w:spacing w:line="360" w:lineRule="auto"/>
              <w:ind w:left="24" w:right="24" w:firstLine="482"/>
              <w:jc w:val="left"/>
              <w:rPr>
                <w:rFonts w:eastAsia="新宋体" w:cs="Times New Roman"/>
              </w:rPr>
            </w:pPr>
            <w:r>
              <w:rPr>
                <w:rFonts w:hint="eastAsia" w:eastAsia="新宋体" w:cs="Times New Roman"/>
              </w:rPr>
              <w:t>（</w:t>
            </w:r>
            <w:r>
              <w:rPr>
                <w:rFonts w:eastAsia="新宋体" w:cs="Times New Roman"/>
              </w:rPr>
              <w:t>2</w:t>
            </w:r>
            <w:r>
              <w:rPr>
                <w:rFonts w:hint="eastAsia" w:eastAsia="新宋体" w:cs="Times New Roman"/>
              </w:rPr>
              <w:t>）危废间、化粪池等需采取有效防渗措施，地面基础防渗层采用 1m 黏土夯实，黏土上方浇筑 400mm 厚 S6 防渗水泥，上部层铺设 2mm 厚的改性沥青防渗层然后在其上涂环氧树脂防渗层，防渗系数≤10</w:t>
            </w:r>
            <w:r>
              <w:rPr>
                <w:rFonts w:hint="eastAsia" w:eastAsia="新宋体" w:cs="Times New Roman"/>
                <w:vertAlign w:val="superscript"/>
              </w:rPr>
              <w:t>-10</w:t>
            </w:r>
            <w:r>
              <w:rPr>
                <w:rFonts w:hint="eastAsia" w:eastAsia="新宋体" w:cs="Times New Roman"/>
              </w:rPr>
              <w:t xml:space="preserve"> cm/s，且做到表面无裂隙。</w:t>
            </w:r>
          </w:p>
          <w:p>
            <w:pPr>
              <w:spacing w:line="360" w:lineRule="auto"/>
              <w:ind w:left="24" w:right="24" w:firstLine="482"/>
              <w:jc w:val="left"/>
              <w:rPr>
                <w:rFonts w:eastAsia="新宋体" w:cs="Times New Roman"/>
              </w:rPr>
            </w:pPr>
            <w:r>
              <w:rPr>
                <w:rFonts w:hint="eastAsia" w:eastAsia="新宋体" w:cs="Times New Roman"/>
              </w:rPr>
              <w:t>2、对废气污染物采取相应的环保措施，并定期检查，使污染物的排放量降至最低。</w:t>
            </w:r>
          </w:p>
          <w:p>
            <w:pPr>
              <w:spacing w:line="360" w:lineRule="auto"/>
              <w:ind w:left="24" w:right="24" w:firstLine="482"/>
              <w:jc w:val="left"/>
              <w:rPr>
                <w:rFonts w:eastAsia="新宋体" w:cs="Times New Roman"/>
              </w:rPr>
            </w:pPr>
            <w:r>
              <w:rPr>
                <w:rFonts w:hint="eastAsia" w:eastAsia="新宋体" w:cs="Times New Roman"/>
              </w:rPr>
              <w:t>（三）跟踪监测要求</w:t>
            </w:r>
          </w:p>
          <w:p>
            <w:pPr>
              <w:spacing w:line="360" w:lineRule="auto"/>
              <w:ind w:left="24" w:right="24" w:firstLine="480"/>
              <w:jc w:val="left"/>
              <w:rPr>
                <w:rFonts w:eastAsia="新宋体" w:cs="Times New Roman"/>
              </w:rPr>
            </w:pPr>
            <w:r>
              <w:rPr>
                <w:rFonts w:hint="eastAsia" w:eastAsia="新宋体" w:cs="Times New Roman"/>
              </w:rPr>
              <w:t>根据工程分析，</w:t>
            </w:r>
            <w:r>
              <w:rPr>
                <w:rFonts w:eastAsia="新宋体" w:cs="Times New Roman"/>
              </w:rPr>
              <w:t>本项目</w:t>
            </w:r>
            <w:r>
              <w:rPr>
                <w:rFonts w:hint="eastAsia" w:eastAsia="新宋体" w:cs="Times New Roman"/>
              </w:rPr>
              <w:t>正常工况下无污染地下水、土壤环境等重大危险源，且项目5</w:t>
            </w:r>
            <w:r>
              <w:rPr>
                <w:rFonts w:eastAsia="新宋体" w:cs="Times New Roman"/>
              </w:rPr>
              <w:t>00</w:t>
            </w:r>
            <w:r>
              <w:rPr>
                <w:rFonts w:hint="eastAsia" w:eastAsia="新宋体" w:cs="Times New Roman"/>
              </w:rPr>
              <w:t>米范围内无地下水集中式饮用水水源和热水、矿泉水、温泉等特殊地下水资源。企业运营期正常工况下不需要针对地下水、土壤环境污染进行跟踪监测。</w:t>
            </w:r>
          </w:p>
          <w:p>
            <w:pPr>
              <w:keepNext/>
              <w:spacing w:line="360" w:lineRule="auto"/>
              <w:ind w:firstLine="482"/>
              <w:jc w:val="left"/>
              <w:rPr>
                <w:rFonts w:eastAsia="新宋体" w:cs="Times New Roman"/>
                <w:b/>
                <w:bCs/>
              </w:rPr>
            </w:pPr>
            <w:r>
              <w:rPr>
                <w:rFonts w:hint="eastAsia" w:eastAsia="新宋体" w:cs="Times New Roman"/>
                <w:b/>
                <w:bCs/>
              </w:rPr>
              <w:t>六、生态</w:t>
            </w:r>
          </w:p>
          <w:p>
            <w:pPr>
              <w:spacing w:line="360" w:lineRule="auto"/>
              <w:ind w:firstLine="480"/>
              <w:jc w:val="left"/>
              <w:rPr>
                <w:rFonts w:eastAsia="新宋体" w:cs="Times New Roman"/>
              </w:rPr>
            </w:pPr>
            <w:r>
              <w:rPr>
                <w:rFonts w:hint="eastAsia" w:eastAsia="新宋体" w:cs="Times New Roman"/>
              </w:rPr>
              <w:t>本项目位于古邵镇兴集村工业集聚区内，用地范围内无生态环境保护目标，不需要明确生态环境保护措施。</w:t>
            </w:r>
          </w:p>
          <w:p>
            <w:pPr>
              <w:spacing w:line="360" w:lineRule="auto"/>
              <w:ind w:firstLine="482"/>
              <w:jc w:val="left"/>
              <w:rPr>
                <w:rFonts w:eastAsia="新宋体" w:cs="Times New Roman"/>
                <w:b/>
                <w:bCs/>
              </w:rPr>
            </w:pPr>
            <w:r>
              <w:rPr>
                <w:rFonts w:hint="eastAsia" w:eastAsia="新宋体" w:cs="Times New Roman"/>
                <w:b/>
                <w:bCs/>
              </w:rPr>
              <w:t>七、环境风险</w:t>
            </w:r>
          </w:p>
          <w:p>
            <w:pPr>
              <w:spacing w:line="360" w:lineRule="auto"/>
              <w:ind w:left="24" w:leftChars="10" w:right="24" w:rightChars="10" w:firstLine="482"/>
              <w:jc w:val="left"/>
              <w:rPr>
                <w:rFonts w:eastAsia="新宋体" w:cs="Times New Roman"/>
                <w:b/>
                <w:snapToGrid w:val="0"/>
              </w:rPr>
            </w:pPr>
            <w:r>
              <w:rPr>
                <w:rFonts w:hint="eastAsia" w:eastAsia="新宋体" w:cs="Times New Roman"/>
              </w:rPr>
              <w:t>项目原辅材料、产品无《建设项目环境风险评价技术导则》（</w:t>
            </w:r>
            <w:r>
              <w:rPr>
                <w:rFonts w:eastAsia="新宋体" w:cs="Times New Roman"/>
              </w:rPr>
              <w:t>HJ169-2018</w:t>
            </w:r>
            <w:r>
              <w:rPr>
                <w:rFonts w:hint="eastAsia" w:eastAsia="新宋体" w:cs="Times New Roman"/>
              </w:rPr>
              <w:t>）附录B环境风险物质，项目工艺不属于高温高压等危险工艺工艺，项目环境风险评价</w:t>
            </w:r>
            <w:r>
              <w:rPr>
                <w:rFonts w:eastAsia="新宋体" w:cs="Times New Roman"/>
                <w:bCs/>
                <w:snapToGrid w:val="0"/>
              </w:rPr>
              <w:t>工作等级为简单分析</w:t>
            </w:r>
            <w:r>
              <w:rPr>
                <w:rFonts w:hint="eastAsia" w:eastAsia="新宋体" w:cs="Times New Roman"/>
                <w:bCs/>
                <w:snapToGrid w:val="0"/>
              </w:rPr>
              <w:t>，简单分析如下：</w:t>
            </w:r>
          </w:p>
          <w:p>
            <w:pPr>
              <w:spacing w:line="360" w:lineRule="auto"/>
              <w:ind w:left="24" w:leftChars="10" w:right="24" w:rightChars="10" w:firstLine="480"/>
              <w:jc w:val="left"/>
              <w:rPr>
                <w:rFonts w:eastAsia="新宋体" w:cs="Times New Roman"/>
              </w:rPr>
            </w:pPr>
            <w:r>
              <w:rPr>
                <w:rFonts w:hint="eastAsia" w:eastAsia="新宋体" w:cs="Times New Roman"/>
              </w:rPr>
              <w:t>（一）项目风险物质、风险源分布、影响途径及环境影响分析</w:t>
            </w:r>
          </w:p>
          <w:p>
            <w:pPr>
              <w:spacing w:line="360" w:lineRule="auto"/>
              <w:ind w:left="24" w:leftChars="10" w:right="24" w:rightChars="10" w:firstLine="480"/>
              <w:jc w:val="left"/>
              <w:rPr>
                <w:rFonts w:eastAsia="新宋体" w:cs="Times New Roman"/>
              </w:rPr>
            </w:pPr>
            <w:r>
              <w:rPr>
                <w:rFonts w:hint="eastAsia" w:eastAsia="新宋体" w:cs="Times New Roman"/>
              </w:rPr>
              <w:t>拟建项目建成后全厂风</w:t>
            </w:r>
            <w:r>
              <w:rPr>
                <w:rFonts w:eastAsia="新宋体" w:cs="Times New Roman"/>
              </w:rPr>
              <w:t>险物质</w:t>
            </w:r>
            <w:r>
              <w:rPr>
                <w:rFonts w:hint="eastAsia" w:eastAsia="新宋体" w:cs="Times New Roman"/>
              </w:rPr>
              <w:t>、</w:t>
            </w:r>
            <w:r>
              <w:rPr>
                <w:rFonts w:eastAsia="新宋体" w:cs="Times New Roman"/>
              </w:rPr>
              <w:t>风险源分布</w:t>
            </w:r>
            <w:r>
              <w:rPr>
                <w:rFonts w:hint="eastAsia" w:eastAsia="新宋体" w:cs="Times New Roman"/>
              </w:rPr>
              <w:t>、影响途径及环境影响情况见</w:t>
            </w:r>
            <w:r>
              <w:rPr>
                <w:rFonts w:eastAsia="新宋体" w:cs="Times New Roman"/>
              </w:rPr>
              <w:fldChar w:fldCharType="begin"/>
            </w:r>
            <w:r>
              <w:rPr>
                <w:rFonts w:eastAsia="新宋体" w:cs="Times New Roman"/>
              </w:rPr>
              <w:instrText xml:space="preserve"> </w:instrText>
            </w:r>
            <w:r>
              <w:rPr>
                <w:rFonts w:hint="eastAsia" w:eastAsia="新宋体" w:cs="Times New Roman"/>
              </w:rPr>
              <w:instrText xml:space="preserve">REF _Ref157014033 \h</w:instrText>
            </w:r>
            <w:r>
              <w:rPr>
                <w:rFonts w:eastAsia="新宋体" w:cs="Times New Roman"/>
              </w:rPr>
              <w:instrText xml:space="preserve"> </w:instrText>
            </w:r>
            <w:r>
              <w:rPr>
                <w:rFonts w:eastAsia="新宋体" w:cs="Times New Roman"/>
              </w:rPr>
              <w:fldChar w:fldCharType="separate"/>
            </w:r>
            <w:r>
              <w:rPr>
                <w:rFonts w:ascii="宋体" w:hAnsi="宋体"/>
              </w:rPr>
              <w:t>表28</w:t>
            </w:r>
            <w:r>
              <w:rPr>
                <w:rFonts w:eastAsia="新宋体" w:cs="Times New Roman"/>
              </w:rPr>
              <w:fldChar w:fldCharType="end"/>
            </w:r>
            <w:r>
              <w:rPr>
                <w:rFonts w:eastAsia="新宋体" w:cs="Times New Roman"/>
              </w:rPr>
              <w:t>。</w:t>
            </w:r>
          </w:p>
          <w:p>
            <w:pPr>
              <w:keepNext/>
              <w:widowControl/>
              <w:tabs>
                <w:tab w:val="right" w:pos="13920"/>
              </w:tabs>
              <w:spacing w:line="245" w:lineRule="auto"/>
              <w:jc w:val="center"/>
              <w:rPr>
                <w:rFonts w:ascii="宋体" w:hAnsi="宋体" w:cs="Times New Roman"/>
                <w:bCs/>
                <w:snapToGrid w:val="0"/>
                <w:color w:val="000000"/>
                <w:kern w:val="2"/>
                <w:szCs w:val="21"/>
              </w:rPr>
            </w:pPr>
            <w:bookmarkStart w:id="41" w:name="_Ref157014033"/>
            <w:r>
              <w:rPr>
                <w:rFonts w:ascii="宋体" w:hAnsi="宋体" w:cs="Times New Roman"/>
                <w:bCs/>
                <w:snapToGrid w:val="0"/>
                <w:color w:val="000000"/>
                <w:kern w:val="2"/>
                <w:szCs w:val="21"/>
              </w:rPr>
              <w:t>表</w:t>
            </w:r>
            <w:r>
              <w:rPr>
                <w:rFonts w:ascii="宋体" w:hAnsi="宋体" w:cs="Times New Roman"/>
                <w:bCs/>
                <w:snapToGrid w:val="0"/>
                <w:color w:val="000000"/>
                <w:kern w:val="2"/>
                <w:szCs w:val="21"/>
                <w:lang w:eastAsia="en-US"/>
              </w:rPr>
              <w:fldChar w:fldCharType="begin"/>
            </w:r>
            <w:r>
              <w:rPr>
                <w:rFonts w:ascii="宋体" w:hAnsi="宋体" w:cs="Times New Roman"/>
                <w:bCs/>
                <w:snapToGrid w:val="0"/>
                <w:color w:val="000000"/>
                <w:kern w:val="2"/>
                <w:szCs w:val="21"/>
              </w:rPr>
              <w:instrText xml:space="preserve"> SEQ </w:instrText>
            </w:r>
            <w:r>
              <w:rPr>
                <w:rFonts w:hint="eastAsia" w:ascii="宋体" w:hAnsi="宋体" w:cs="Times New Roman"/>
                <w:bCs/>
                <w:snapToGrid w:val="0"/>
                <w:color w:val="000000"/>
                <w:kern w:val="2"/>
                <w:szCs w:val="21"/>
              </w:rPr>
              <w:instrText xml:space="preserve">表格</w:instrText>
            </w:r>
            <w:r>
              <w:rPr>
                <w:rFonts w:ascii="宋体" w:hAnsi="宋体" w:cs="Times New Roman"/>
                <w:bCs/>
                <w:snapToGrid w:val="0"/>
                <w:color w:val="000000"/>
                <w:kern w:val="2"/>
                <w:szCs w:val="21"/>
              </w:rPr>
              <w:instrText xml:space="preserve"> \* ARABIC </w:instrText>
            </w:r>
            <w:r>
              <w:rPr>
                <w:rFonts w:ascii="宋体" w:hAnsi="宋体" w:cs="Times New Roman"/>
                <w:bCs/>
                <w:snapToGrid w:val="0"/>
                <w:color w:val="000000"/>
                <w:kern w:val="2"/>
                <w:szCs w:val="21"/>
                <w:lang w:eastAsia="en-US"/>
              </w:rPr>
              <w:fldChar w:fldCharType="separate"/>
            </w:r>
            <w:r>
              <w:rPr>
                <w:rFonts w:ascii="宋体" w:hAnsi="宋体" w:cs="Times New Roman"/>
                <w:bCs/>
                <w:snapToGrid w:val="0"/>
                <w:color w:val="000000"/>
                <w:kern w:val="2"/>
                <w:szCs w:val="21"/>
              </w:rPr>
              <w:t>28</w:t>
            </w:r>
            <w:r>
              <w:rPr>
                <w:rFonts w:ascii="宋体" w:hAnsi="宋体" w:cs="Times New Roman"/>
                <w:bCs/>
                <w:snapToGrid w:val="0"/>
                <w:color w:val="000000"/>
                <w:kern w:val="2"/>
                <w:szCs w:val="21"/>
                <w:lang w:eastAsia="en-US"/>
              </w:rPr>
              <w:fldChar w:fldCharType="end"/>
            </w:r>
            <w:bookmarkEnd w:id="41"/>
            <w:r>
              <w:rPr>
                <w:rFonts w:ascii="宋体" w:hAnsi="宋体" w:cs="Times New Roman"/>
                <w:bCs/>
                <w:snapToGrid w:val="0"/>
                <w:color w:val="000000"/>
                <w:kern w:val="2"/>
                <w:szCs w:val="21"/>
              </w:rPr>
              <w:t xml:space="preserve"> 项目危险物质</w:t>
            </w:r>
            <w:r>
              <w:rPr>
                <w:rFonts w:hint="eastAsia" w:ascii="宋体" w:hAnsi="宋体" w:cs="Times New Roman"/>
                <w:bCs/>
                <w:snapToGrid w:val="0"/>
                <w:color w:val="000000"/>
                <w:kern w:val="2"/>
                <w:szCs w:val="21"/>
              </w:rPr>
              <w:t>、</w:t>
            </w:r>
            <w:r>
              <w:rPr>
                <w:rFonts w:ascii="宋体" w:hAnsi="宋体" w:cs="Times New Roman"/>
                <w:bCs/>
                <w:snapToGrid w:val="0"/>
                <w:color w:val="000000"/>
                <w:kern w:val="2"/>
                <w:szCs w:val="21"/>
              </w:rPr>
              <w:t>风险源分布</w:t>
            </w:r>
            <w:r>
              <w:rPr>
                <w:rFonts w:hint="eastAsia" w:ascii="宋体" w:hAnsi="宋体" w:cs="Times New Roman"/>
                <w:bCs/>
                <w:snapToGrid w:val="0"/>
                <w:color w:val="000000"/>
                <w:kern w:val="2"/>
                <w:szCs w:val="21"/>
              </w:rPr>
              <w:t>及环境风险一览表</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39"/>
              <w:gridCol w:w="868"/>
              <w:gridCol w:w="1557"/>
              <w:gridCol w:w="1857"/>
              <w:gridCol w:w="1568"/>
              <w:gridCol w:w="20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vMerge w:val="restart"/>
                  <w:vAlign w:val="center"/>
                </w:tcPr>
                <w:p>
                  <w:pPr>
                    <w:spacing w:line="245" w:lineRule="auto"/>
                    <w:jc w:val="center"/>
                    <w:rPr>
                      <w:sz w:val="21"/>
                      <w:szCs w:val="21"/>
                    </w:rPr>
                  </w:pPr>
                  <w:r>
                    <w:rPr>
                      <w:rFonts w:hint="eastAsia"/>
                      <w:sz w:val="21"/>
                      <w:szCs w:val="21"/>
                    </w:rPr>
                    <w:t>风险源</w:t>
                  </w:r>
                </w:p>
              </w:tc>
              <w:tc>
                <w:tcPr>
                  <w:tcW w:w="480" w:type="pct"/>
                  <w:vMerge w:val="restart"/>
                  <w:vAlign w:val="center"/>
                </w:tcPr>
                <w:p>
                  <w:pPr>
                    <w:spacing w:line="245" w:lineRule="auto"/>
                    <w:jc w:val="center"/>
                    <w:rPr>
                      <w:sz w:val="21"/>
                      <w:szCs w:val="21"/>
                    </w:rPr>
                  </w:pPr>
                  <w:r>
                    <w:rPr>
                      <w:rFonts w:hint="eastAsia"/>
                      <w:sz w:val="21"/>
                      <w:szCs w:val="21"/>
                    </w:rPr>
                    <w:t>风险物质</w:t>
                  </w:r>
                </w:p>
              </w:tc>
              <w:tc>
                <w:tcPr>
                  <w:tcW w:w="861" w:type="pct"/>
                  <w:vMerge w:val="restart"/>
                  <w:vAlign w:val="center"/>
                </w:tcPr>
                <w:p>
                  <w:pPr>
                    <w:spacing w:line="245" w:lineRule="auto"/>
                    <w:jc w:val="center"/>
                    <w:rPr>
                      <w:sz w:val="21"/>
                      <w:szCs w:val="21"/>
                    </w:rPr>
                  </w:pPr>
                  <w:r>
                    <w:rPr>
                      <w:rFonts w:hint="eastAsia"/>
                      <w:sz w:val="21"/>
                      <w:szCs w:val="21"/>
                    </w:rPr>
                    <w:t>风险情景</w:t>
                  </w:r>
                </w:p>
              </w:tc>
              <w:tc>
                <w:tcPr>
                  <w:tcW w:w="3030" w:type="pct"/>
                  <w:gridSpan w:val="3"/>
                  <w:vAlign w:val="center"/>
                </w:tcPr>
                <w:p>
                  <w:pPr>
                    <w:spacing w:line="245" w:lineRule="auto"/>
                    <w:jc w:val="center"/>
                    <w:rPr>
                      <w:sz w:val="21"/>
                      <w:szCs w:val="21"/>
                    </w:rPr>
                  </w:pPr>
                  <w:r>
                    <w:rPr>
                      <w:rFonts w:hint="eastAsia"/>
                      <w:sz w:val="21"/>
                      <w:szCs w:val="21"/>
                    </w:rPr>
                    <w:t>影响途径及环境影响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vMerge w:val="continue"/>
                  <w:vAlign w:val="center"/>
                </w:tcPr>
                <w:p>
                  <w:pPr>
                    <w:spacing w:line="245" w:lineRule="auto"/>
                    <w:jc w:val="center"/>
                    <w:rPr>
                      <w:sz w:val="21"/>
                      <w:szCs w:val="21"/>
                    </w:rPr>
                  </w:pPr>
                </w:p>
              </w:tc>
              <w:tc>
                <w:tcPr>
                  <w:tcW w:w="480" w:type="pct"/>
                  <w:vMerge w:val="continue"/>
                  <w:vAlign w:val="center"/>
                </w:tcPr>
                <w:p>
                  <w:pPr>
                    <w:spacing w:line="245" w:lineRule="auto"/>
                    <w:jc w:val="center"/>
                    <w:rPr>
                      <w:sz w:val="21"/>
                      <w:szCs w:val="21"/>
                    </w:rPr>
                  </w:pPr>
                </w:p>
              </w:tc>
              <w:tc>
                <w:tcPr>
                  <w:tcW w:w="861" w:type="pct"/>
                  <w:vMerge w:val="continue"/>
                  <w:vAlign w:val="center"/>
                </w:tcPr>
                <w:p>
                  <w:pPr>
                    <w:spacing w:line="245" w:lineRule="auto"/>
                    <w:jc w:val="center"/>
                    <w:rPr>
                      <w:sz w:val="21"/>
                      <w:szCs w:val="21"/>
                    </w:rPr>
                  </w:pPr>
                </w:p>
              </w:tc>
              <w:tc>
                <w:tcPr>
                  <w:tcW w:w="1027" w:type="pct"/>
                  <w:vAlign w:val="center"/>
                </w:tcPr>
                <w:p>
                  <w:pPr>
                    <w:spacing w:line="245" w:lineRule="auto"/>
                    <w:jc w:val="center"/>
                    <w:rPr>
                      <w:sz w:val="21"/>
                      <w:szCs w:val="21"/>
                    </w:rPr>
                  </w:pPr>
                  <w:r>
                    <w:rPr>
                      <w:rFonts w:hint="eastAsia"/>
                      <w:sz w:val="21"/>
                      <w:szCs w:val="21"/>
                    </w:rPr>
                    <w:t>大气环境</w:t>
                  </w:r>
                </w:p>
              </w:tc>
              <w:tc>
                <w:tcPr>
                  <w:tcW w:w="867" w:type="pct"/>
                  <w:vAlign w:val="center"/>
                </w:tcPr>
                <w:p>
                  <w:pPr>
                    <w:spacing w:line="245" w:lineRule="auto"/>
                    <w:jc w:val="center"/>
                    <w:rPr>
                      <w:sz w:val="21"/>
                      <w:szCs w:val="21"/>
                    </w:rPr>
                  </w:pPr>
                  <w:r>
                    <w:rPr>
                      <w:rFonts w:hint="eastAsia"/>
                      <w:sz w:val="21"/>
                      <w:szCs w:val="21"/>
                    </w:rPr>
                    <w:t>地表水环境</w:t>
                  </w:r>
                </w:p>
              </w:tc>
              <w:tc>
                <w:tcPr>
                  <w:tcW w:w="1135" w:type="pct"/>
                  <w:vAlign w:val="center"/>
                </w:tcPr>
                <w:p>
                  <w:pPr>
                    <w:spacing w:line="245" w:lineRule="auto"/>
                    <w:jc w:val="center"/>
                    <w:rPr>
                      <w:sz w:val="21"/>
                      <w:szCs w:val="21"/>
                    </w:rPr>
                  </w:pPr>
                  <w:r>
                    <w:rPr>
                      <w:rFonts w:hint="eastAsia"/>
                      <w:sz w:val="21"/>
                      <w:szCs w:val="21"/>
                    </w:rPr>
                    <w:t>地下水、土壤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vAlign w:val="center"/>
                </w:tcPr>
                <w:p>
                  <w:pPr>
                    <w:spacing w:line="245" w:lineRule="auto"/>
                    <w:jc w:val="center"/>
                    <w:rPr>
                      <w:sz w:val="21"/>
                      <w:szCs w:val="21"/>
                    </w:rPr>
                  </w:pPr>
                  <w:r>
                    <w:rPr>
                      <w:rFonts w:hint="eastAsia"/>
                      <w:sz w:val="21"/>
                      <w:szCs w:val="21"/>
                    </w:rPr>
                    <w:t>混凝土搅拌</w:t>
                  </w:r>
                </w:p>
              </w:tc>
              <w:tc>
                <w:tcPr>
                  <w:tcW w:w="480" w:type="pct"/>
                  <w:vAlign w:val="center"/>
                </w:tcPr>
                <w:p>
                  <w:pPr>
                    <w:spacing w:line="245" w:lineRule="auto"/>
                    <w:jc w:val="center"/>
                    <w:rPr>
                      <w:sz w:val="21"/>
                      <w:szCs w:val="21"/>
                    </w:rPr>
                  </w:pPr>
                  <w:r>
                    <w:rPr>
                      <w:rFonts w:hint="eastAsia"/>
                      <w:sz w:val="21"/>
                      <w:szCs w:val="21"/>
                    </w:rPr>
                    <w:t>粉尘</w:t>
                  </w:r>
                </w:p>
              </w:tc>
              <w:tc>
                <w:tcPr>
                  <w:tcW w:w="861" w:type="pct"/>
                  <w:vAlign w:val="center"/>
                </w:tcPr>
                <w:p>
                  <w:pPr>
                    <w:spacing w:line="245" w:lineRule="auto"/>
                    <w:jc w:val="center"/>
                    <w:rPr>
                      <w:sz w:val="21"/>
                      <w:szCs w:val="21"/>
                    </w:rPr>
                  </w:pPr>
                  <w:r>
                    <w:rPr>
                      <w:rFonts w:hint="eastAsia"/>
                      <w:sz w:val="21"/>
                      <w:szCs w:val="21"/>
                    </w:rPr>
                    <w:t>环保设施失灵粉尘逸散</w:t>
                  </w:r>
                </w:p>
              </w:tc>
              <w:tc>
                <w:tcPr>
                  <w:tcW w:w="1027" w:type="pct"/>
                  <w:vAlign w:val="center"/>
                </w:tcPr>
                <w:p>
                  <w:pPr>
                    <w:spacing w:line="245" w:lineRule="auto"/>
                    <w:rPr>
                      <w:sz w:val="21"/>
                      <w:szCs w:val="21"/>
                    </w:rPr>
                  </w:pPr>
                  <w:r>
                    <w:rPr>
                      <w:sz w:val="21"/>
                      <w:szCs w:val="21"/>
                    </w:rPr>
                    <w:t>粉尘逸散</w:t>
                  </w:r>
                  <w:r>
                    <w:rPr>
                      <w:rFonts w:hint="eastAsia"/>
                      <w:sz w:val="21"/>
                      <w:szCs w:val="21"/>
                    </w:rPr>
                    <w:t>对大气环境造成污染。</w:t>
                  </w:r>
                </w:p>
              </w:tc>
              <w:tc>
                <w:tcPr>
                  <w:tcW w:w="867" w:type="pct"/>
                  <w:vAlign w:val="center"/>
                </w:tcPr>
                <w:p>
                  <w:pPr>
                    <w:widowControl/>
                    <w:spacing w:before="24" w:beforeLines="10" w:after="24" w:afterLines="10"/>
                    <w:ind w:left="24" w:right="24"/>
                    <w:jc w:val="center"/>
                    <w:rPr>
                      <w:rFonts w:cs="Times New Roman"/>
                      <w:kern w:val="2"/>
                      <w:sz w:val="21"/>
                      <w:szCs w:val="21"/>
                    </w:rPr>
                  </w:pPr>
                  <w:r>
                    <w:rPr>
                      <w:rFonts w:hint="eastAsia" w:cs="Times New Roman"/>
                      <w:kern w:val="2"/>
                      <w:sz w:val="21"/>
                      <w:szCs w:val="21"/>
                    </w:rPr>
                    <w:t>/</w:t>
                  </w:r>
                </w:p>
              </w:tc>
              <w:tc>
                <w:tcPr>
                  <w:tcW w:w="1135" w:type="pct"/>
                  <w:vAlign w:val="center"/>
                </w:tcPr>
                <w:p>
                  <w:pPr>
                    <w:widowControl/>
                    <w:spacing w:before="24" w:beforeLines="10" w:after="24" w:afterLines="10"/>
                    <w:ind w:left="24" w:right="24"/>
                    <w:jc w:val="center"/>
                    <w:rPr>
                      <w:rFonts w:cs="Times New Roman"/>
                      <w:kern w:val="2"/>
                      <w:sz w:val="21"/>
                      <w:szCs w:val="21"/>
                    </w:rPr>
                  </w:pPr>
                  <w:r>
                    <w:rPr>
                      <w:rFonts w:hint="eastAsia" w:cs="Times New Roman"/>
                      <w:kern w:val="2"/>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vAlign w:val="center"/>
                </w:tcPr>
                <w:p>
                  <w:pPr>
                    <w:spacing w:line="245" w:lineRule="auto"/>
                    <w:jc w:val="center"/>
                    <w:rPr>
                      <w:sz w:val="21"/>
                      <w:szCs w:val="21"/>
                    </w:rPr>
                  </w:pPr>
                  <w:r>
                    <w:rPr>
                      <w:rFonts w:hint="eastAsia"/>
                      <w:sz w:val="21"/>
                      <w:szCs w:val="21"/>
                    </w:rPr>
                    <w:t>危废间</w:t>
                  </w:r>
                </w:p>
              </w:tc>
              <w:tc>
                <w:tcPr>
                  <w:tcW w:w="480" w:type="pct"/>
                  <w:vAlign w:val="center"/>
                </w:tcPr>
                <w:p>
                  <w:pPr>
                    <w:spacing w:line="245" w:lineRule="auto"/>
                    <w:jc w:val="center"/>
                    <w:rPr>
                      <w:sz w:val="21"/>
                      <w:szCs w:val="21"/>
                    </w:rPr>
                  </w:pPr>
                  <w:r>
                    <w:rPr>
                      <w:rFonts w:hint="eastAsia"/>
                      <w:bCs/>
                      <w:sz w:val="21"/>
                      <w:szCs w:val="21"/>
                    </w:rPr>
                    <w:t>废机油等</w:t>
                  </w:r>
                </w:p>
              </w:tc>
              <w:tc>
                <w:tcPr>
                  <w:tcW w:w="861" w:type="pct"/>
                  <w:vAlign w:val="center"/>
                </w:tcPr>
                <w:p>
                  <w:pPr>
                    <w:spacing w:line="245" w:lineRule="auto"/>
                    <w:jc w:val="center"/>
                    <w:rPr>
                      <w:sz w:val="21"/>
                      <w:szCs w:val="21"/>
                    </w:rPr>
                  </w:pPr>
                  <w:r>
                    <w:rPr>
                      <w:rFonts w:hint="eastAsia"/>
                      <w:bCs/>
                      <w:sz w:val="21"/>
                      <w:szCs w:val="21"/>
                    </w:rPr>
                    <w:t>泄漏、火灾</w:t>
                  </w:r>
                </w:p>
              </w:tc>
              <w:tc>
                <w:tcPr>
                  <w:tcW w:w="1027" w:type="pct"/>
                  <w:vAlign w:val="center"/>
                </w:tcPr>
                <w:p>
                  <w:pPr>
                    <w:spacing w:line="245" w:lineRule="auto"/>
                    <w:jc w:val="center"/>
                    <w:rPr>
                      <w:sz w:val="21"/>
                      <w:szCs w:val="21"/>
                    </w:rPr>
                  </w:pPr>
                  <w:r>
                    <w:rPr>
                      <w:rFonts w:hint="eastAsia"/>
                      <w:sz w:val="21"/>
                      <w:szCs w:val="21"/>
                    </w:rPr>
                    <w:t>火灾次生C</w:t>
                  </w:r>
                  <w:r>
                    <w:rPr>
                      <w:sz w:val="21"/>
                      <w:szCs w:val="21"/>
                    </w:rPr>
                    <w:t>O</w:t>
                  </w:r>
                  <w:r>
                    <w:rPr>
                      <w:rFonts w:hint="eastAsia"/>
                      <w:sz w:val="21"/>
                      <w:szCs w:val="21"/>
                    </w:rPr>
                    <w:t>等废气污染物对大气环境造成污染。</w:t>
                  </w:r>
                </w:p>
              </w:tc>
              <w:tc>
                <w:tcPr>
                  <w:tcW w:w="867" w:type="pct"/>
                  <w:vAlign w:val="center"/>
                </w:tcPr>
                <w:p>
                  <w:pPr>
                    <w:spacing w:line="245" w:lineRule="auto"/>
                    <w:jc w:val="center"/>
                    <w:rPr>
                      <w:sz w:val="21"/>
                      <w:szCs w:val="21"/>
                    </w:rPr>
                  </w:pPr>
                  <w:r>
                    <w:rPr>
                      <w:rFonts w:hint="eastAsia"/>
                      <w:sz w:val="21"/>
                      <w:szCs w:val="21"/>
                    </w:rPr>
                    <w:t>火灾次生消防废水可能对地表水造成污染。</w:t>
                  </w:r>
                </w:p>
              </w:tc>
              <w:tc>
                <w:tcPr>
                  <w:tcW w:w="1135" w:type="pct"/>
                  <w:vAlign w:val="center"/>
                </w:tcPr>
                <w:p>
                  <w:pPr>
                    <w:spacing w:line="245" w:lineRule="auto"/>
                    <w:rPr>
                      <w:sz w:val="21"/>
                      <w:szCs w:val="21"/>
                    </w:rPr>
                  </w:pPr>
                  <w:r>
                    <w:rPr>
                      <w:rFonts w:hint="eastAsia"/>
                      <w:sz w:val="21"/>
                      <w:szCs w:val="21"/>
                    </w:rPr>
                    <w:t>泄漏污染物可能通过垂直入渗等途径污染地下水、土壤。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0" w:type="pct"/>
                  <w:vAlign w:val="center"/>
                </w:tcPr>
                <w:p>
                  <w:pPr>
                    <w:spacing w:line="245" w:lineRule="auto"/>
                    <w:jc w:val="center"/>
                    <w:rPr>
                      <w:sz w:val="21"/>
                      <w:szCs w:val="21"/>
                    </w:rPr>
                  </w:pPr>
                  <w:r>
                    <w:rPr>
                      <w:rFonts w:hint="eastAsia"/>
                      <w:sz w:val="21"/>
                      <w:szCs w:val="21"/>
                    </w:rPr>
                    <w:t xml:space="preserve">化粪池 </w:t>
                  </w:r>
                </w:p>
              </w:tc>
              <w:tc>
                <w:tcPr>
                  <w:tcW w:w="480" w:type="pct"/>
                  <w:vAlign w:val="center"/>
                </w:tcPr>
                <w:p>
                  <w:pPr>
                    <w:spacing w:line="245" w:lineRule="auto"/>
                    <w:jc w:val="center"/>
                    <w:rPr>
                      <w:bCs/>
                      <w:sz w:val="21"/>
                      <w:szCs w:val="21"/>
                    </w:rPr>
                  </w:pPr>
                  <w:r>
                    <w:rPr>
                      <w:rFonts w:hint="eastAsia"/>
                      <w:bCs/>
                      <w:sz w:val="21"/>
                      <w:szCs w:val="21"/>
                    </w:rPr>
                    <w:t>生活污水</w:t>
                  </w:r>
                </w:p>
              </w:tc>
              <w:tc>
                <w:tcPr>
                  <w:tcW w:w="861" w:type="pct"/>
                  <w:vAlign w:val="center"/>
                </w:tcPr>
                <w:p>
                  <w:pPr>
                    <w:spacing w:line="245" w:lineRule="auto"/>
                    <w:jc w:val="center"/>
                    <w:rPr>
                      <w:bCs/>
                      <w:sz w:val="21"/>
                      <w:szCs w:val="21"/>
                    </w:rPr>
                  </w:pPr>
                  <w:r>
                    <w:rPr>
                      <w:rFonts w:hint="eastAsia"/>
                      <w:bCs/>
                      <w:sz w:val="21"/>
                      <w:szCs w:val="21"/>
                    </w:rPr>
                    <w:t>防渗层破损污水泄漏</w:t>
                  </w:r>
                </w:p>
              </w:tc>
              <w:tc>
                <w:tcPr>
                  <w:tcW w:w="1027" w:type="pct"/>
                  <w:vAlign w:val="center"/>
                </w:tcPr>
                <w:p>
                  <w:pPr>
                    <w:spacing w:line="245" w:lineRule="auto"/>
                    <w:jc w:val="center"/>
                    <w:rPr>
                      <w:sz w:val="21"/>
                      <w:szCs w:val="21"/>
                    </w:rPr>
                  </w:pPr>
                  <w:r>
                    <w:rPr>
                      <w:rFonts w:hint="eastAsia"/>
                      <w:sz w:val="21"/>
                      <w:szCs w:val="21"/>
                    </w:rPr>
                    <w:t>无</w:t>
                  </w:r>
                </w:p>
              </w:tc>
              <w:tc>
                <w:tcPr>
                  <w:tcW w:w="867" w:type="pct"/>
                  <w:vAlign w:val="center"/>
                </w:tcPr>
                <w:p>
                  <w:pPr>
                    <w:spacing w:line="245" w:lineRule="auto"/>
                    <w:rPr>
                      <w:sz w:val="21"/>
                      <w:szCs w:val="21"/>
                    </w:rPr>
                  </w:pPr>
                  <w:r>
                    <w:rPr>
                      <w:rFonts w:hint="eastAsia"/>
                      <w:bCs/>
                      <w:sz w:val="21"/>
                      <w:szCs w:val="21"/>
                    </w:rPr>
                    <w:t>污水泄漏叠加雨水径流可能</w:t>
                  </w:r>
                  <w:r>
                    <w:rPr>
                      <w:bCs/>
                      <w:sz w:val="21"/>
                      <w:szCs w:val="21"/>
                    </w:rPr>
                    <w:t>对</w:t>
                  </w:r>
                  <w:r>
                    <w:rPr>
                      <w:rFonts w:hint="eastAsia"/>
                      <w:bCs/>
                      <w:sz w:val="21"/>
                      <w:szCs w:val="21"/>
                    </w:rPr>
                    <w:t>地表水造成污染</w:t>
                  </w:r>
                </w:p>
              </w:tc>
              <w:tc>
                <w:tcPr>
                  <w:tcW w:w="1135" w:type="pct"/>
                  <w:vAlign w:val="center"/>
                </w:tcPr>
                <w:p>
                  <w:pPr>
                    <w:spacing w:line="245" w:lineRule="auto"/>
                    <w:rPr>
                      <w:sz w:val="21"/>
                      <w:szCs w:val="21"/>
                    </w:rPr>
                  </w:pPr>
                  <w:r>
                    <w:rPr>
                      <w:rFonts w:hint="eastAsia"/>
                      <w:sz w:val="21"/>
                      <w:szCs w:val="21"/>
                    </w:rPr>
                    <w:t>污水泄漏可能通过地表漫流或垂直入渗等途径污染地下水、土壤。</w:t>
                  </w:r>
                </w:p>
              </w:tc>
            </w:tr>
          </w:tbl>
          <w:p>
            <w:pPr>
              <w:spacing w:line="360" w:lineRule="auto"/>
              <w:ind w:left="24" w:leftChars="10" w:right="24" w:rightChars="10" w:firstLine="480"/>
              <w:jc w:val="left"/>
              <w:rPr>
                <w:rFonts w:eastAsia="新宋体" w:cs="Times New Roman"/>
              </w:rPr>
            </w:pPr>
            <w:r>
              <w:rPr>
                <w:rFonts w:hint="eastAsia" w:eastAsia="新宋体" w:cs="Times New Roman"/>
              </w:rPr>
              <w:t>（二）环境风险防范措施</w:t>
            </w:r>
          </w:p>
          <w:p>
            <w:pPr>
              <w:spacing w:line="360" w:lineRule="auto"/>
              <w:ind w:left="24" w:leftChars="10" w:right="24" w:rightChars="10" w:firstLine="480"/>
              <w:jc w:val="left"/>
              <w:rPr>
                <w:rFonts w:eastAsia="新宋体" w:cs="Times New Roman"/>
              </w:rPr>
            </w:pPr>
            <w:r>
              <w:rPr>
                <w:rFonts w:hint="eastAsia" w:eastAsia="新宋体" w:cs="Times New Roman"/>
              </w:rPr>
              <w:t>（</w:t>
            </w:r>
            <w:r>
              <w:rPr>
                <w:rFonts w:eastAsia="新宋体" w:cs="Times New Roman"/>
              </w:rPr>
              <w:t>1</w:t>
            </w:r>
            <w:r>
              <w:rPr>
                <w:rFonts w:hint="eastAsia" w:eastAsia="新宋体" w:cs="Times New Roman"/>
              </w:rPr>
              <w:t>）</w:t>
            </w:r>
            <w:r>
              <w:rPr>
                <w:rFonts w:eastAsia="新宋体" w:cs="Times New Roman"/>
              </w:rPr>
              <w:t>防渗措施</w:t>
            </w:r>
          </w:p>
          <w:p>
            <w:pPr>
              <w:spacing w:line="360" w:lineRule="auto"/>
              <w:ind w:firstLine="482"/>
              <w:jc w:val="left"/>
              <w:rPr>
                <w:rFonts w:eastAsia="新宋体" w:cs="Times New Roman"/>
              </w:rPr>
            </w:pPr>
            <w:r>
              <w:rPr>
                <w:rFonts w:hint="eastAsia" w:eastAsia="新宋体" w:cs="Times New Roman"/>
              </w:rPr>
              <w:t>项目应做好沉淀池、危废间、化粪池、搅拌楼、原料库等防渗处理，主要防渗措施如下：</w:t>
            </w:r>
          </w:p>
          <w:p>
            <w:pPr>
              <w:spacing w:line="360" w:lineRule="auto"/>
              <w:ind w:firstLine="482"/>
              <w:jc w:val="left"/>
              <w:rPr>
                <w:rFonts w:eastAsia="新宋体" w:cs="Times New Roman"/>
              </w:rPr>
            </w:pPr>
            <w:r>
              <w:rPr>
                <w:rFonts w:hint="eastAsia" w:eastAsia="新宋体" w:cs="Times New Roman"/>
              </w:rPr>
              <w:t>①</w:t>
            </w:r>
            <w:r>
              <w:rPr>
                <w:rFonts w:eastAsia="新宋体" w:cs="Times New Roman"/>
              </w:rPr>
              <w:t>沉淀池、</w:t>
            </w:r>
            <w:r>
              <w:rPr>
                <w:rFonts w:hint="eastAsia" w:eastAsia="新宋体" w:cs="Times New Roman"/>
              </w:rPr>
              <w:t>搅拌楼、原料库等地面进行硬化，满足一般防渗区要求，防渗性能不应低于1.5m厚渗透系数为1.0×10-7 cm/s的黏土层的防渗性能。</w:t>
            </w:r>
          </w:p>
          <w:p>
            <w:pPr>
              <w:spacing w:line="360" w:lineRule="auto"/>
              <w:ind w:firstLine="482"/>
              <w:jc w:val="left"/>
              <w:rPr>
                <w:rFonts w:eastAsia="新宋体" w:cs="Times New Roman"/>
              </w:rPr>
            </w:pPr>
            <w:r>
              <w:rPr>
                <w:rFonts w:hint="eastAsia" w:eastAsia="新宋体" w:cs="Times New Roman"/>
              </w:rPr>
              <w:t>②危废间、化粪池等需采取有效防渗措施，地面基础防渗层采用 1m 黏土夯实，黏土上方浇筑 400mm 厚 S6 防渗水泥，上部层铺设 2mm 厚的改性沥青防渗层然后在其上涂环氧树脂防渗层，防渗系数≤10-10 cm/s，且做到表面无裂隙。</w:t>
            </w:r>
          </w:p>
          <w:p>
            <w:pPr>
              <w:spacing w:line="360" w:lineRule="auto"/>
              <w:ind w:left="24" w:leftChars="10" w:right="24" w:rightChars="10" w:firstLine="480"/>
              <w:jc w:val="left"/>
              <w:rPr>
                <w:rFonts w:eastAsia="新宋体" w:cs="Times New Roman"/>
              </w:rPr>
            </w:pPr>
            <w:r>
              <w:rPr>
                <w:rFonts w:hint="eastAsia" w:eastAsia="新宋体" w:cs="Times New Roman"/>
              </w:rPr>
              <w:t>（2）防止环保设施失灵安全防范措施</w:t>
            </w:r>
          </w:p>
          <w:p>
            <w:pPr>
              <w:spacing w:line="360" w:lineRule="auto"/>
              <w:ind w:left="24" w:leftChars="10" w:right="24" w:rightChars="10" w:firstLine="480"/>
              <w:jc w:val="left"/>
              <w:rPr>
                <w:rFonts w:eastAsia="新宋体" w:cs="Times New Roman"/>
              </w:rPr>
            </w:pPr>
            <w:r>
              <w:rPr>
                <w:rFonts w:hint="eastAsia" w:eastAsia="新宋体" w:cs="Times New Roman"/>
              </w:rPr>
              <w:t>企业应</w:t>
            </w:r>
            <w:r>
              <w:rPr>
                <w:rFonts w:eastAsia="新宋体" w:cs="Times New Roman"/>
              </w:rPr>
              <w:t>定期对废气净化设施进行检查，确保其正常工作状态；设置专人负责，保证正常去除效率。检查、核查等工作做好记录，一旦发现问题，应立即停止生产工序，待净化设施等恢复正常工作并具</w:t>
            </w:r>
            <w:r>
              <w:rPr>
                <w:rFonts w:hint="eastAsia" w:eastAsia="新宋体" w:cs="Times New Roman"/>
              </w:rPr>
              <w:t>有</w:t>
            </w:r>
            <w:r>
              <w:rPr>
                <w:rFonts w:eastAsia="新宋体" w:cs="Times New Roman"/>
              </w:rPr>
              <w:t>稳定废气去除效率后，开工生产，杜绝废气排放事故发生。加强企业的运行管理，设立专门人员负责厂内环保设施管理、监测等工作。</w:t>
            </w:r>
          </w:p>
          <w:p>
            <w:pPr>
              <w:spacing w:line="360" w:lineRule="auto"/>
              <w:ind w:left="24" w:leftChars="10" w:right="24" w:rightChars="10" w:firstLine="480"/>
              <w:jc w:val="left"/>
              <w:rPr>
                <w:rFonts w:eastAsia="新宋体" w:cs="Times New Roman"/>
              </w:rPr>
            </w:pPr>
            <w:r>
              <w:rPr>
                <w:rFonts w:hint="eastAsia" w:eastAsia="新宋体" w:cs="Times New Roman"/>
              </w:rPr>
              <w:t>八、电磁辐射</w:t>
            </w:r>
          </w:p>
          <w:p>
            <w:pPr>
              <w:pStyle w:val="69"/>
              <w:ind w:left="48" w:right="48" w:firstLine="480"/>
              <w:jc w:val="both"/>
              <w:rPr>
                <w:lang w:eastAsia="zh-CN"/>
              </w:rPr>
            </w:pPr>
            <w:r>
              <w:rPr>
                <w:rFonts w:hint="eastAsia" w:eastAsia="宋体" w:cs="宋体"/>
                <w:lang w:eastAsia="zh-CN"/>
              </w:rPr>
              <w:t>本项目不属于新建或改建、扩建广播电台、差转台、电视塔台、卫星地球上行站、雷达等电磁辐射类项目，本项目不需要分析电磁辐射对环境目标的影响。</w:t>
            </w: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p>
            <w:pPr>
              <w:pStyle w:val="69"/>
              <w:ind w:left="48" w:right="48"/>
              <w:jc w:val="both"/>
              <w:rPr>
                <w:lang w:eastAsia="zh-CN"/>
              </w:rPr>
            </w:pPr>
          </w:p>
        </w:tc>
      </w:tr>
    </w:tbl>
    <w:p>
      <w:pPr>
        <w:pStyle w:val="2"/>
        <w:ind w:left="480" w:firstLine="600"/>
      </w:pPr>
    </w:p>
    <w:p/>
    <w:p>
      <w:pPr>
        <w:pStyle w:val="2"/>
        <w:ind w:left="480" w:firstLine="600"/>
        <w:sectPr>
          <w:pgSz w:w="11906" w:h="16838"/>
          <w:pgMar w:top="1418" w:right="1247" w:bottom="1418" w:left="1247" w:header="851" w:footer="454" w:gutter="0"/>
          <w:cols w:space="425" w:num="1"/>
          <w:docGrid w:linePitch="312" w:charSpace="0"/>
        </w:sectPr>
      </w:pPr>
    </w:p>
    <w:p>
      <w:pPr>
        <w:widowControl/>
        <w:spacing w:line="360" w:lineRule="auto"/>
        <w:jc w:val="left"/>
        <w:outlineLvl w:val="0"/>
        <w:rPr>
          <w:rFonts w:eastAsia="黑体" w:cs="Times New Roman"/>
          <w:sz w:val="28"/>
          <w:szCs w:val="28"/>
        </w:rPr>
      </w:pPr>
      <w:r>
        <w:rPr>
          <w:rFonts w:hint="eastAsia" w:eastAsia="黑体" w:cs="Times New Roman"/>
          <w:sz w:val="28"/>
          <w:szCs w:val="28"/>
        </w:rPr>
        <w:t>五、环境保护措施监督检查清单</w:t>
      </w:r>
    </w:p>
    <w:tbl>
      <w:tblPr>
        <w:tblStyle w:val="4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732"/>
        <w:gridCol w:w="3600"/>
        <w:gridCol w:w="1300"/>
        <w:gridCol w:w="2016"/>
        <w:gridCol w:w="4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 w:type="pct"/>
            <w:tcBorders>
              <w:tl2br w:val="single" w:color="auto" w:sz="4" w:space="0"/>
            </w:tcBorders>
            <w:vAlign w:val="center"/>
          </w:tcPr>
          <w:p>
            <w:pPr>
              <w:widowControl/>
              <w:adjustRightInd w:val="0"/>
              <w:snapToGrid w:val="0"/>
              <w:spacing w:line="288" w:lineRule="auto"/>
              <w:jc w:val="center"/>
              <w:rPr>
                <w:rFonts w:ascii="宋体" w:hAnsi="宋体" w:cs="Times New Roman"/>
                <w:sz w:val="21"/>
                <w:szCs w:val="21"/>
              </w:rPr>
            </w:pPr>
            <w:bookmarkStart w:id="42" w:name="_Hlk100070004"/>
            <w:r>
              <w:rPr>
                <w:rFonts w:hint="eastAsia" w:ascii="宋体" w:hAnsi="宋体" w:cs="Times New Roman"/>
                <w:sz w:val="21"/>
                <w:szCs w:val="21"/>
              </w:rPr>
              <w:t>内容</w:t>
            </w:r>
          </w:p>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要素</w:t>
            </w:r>
          </w:p>
        </w:tc>
        <w:tc>
          <w:tcPr>
            <w:tcW w:w="6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排放口(编号、名称)</w:t>
            </w:r>
          </w:p>
        </w:tc>
        <w:tc>
          <w:tcPr>
            <w:tcW w:w="126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污染源</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污染物项目</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环境保护措施</w:t>
            </w:r>
          </w:p>
        </w:tc>
        <w:tc>
          <w:tcPr>
            <w:tcW w:w="150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 w:type="pct"/>
            <w:vMerge w:val="restar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大气环境</w:t>
            </w:r>
          </w:p>
        </w:tc>
        <w:tc>
          <w:tcPr>
            <w:tcW w:w="6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D</w:t>
            </w:r>
            <w:r>
              <w:rPr>
                <w:rFonts w:ascii="宋体" w:hAnsi="宋体" w:cs="Times New Roman"/>
                <w:sz w:val="21"/>
                <w:szCs w:val="21"/>
              </w:rPr>
              <w:t>A001/</w:t>
            </w:r>
            <w:r>
              <w:rPr>
                <w:rFonts w:hint="eastAsia" w:ascii="宋体" w:hAnsi="宋体" w:cs="Times New Roman"/>
                <w:sz w:val="21"/>
                <w:szCs w:val="21"/>
              </w:rPr>
              <w:t>搅拌废气排气筒</w:t>
            </w:r>
          </w:p>
        </w:tc>
        <w:tc>
          <w:tcPr>
            <w:tcW w:w="126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sz w:val="21"/>
                <w:szCs w:val="21"/>
              </w:rPr>
              <w:t>搅拌</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颗粒物</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工艺密闭，布袋除尘</w:t>
            </w:r>
          </w:p>
        </w:tc>
        <w:tc>
          <w:tcPr>
            <w:tcW w:w="1506" w:type="pct"/>
            <w:vAlign w:val="center"/>
          </w:tcPr>
          <w:p>
            <w:pPr>
              <w:widowControl/>
              <w:adjustRightInd w:val="0"/>
              <w:snapToGrid w:val="0"/>
              <w:spacing w:line="288" w:lineRule="auto"/>
              <w:jc w:val="center"/>
              <w:rPr>
                <w:rFonts w:ascii="宋体" w:hAnsi="宋体" w:cs="Times New Roman"/>
                <w:bCs/>
                <w:sz w:val="21"/>
                <w:szCs w:val="21"/>
              </w:rPr>
            </w:pPr>
            <w:r>
              <w:rPr>
                <w:rFonts w:hint="eastAsia" w:ascii="宋体" w:hAnsi="宋体" w:cs="Times New Roman"/>
                <w:bCs/>
                <w:sz w:val="21"/>
                <w:szCs w:val="21"/>
              </w:rPr>
              <w:t>《建材工业大气污染物排放标准》（</w:t>
            </w:r>
            <w:r>
              <w:rPr>
                <w:rFonts w:ascii="宋体" w:hAnsi="宋体" w:cs="Times New Roman"/>
                <w:bCs/>
                <w:sz w:val="21"/>
                <w:szCs w:val="21"/>
              </w:rPr>
              <w:t>DB37/2373-2018</w:t>
            </w:r>
            <w:r>
              <w:rPr>
                <w:rFonts w:hint="eastAsia" w:ascii="宋体" w:hAnsi="宋体" w:cs="Times New Roman"/>
                <w:bCs/>
                <w:sz w:val="21"/>
                <w:szCs w:val="21"/>
              </w:rPr>
              <w:t>）表2重点控制 区排放限值（颗粒物≦1</w:t>
            </w:r>
            <w:r>
              <w:rPr>
                <w:rFonts w:ascii="宋体" w:hAnsi="宋体" w:cs="Times New Roman"/>
                <w:bCs/>
                <w:sz w:val="21"/>
                <w:szCs w:val="21"/>
              </w:rPr>
              <w:t>0mg/m</w:t>
            </w:r>
            <w:r>
              <w:rPr>
                <w:rFonts w:ascii="宋体" w:hAnsi="宋体" w:cs="Times New Roman"/>
                <w:bCs/>
                <w:sz w:val="21"/>
                <w:szCs w:val="21"/>
                <w:vertAlign w:val="superscript"/>
              </w:rPr>
              <w:t>3</w:t>
            </w:r>
            <w:r>
              <w:rPr>
                <w:rFonts w:ascii="宋体" w:hAnsi="宋体" w:cs="Times New Roman"/>
                <w:bCs/>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 w:type="pct"/>
            <w:vMerge w:val="continue"/>
            <w:vAlign w:val="center"/>
          </w:tcPr>
          <w:p>
            <w:pPr>
              <w:widowControl/>
              <w:adjustRightInd w:val="0"/>
              <w:snapToGrid w:val="0"/>
              <w:spacing w:line="288" w:lineRule="auto"/>
              <w:jc w:val="center"/>
              <w:rPr>
                <w:rFonts w:ascii="宋体" w:hAnsi="宋体" w:cs="Times New Roman"/>
                <w:sz w:val="21"/>
                <w:szCs w:val="21"/>
              </w:rPr>
            </w:pPr>
          </w:p>
        </w:tc>
        <w:tc>
          <w:tcPr>
            <w:tcW w:w="609" w:type="pct"/>
            <w:vMerge w:val="restar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厂界</w:t>
            </w:r>
          </w:p>
        </w:tc>
        <w:tc>
          <w:tcPr>
            <w:tcW w:w="126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sz w:val="21"/>
                <w:szCs w:val="21"/>
              </w:rPr>
              <w:t>原料库：卸料、贮存、上料</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颗粒物</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工艺密闭，喷淋、密闭沉降</w:t>
            </w:r>
          </w:p>
        </w:tc>
        <w:tc>
          <w:tcPr>
            <w:tcW w:w="1506" w:type="pct"/>
            <w:vMerge w:val="restart"/>
            <w:vAlign w:val="center"/>
          </w:tcPr>
          <w:p>
            <w:pPr>
              <w:widowControl/>
              <w:adjustRightInd w:val="0"/>
              <w:snapToGrid w:val="0"/>
              <w:spacing w:line="288" w:lineRule="auto"/>
              <w:jc w:val="left"/>
              <w:rPr>
                <w:rFonts w:ascii="宋体" w:hAnsi="宋体" w:cs="Times New Roman"/>
                <w:bCs/>
                <w:sz w:val="21"/>
                <w:szCs w:val="21"/>
              </w:rPr>
            </w:pPr>
            <w:r>
              <w:rPr>
                <w:rFonts w:hint="eastAsia" w:ascii="宋体" w:hAnsi="宋体" w:cs="Times New Roman"/>
                <w:bCs/>
                <w:sz w:val="21"/>
                <w:szCs w:val="21"/>
              </w:rPr>
              <w:t>《建材工业大气污染物排放标准》（</w:t>
            </w:r>
            <w:r>
              <w:rPr>
                <w:rFonts w:ascii="宋体" w:hAnsi="宋体" w:cs="Times New Roman"/>
                <w:bCs/>
                <w:sz w:val="21"/>
                <w:szCs w:val="21"/>
              </w:rPr>
              <w:t>DB37/2373-2018</w:t>
            </w:r>
            <w:r>
              <w:rPr>
                <w:rFonts w:hint="eastAsia" w:ascii="宋体" w:hAnsi="宋体" w:cs="Times New Roman"/>
                <w:bCs/>
                <w:sz w:val="21"/>
                <w:szCs w:val="21"/>
              </w:rPr>
              <w:t>）表</w:t>
            </w:r>
            <w:r>
              <w:rPr>
                <w:rFonts w:ascii="宋体" w:hAnsi="宋体" w:cs="Times New Roman"/>
                <w:bCs/>
                <w:sz w:val="21"/>
                <w:szCs w:val="21"/>
              </w:rPr>
              <w:t>3</w:t>
            </w:r>
            <w:r>
              <w:rPr>
                <w:rFonts w:hint="eastAsia" w:ascii="宋体" w:hAnsi="宋体" w:cs="Times New Roman"/>
                <w:bCs/>
                <w:sz w:val="21"/>
                <w:szCs w:val="21"/>
              </w:rPr>
              <w:t>建材工业大气污染物无组织排放限值（颗粒物≦1</w:t>
            </w:r>
            <w:r>
              <w:rPr>
                <w:rFonts w:ascii="宋体" w:hAnsi="宋体" w:cs="Times New Roman"/>
                <w:bCs/>
                <w:sz w:val="21"/>
                <w:szCs w:val="21"/>
              </w:rPr>
              <w:t>.0mg/m</w:t>
            </w:r>
            <w:r>
              <w:rPr>
                <w:rFonts w:ascii="宋体" w:hAnsi="宋体" w:cs="Times New Roman"/>
                <w:bCs/>
                <w:sz w:val="21"/>
                <w:szCs w:val="21"/>
                <w:vertAlign w:val="superscript"/>
              </w:rPr>
              <w:t>3</w:t>
            </w:r>
            <w:r>
              <w:rPr>
                <w:rFonts w:ascii="宋体" w:hAnsi="宋体" w:cs="Times New Roman"/>
                <w:bCs/>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 w:type="pct"/>
            <w:vMerge w:val="continue"/>
            <w:vAlign w:val="center"/>
          </w:tcPr>
          <w:p>
            <w:pPr>
              <w:widowControl/>
              <w:adjustRightInd w:val="0"/>
              <w:snapToGrid w:val="0"/>
              <w:spacing w:line="288" w:lineRule="auto"/>
              <w:jc w:val="center"/>
              <w:rPr>
                <w:rFonts w:ascii="宋体" w:hAnsi="宋体" w:cs="Times New Roman"/>
                <w:sz w:val="21"/>
                <w:szCs w:val="21"/>
              </w:rPr>
            </w:pPr>
          </w:p>
        </w:tc>
        <w:tc>
          <w:tcPr>
            <w:tcW w:w="609" w:type="pct"/>
            <w:vMerge w:val="continue"/>
            <w:vAlign w:val="center"/>
          </w:tcPr>
          <w:p>
            <w:pPr>
              <w:widowControl/>
              <w:adjustRightInd w:val="0"/>
              <w:snapToGrid w:val="0"/>
              <w:spacing w:line="288" w:lineRule="auto"/>
              <w:jc w:val="center"/>
              <w:rPr>
                <w:rFonts w:ascii="宋体" w:hAnsi="宋体" w:cs="Times New Roman"/>
                <w:sz w:val="21"/>
                <w:szCs w:val="21"/>
              </w:rPr>
            </w:pPr>
          </w:p>
        </w:tc>
        <w:tc>
          <w:tcPr>
            <w:tcW w:w="126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sz w:val="21"/>
                <w:szCs w:val="21"/>
              </w:rPr>
              <w:t>搅拌楼：搅拌</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颗粒物</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工艺密闭，局部废气有效收集，布袋除尘，密闭沉降</w:t>
            </w:r>
          </w:p>
        </w:tc>
        <w:tc>
          <w:tcPr>
            <w:tcW w:w="1506" w:type="pct"/>
            <w:vMerge w:val="continue"/>
            <w:vAlign w:val="center"/>
          </w:tcPr>
          <w:p>
            <w:pPr>
              <w:widowControl/>
              <w:adjustRightInd w:val="0"/>
              <w:snapToGrid w:val="0"/>
              <w:spacing w:line="288" w:lineRule="auto"/>
              <w:jc w:val="center"/>
              <w:rPr>
                <w:rFonts w:ascii="宋体" w:hAnsi="宋体"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 w:type="pct"/>
            <w:vMerge w:val="continue"/>
            <w:vAlign w:val="center"/>
          </w:tcPr>
          <w:p>
            <w:pPr>
              <w:widowControl/>
              <w:adjustRightInd w:val="0"/>
              <w:snapToGrid w:val="0"/>
              <w:spacing w:line="288" w:lineRule="auto"/>
              <w:jc w:val="center"/>
              <w:rPr>
                <w:rFonts w:ascii="宋体" w:hAnsi="宋体" w:cs="Times New Roman"/>
                <w:sz w:val="21"/>
                <w:szCs w:val="21"/>
              </w:rPr>
            </w:pPr>
          </w:p>
        </w:tc>
        <w:tc>
          <w:tcPr>
            <w:tcW w:w="609" w:type="pct"/>
            <w:vMerge w:val="continue"/>
            <w:vAlign w:val="center"/>
          </w:tcPr>
          <w:p>
            <w:pPr>
              <w:widowControl/>
              <w:adjustRightInd w:val="0"/>
              <w:snapToGrid w:val="0"/>
              <w:spacing w:line="288" w:lineRule="auto"/>
              <w:jc w:val="center"/>
              <w:rPr>
                <w:rFonts w:ascii="宋体" w:hAnsi="宋体" w:cs="Times New Roman"/>
                <w:sz w:val="21"/>
                <w:szCs w:val="21"/>
              </w:rPr>
            </w:pPr>
          </w:p>
        </w:tc>
        <w:tc>
          <w:tcPr>
            <w:tcW w:w="1266" w:type="pct"/>
            <w:vAlign w:val="center"/>
          </w:tcPr>
          <w:p>
            <w:pPr>
              <w:widowControl/>
              <w:adjustRightInd w:val="0"/>
              <w:snapToGrid w:val="0"/>
              <w:spacing w:line="288" w:lineRule="auto"/>
              <w:jc w:val="center"/>
              <w:rPr>
                <w:rFonts w:ascii="宋体" w:hAnsi="宋体"/>
                <w:sz w:val="21"/>
                <w:szCs w:val="21"/>
              </w:rPr>
            </w:pPr>
            <w:r>
              <w:rPr>
                <w:rFonts w:hint="eastAsia" w:ascii="宋体" w:hAnsi="宋体"/>
                <w:sz w:val="21"/>
                <w:szCs w:val="21"/>
              </w:rPr>
              <w:t>筒仓</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颗粒物</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 xml:space="preserve">工艺密闭，局部废气有效收集，布袋除尘 </w:t>
            </w:r>
          </w:p>
        </w:tc>
        <w:tc>
          <w:tcPr>
            <w:tcW w:w="1506" w:type="pct"/>
            <w:vMerge w:val="continue"/>
            <w:vAlign w:val="center"/>
          </w:tcPr>
          <w:p>
            <w:pPr>
              <w:widowControl/>
              <w:adjustRightInd w:val="0"/>
              <w:snapToGrid w:val="0"/>
              <w:spacing w:line="288" w:lineRule="auto"/>
              <w:jc w:val="center"/>
              <w:rPr>
                <w:rFonts w:ascii="宋体" w:hAnsi="宋体"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 w:type="pct"/>
            <w:vMerge w:val="continue"/>
            <w:tcBorders>
              <w:bottom w:val="single" w:color="auto" w:sz="4" w:space="0"/>
            </w:tcBorders>
            <w:vAlign w:val="center"/>
          </w:tcPr>
          <w:p>
            <w:pPr>
              <w:widowControl/>
              <w:adjustRightInd w:val="0"/>
              <w:snapToGrid w:val="0"/>
              <w:spacing w:line="288" w:lineRule="auto"/>
              <w:jc w:val="center"/>
              <w:rPr>
                <w:rFonts w:ascii="宋体" w:hAnsi="宋体" w:cs="Times New Roman"/>
                <w:sz w:val="21"/>
                <w:szCs w:val="21"/>
              </w:rPr>
            </w:pPr>
          </w:p>
        </w:tc>
        <w:tc>
          <w:tcPr>
            <w:tcW w:w="609" w:type="pct"/>
            <w:vMerge w:val="continue"/>
            <w:tcBorders>
              <w:bottom w:val="single" w:color="auto" w:sz="4" w:space="0"/>
            </w:tcBorders>
            <w:vAlign w:val="center"/>
          </w:tcPr>
          <w:p>
            <w:pPr>
              <w:widowControl/>
              <w:adjustRightInd w:val="0"/>
              <w:snapToGrid w:val="0"/>
              <w:spacing w:line="288" w:lineRule="auto"/>
              <w:jc w:val="center"/>
              <w:rPr>
                <w:rFonts w:ascii="宋体" w:hAnsi="宋体" w:cs="Times New Roman"/>
                <w:sz w:val="21"/>
                <w:szCs w:val="21"/>
              </w:rPr>
            </w:pPr>
          </w:p>
        </w:tc>
        <w:tc>
          <w:tcPr>
            <w:tcW w:w="1266" w:type="pct"/>
            <w:tcBorders>
              <w:bottom w:val="single" w:color="auto" w:sz="4" w:space="0"/>
            </w:tcBorders>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sz w:val="21"/>
                <w:szCs w:val="21"/>
              </w:rPr>
              <w:t>厂区道路：原料及产品运输</w:t>
            </w:r>
          </w:p>
        </w:tc>
        <w:tc>
          <w:tcPr>
            <w:tcW w:w="457" w:type="pct"/>
            <w:tcBorders>
              <w:bottom w:val="single" w:color="auto" w:sz="4" w:space="0"/>
            </w:tcBorders>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颗粒物</w:t>
            </w:r>
          </w:p>
        </w:tc>
        <w:tc>
          <w:tcPr>
            <w:tcW w:w="709" w:type="pct"/>
            <w:tcBorders>
              <w:bottom w:val="single" w:color="auto" w:sz="4" w:space="0"/>
            </w:tcBorders>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喷淋、清扫</w:t>
            </w:r>
          </w:p>
        </w:tc>
        <w:tc>
          <w:tcPr>
            <w:tcW w:w="1506" w:type="pct"/>
            <w:tcBorders>
              <w:bottom w:val="single" w:color="auto" w:sz="4" w:space="0"/>
            </w:tcBorders>
            <w:vAlign w:val="center"/>
          </w:tcPr>
          <w:p>
            <w:pPr>
              <w:widowControl/>
              <w:adjustRightInd w:val="0"/>
              <w:snapToGrid w:val="0"/>
              <w:spacing w:line="288" w:lineRule="auto"/>
              <w:jc w:val="center"/>
              <w:rPr>
                <w:rFonts w:ascii="宋体" w:hAnsi="宋体"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地表水环境</w:t>
            </w:r>
          </w:p>
        </w:tc>
        <w:tc>
          <w:tcPr>
            <w:tcW w:w="6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项目无废水排放</w:t>
            </w:r>
          </w:p>
        </w:tc>
        <w:tc>
          <w:tcPr>
            <w:tcW w:w="126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c>
          <w:tcPr>
            <w:tcW w:w="1506" w:type="pct"/>
            <w:vAlign w:val="center"/>
          </w:tcPr>
          <w:p>
            <w:pPr>
              <w:widowControl/>
              <w:adjustRightInd w:val="0"/>
              <w:snapToGrid w:val="0"/>
              <w:spacing w:line="288" w:lineRule="auto"/>
              <w:jc w:val="center"/>
              <w:rPr>
                <w:rFonts w:ascii="宋体" w:hAnsi="宋体" w:cs="Times New Roman"/>
                <w:bCs/>
                <w:sz w:val="21"/>
                <w:szCs w:val="21"/>
              </w:rPr>
            </w:pPr>
            <w:r>
              <w:rPr>
                <w:rFonts w:hint="eastAsia" w:ascii="宋体" w:hAnsi="宋体" w:cs="Times New Roman"/>
                <w:bCs/>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53"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声环境</w:t>
            </w:r>
          </w:p>
        </w:tc>
        <w:tc>
          <w:tcPr>
            <w:tcW w:w="6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厂界</w:t>
            </w:r>
          </w:p>
        </w:tc>
        <w:tc>
          <w:tcPr>
            <w:tcW w:w="126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设备运转</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噪声</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选用低噪声设备、</w:t>
            </w:r>
            <w:r>
              <w:rPr>
                <w:rFonts w:ascii="宋体" w:hAnsi="宋体" w:cs="Times New Roman"/>
                <w:sz w:val="21"/>
                <w:szCs w:val="21"/>
              </w:rPr>
              <w:t>基础减振、厂房及围墙隔音、绿化降噪、距离衰减</w:t>
            </w:r>
          </w:p>
        </w:tc>
        <w:tc>
          <w:tcPr>
            <w:tcW w:w="1506" w:type="pct"/>
            <w:vAlign w:val="center"/>
          </w:tcPr>
          <w:p>
            <w:pPr>
              <w:widowControl/>
              <w:adjustRightInd w:val="0"/>
              <w:snapToGrid w:val="0"/>
              <w:spacing w:line="288" w:lineRule="auto"/>
              <w:jc w:val="center"/>
              <w:rPr>
                <w:rFonts w:ascii="宋体" w:hAnsi="宋体" w:cs="Times New Roman"/>
                <w:bCs/>
                <w:sz w:val="21"/>
                <w:szCs w:val="21"/>
              </w:rPr>
            </w:pPr>
            <w:r>
              <w:rPr>
                <w:rFonts w:ascii="宋体" w:hAnsi="宋体" w:cs="Times New Roman"/>
                <w:sz w:val="21"/>
                <w:szCs w:val="21"/>
              </w:rPr>
              <w:t>《工业企业厂界环境噪声排放标准》（GB12348-2008）</w:t>
            </w:r>
            <w:r>
              <w:rPr>
                <w:rFonts w:hint="eastAsia" w:ascii="宋体" w:hAnsi="宋体" w:cs="Times New Roman"/>
                <w:sz w:val="21"/>
                <w:szCs w:val="21"/>
              </w:rPr>
              <w:t>2</w:t>
            </w:r>
            <w:r>
              <w:rPr>
                <w:rFonts w:ascii="宋体" w:hAnsi="宋体" w:cs="Times New Roman"/>
                <w:sz w:val="21"/>
                <w:szCs w:val="21"/>
              </w:rPr>
              <w:t xml:space="preserve"> 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电磁辐射</w:t>
            </w:r>
          </w:p>
        </w:tc>
        <w:tc>
          <w:tcPr>
            <w:tcW w:w="6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c>
          <w:tcPr>
            <w:tcW w:w="126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c>
          <w:tcPr>
            <w:tcW w:w="457"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c>
          <w:tcPr>
            <w:tcW w:w="709"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c>
          <w:tcPr>
            <w:tcW w:w="1506"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3"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固体废物</w:t>
            </w:r>
          </w:p>
        </w:tc>
        <w:tc>
          <w:tcPr>
            <w:tcW w:w="4547" w:type="pct"/>
            <w:gridSpan w:val="5"/>
            <w:vAlign w:val="center"/>
          </w:tcPr>
          <w:p>
            <w:pPr>
              <w:widowControl/>
              <w:adjustRightInd w:val="0"/>
              <w:snapToGrid w:val="0"/>
              <w:spacing w:before="24" w:beforeLines="10" w:after="24" w:afterLines="10" w:line="288" w:lineRule="auto"/>
              <w:ind w:left="24" w:right="24" w:firstLine="420" w:firstLineChars="200"/>
              <w:jc w:val="left"/>
              <w:rPr>
                <w:rFonts w:ascii="宋体" w:hAnsi="宋体" w:cs="Times New Roman"/>
                <w:kern w:val="2"/>
                <w:sz w:val="21"/>
                <w:szCs w:val="21"/>
              </w:rPr>
            </w:pPr>
            <w:r>
              <w:rPr>
                <w:rFonts w:hint="eastAsia" w:ascii="宋体" w:hAnsi="宋体" w:eastAsia="新宋体" w:cs="Times New Roman"/>
                <w:kern w:val="2"/>
                <w:sz w:val="21"/>
                <w:szCs w:val="21"/>
              </w:rPr>
              <w:t>固体废物严格执行《中华人民共和国固体废物污染环境防治法（2020年修订）》中固体废物相关环保要求。一般固体废物按照《一般工业固体废物贮存和填埋污染控制标准》（GB18599-2020）中相关要求规范建设和维护厂区内一般固体废物临时堆放场所，并做好防雨、防风、防渗、防漏等措施，制定好转移运输中污染防治</w:t>
            </w:r>
            <w:r>
              <w:rPr>
                <w:rFonts w:ascii="宋体" w:hAnsi="宋体" w:eastAsia="新宋体" w:cs="Times New Roman"/>
                <w:kern w:val="2"/>
                <w:sz w:val="21"/>
                <w:szCs w:val="21"/>
              </w:rPr>
              <w:t>；</w:t>
            </w:r>
            <w:r>
              <w:rPr>
                <w:rFonts w:hint="eastAsia" w:ascii="宋体" w:hAnsi="宋体" w:eastAsia="新宋体" w:cs="Times New Roman"/>
                <w:kern w:val="2"/>
                <w:sz w:val="21"/>
                <w:szCs w:val="21"/>
              </w:rPr>
              <w:t>危险废物收集、贮存执行《危险废物贮存污染控制标准》（</w:t>
            </w:r>
            <w:r>
              <w:rPr>
                <w:rFonts w:ascii="宋体" w:hAnsi="宋体" w:eastAsia="新宋体" w:cs="Times New Roman"/>
                <w:kern w:val="2"/>
                <w:sz w:val="21"/>
                <w:szCs w:val="21"/>
              </w:rPr>
              <w:t>GB 18597-2023</w:t>
            </w:r>
            <w:r>
              <w:rPr>
                <w:rFonts w:hint="eastAsia" w:ascii="宋体" w:hAnsi="宋体" w:eastAsia="新宋体" w:cs="Times New Roman"/>
                <w:kern w:val="2"/>
                <w:sz w:val="21"/>
                <w:szCs w:val="21"/>
              </w:rPr>
              <w:t>），转移按照《危险废物转移管理办法》（</w:t>
            </w:r>
            <w:r>
              <w:rPr>
                <w:rFonts w:ascii="宋体" w:hAnsi="宋体" w:eastAsia="新宋体" w:cs="Times New Roman"/>
                <w:kern w:val="2"/>
                <w:sz w:val="21"/>
                <w:szCs w:val="21"/>
              </w:rPr>
              <w:t>2022</w:t>
            </w:r>
            <w:r>
              <w:rPr>
                <w:rFonts w:hint="eastAsia" w:ascii="宋体" w:hAnsi="宋体" w:eastAsia="新宋体" w:cs="Times New Roman"/>
                <w:kern w:val="2"/>
                <w:sz w:val="21"/>
                <w:szCs w:val="21"/>
              </w:rPr>
              <w:t>年</w:t>
            </w:r>
            <w:r>
              <w:rPr>
                <w:rFonts w:ascii="宋体" w:hAnsi="宋体" w:eastAsia="新宋体" w:cs="Times New Roman"/>
                <w:kern w:val="2"/>
                <w:sz w:val="21"/>
                <w:szCs w:val="21"/>
              </w:rPr>
              <w:t>1</w:t>
            </w:r>
            <w:r>
              <w:rPr>
                <w:rFonts w:hint="eastAsia" w:ascii="宋体" w:hAnsi="宋体" w:eastAsia="新宋体" w:cs="Times New Roman"/>
                <w:kern w:val="2"/>
                <w:sz w:val="21"/>
                <w:szCs w:val="21"/>
              </w:rPr>
              <w:t>月</w:t>
            </w:r>
            <w:r>
              <w:rPr>
                <w:rFonts w:ascii="宋体" w:hAnsi="宋体" w:eastAsia="新宋体" w:cs="Times New Roman"/>
                <w:kern w:val="2"/>
                <w:sz w:val="21"/>
                <w:szCs w:val="21"/>
              </w:rPr>
              <w:t>1</w:t>
            </w:r>
            <w:r>
              <w:rPr>
                <w:rFonts w:hint="eastAsia" w:ascii="宋体" w:hAnsi="宋体" w:eastAsia="新宋体" w:cs="Times New Roman"/>
                <w:kern w:val="2"/>
                <w:sz w:val="21"/>
                <w:szCs w:val="21"/>
              </w:rPr>
              <w:t>日）执行，按照《危险废物管理计划和管理台账制定技术导则》制定管理计划、规范台账记录，按照《危险废物识别标志设置技术规范》（H</w:t>
            </w:r>
            <w:r>
              <w:rPr>
                <w:rFonts w:ascii="宋体" w:hAnsi="宋体" w:eastAsia="新宋体" w:cs="Times New Roman"/>
                <w:kern w:val="2"/>
                <w:sz w:val="21"/>
                <w:szCs w:val="21"/>
              </w:rPr>
              <w:t>J1276-2022</w:t>
            </w:r>
            <w:r>
              <w:rPr>
                <w:rFonts w:hint="eastAsia" w:ascii="宋体" w:hAnsi="宋体" w:eastAsia="新宋体" w:cs="Times New Roman"/>
                <w:kern w:val="2"/>
                <w:sz w:val="21"/>
                <w:szCs w:val="21"/>
              </w:rPr>
              <w:t>）规范危险废物标识。</w:t>
            </w:r>
          </w:p>
          <w:p>
            <w:pPr>
              <w:widowControl/>
              <w:adjustRightInd w:val="0"/>
              <w:snapToGrid w:val="0"/>
              <w:spacing w:before="24" w:beforeLines="10" w:after="24" w:afterLines="10" w:line="288" w:lineRule="auto"/>
              <w:ind w:left="24" w:right="24" w:firstLine="420" w:firstLineChars="200"/>
              <w:jc w:val="left"/>
              <w:rPr>
                <w:rFonts w:ascii="宋体" w:hAnsi="宋体" w:cs="Times New Roman"/>
                <w:kern w:val="2"/>
                <w:sz w:val="21"/>
                <w:szCs w:val="21"/>
              </w:rPr>
            </w:pPr>
            <w:r>
              <w:rPr>
                <w:rFonts w:hint="eastAsia" w:ascii="宋体" w:hAnsi="宋体" w:cs="Times New Roman"/>
                <w:kern w:val="2"/>
                <w:sz w:val="21"/>
                <w:szCs w:val="21"/>
              </w:rPr>
              <w:t>除尘器收集的粉尘、地面沉降粉尘、砂石分离机回收的砂石料等收集后回用于生产；沉淀渣沉渣外运用作路基材料综合利用；生活垃圾收集后委托环卫部门清运。设备及车辆维护产生的</w:t>
            </w:r>
            <w:r>
              <w:rPr>
                <w:rFonts w:hint="eastAsia" w:ascii="宋体" w:hAnsi="宋体" w:cs="Times New Roman"/>
                <w:bCs/>
                <w:kern w:val="2"/>
                <w:sz w:val="21"/>
                <w:szCs w:val="21"/>
              </w:rPr>
              <w:t>废机油、废机油桶均</w:t>
            </w:r>
            <w:r>
              <w:rPr>
                <w:rFonts w:ascii="宋体" w:hAnsi="宋体" w:cs="Times New Roman"/>
                <w:bCs/>
                <w:kern w:val="2"/>
                <w:sz w:val="21"/>
                <w:szCs w:val="21"/>
              </w:rPr>
              <w:t>属于危</w:t>
            </w:r>
            <w:r>
              <w:rPr>
                <w:rFonts w:hint="eastAsia" w:ascii="宋体" w:hAnsi="宋体" w:cs="Times New Roman"/>
                <w:bCs/>
                <w:kern w:val="2"/>
                <w:sz w:val="21"/>
                <w:szCs w:val="21"/>
              </w:rPr>
              <w:t>险</w:t>
            </w:r>
            <w:r>
              <w:rPr>
                <w:rFonts w:ascii="宋体" w:hAnsi="宋体" w:cs="Times New Roman"/>
                <w:bCs/>
                <w:kern w:val="2"/>
                <w:sz w:val="21"/>
                <w:szCs w:val="21"/>
              </w:rPr>
              <w:t>废</w:t>
            </w:r>
            <w:r>
              <w:rPr>
                <w:rFonts w:hint="eastAsia" w:ascii="宋体" w:hAnsi="宋体" w:cs="Times New Roman"/>
                <w:bCs/>
                <w:kern w:val="2"/>
                <w:sz w:val="21"/>
                <w:szCs w:val="21"/>
              </w:rPr>
              <w:t>物，</w:t>
            </w:r>
            <w:r>
              <w:rPr>
                <w:rFonts w:ascii="宋体" w:hAnsi="宋体" w:cs="Times New Roman"/>
                <w:bCs/>
                <w:kern w:val="2"/>
                <w:sz w:val="21"/>
                <w:szCs w:val="21"/>
              </w:rPr>
              <w:t>委托有资质单位处理。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53" w:type="pct"/>
            <w:vAlign w:val="center"/>
          </w:tcPr>
          <w:p>
            <w:pPr>
              <w:widowControl/>
              <w:adjustRightInd w:val="0"/>
              <w:snapToGrid w:val="0"/>
              <w:spacing w:line="288" w:lineRule="auto"/>
              <w:jc w:val="center"/>
              <w:rPr>
                <w:rFonts w:ascii="宋体" w:hAnsi="宋体" w:cs="Times New Roman"/>
                <w:sz w:val="21"/>
                <w:szCs w:val="21"/>
              </w:rPr>
            </w:pPr>
            <w:r>
              <w:rPr>
                <w:rFonts w:hint="eastAsia" w:ascii="宋体" w:hAnsi="宋体" w:cs="Times New Roman"/>
                <w:sz w:val="21"/>
                <w:szCs w:val="21"/>
              </w:rPr>
              <w:t>生态保护措施</w:t>
            </w:r>
          </w:p>
        </w:tc>
        <w:tc>
          <w:tcPr>
            <w:tcW w:w="4547" w:type="pct"/>
            <w:gridSpan w:val="5"/>
            <w:vAlign w:val="center"/>
          </w:tcPr>
          <w:p>
            <w:pPr>
              <w:widowControl/>
              <w:adjustRightInd w:val="0"/>
              <w:snapToGrid w:val="0"/>
              <w:spacing w:before="24" w:beforeLines="10" w:after="24" w:afterLines="10" w:line="288" w:lineRule="auto"/>
              <w:ind w:left="24" w:right="24" w:firstLine="420" w:firstLineChars="200"/>
              <w:jc w:val="left"/>
              <w:rPr>
                <w:rFonts w:ascii="宋体" w:hAnsi="宋体" w:cs="Times New Roman"/>
                <w:kern w:val="2"/>
                <w:sz w:val="21"/>
                <w:szCs w:val="21"/>
              </w:rPr>
            </w:pPr>
            <w:r>
              <w:rPr>
                <w:rFonts w:hint="eastAsia" w:ascii="宋体" w:hAnsi="宋体" w:cs="Times New Roman"/>
                <w:kern w:val="2"/>
                <w:sz w:val="21"/>
                <w:szCs w:val="21"/>
              </w:rPr>
              <w:t>拟建项目</w:t>
            </w:r>
            <w:r>
              <w:rPr>
                <w:rFonts w:ascii="宋体" w:hAnsi="宋体" w:cs="Times New Roman"/>
                <w:kern w:val="2"/>
                <w:sz w:val="21"/>
                <w:szCs w:val="21"/>
              </w:rPr>
              <w:t>营运期间应加强运营环节的管理，保证环保措施严格实施，确保设备安全运转，使污染物排放达标。</w:t>
            </w:r>
            <w:r>
              <w:rPr>
                <w:rFonts w:hint="eastAsia" w:ascii="宋体" w:hAnsi="宋体" w:cs="Times New Roman"/>
                <w:kern w:val="2"/>
                <w:sz w:val="21"/>
                <w:szCs w:val="21"/>
              </w:rPr>
              <w:t>同时，</w:t>
            </w:r>
            <w:r>
              <w:rPr>
                <w:rFonts w:ascii="宋体" w:hAnsi="宋体" w:cs="Times New Roman"/>
                <w:kern w:val="2"/>
                <w:sz w:val="21"/>
                <w:szCs w:val="21"/>
              </w:rPr>
              <w:t>加强绿化，种植花草、树木，既美化环境，以发挥吸声降噪作用，提高生态效应。在严格管理，落实各项环保措施的情况下，可实现污染物达标排放，项目对生态环境影响较小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53" w:type="pct"/>
            <w:vAlign w:val="center"/>
          </w:tcPr>
          <w:p>
            <w:pPr>
              <w:widowControl/>
              <w:adjustRightInd w:val="0"/>
              <w:snapToGrid w:val="0"/>
              <w:spacing w:line="288" w:lineRule="auto"/>
              <w:jc w:val="center"/>
              <w:rPr>
                <w:rFonts w:ascii="宋体" w:hAnsi="宋体" w:cs="Times New Roman"/>
                <w:spacing w:val="-8"/>
                <w:sz w:val="21"/>
                <w:szCs w:val="21"/>
              </w:rPr>
            </w:pPr>
            <w:r>
              <w:rPr>
                <w:rFonts w:hint="eastAsia" w:ascii="宋体" w:hAnsi="宋体" w:cs="Times New Roman"/>
                <w:spacing w:val="-8"/>
                <w:sz w:val="21"/>
                <w:szCs w:val="21"/>
              </w:rPr>
              <w:t>环境风险</w:t>
            </w:r>
          </w:p>
          <w:p>
            <w:pPr>
              <w:widowControl/>
              <w:adjustRightInd w:val="0"/>
              <w:snapToGrid w:val="0"/>
              <w:spacing w:line="288" w:lineRule="auto"/>
              <w:jc w:val="center"/>
              <w:rPr>
                <w:rFonts w:ascii="宋体" w:hAnsi="宋体" w:cs="Times New Roman"/>
                <w:spacing w:val="-8"/>
                <w:sz w:val="21"/>
                <w:szCs w:val="21"/>
              </w:rPr>
            </w:pPr>
            <w:r>
              <w:rPr>
                <w:rFonts w:hint="eastAsia" w:ascii="宋体" w:hAnsi="宋体" w:cs="Times New Roman"/>
                <w:spacing w:val="-8"/>
                <w:sz w:val="21"/>
                <w:szCs w:val="21"/>
              </w:rPr>
              <w:t>防范措施</w:t>
            </w:r>
          </w:p>
        </w:tc>
        <w:tc>
          <w:tcPr>
            <w:tcW w:w="4547" w:type="pct"/>
            <w:gridSpan w:val="5"/>
            <w:vAlign w:val="center"/>
          </w:tcPr>
          <w:p>
            <w:pPr>
              <w:widowControl/>
              <w:spacing w:line="288" w:lineRule="auto"/>
              <w:ind w:firstLine="420" w:firstLineChars="200"/>
              <w:jc w:val="left"/>
              <w:rPr>
                <w:rFonts w:cs="Times New Roman"/>
                <w:sz w:val="21"/>
                <w:szCs w:val="21"/>
              </w:rPr>
            </w:pPr>
            <w:r>
              <w:rPr>
                <w:rFonts w:cs="Times New Roman"/>
                <w:sz w:val="21"/>
                <w:szCs w:val="21"/>
              </w:rPr>
              <w:t>（1）防渗措施</w:t>
            </w:r>
          </w:p>
          <w:p>
            <w:pPr>
              <w:spacing w:line="360" w:lineRule="auto"/>
              <w:ind w:firstLine="482"/>
              <w:jc w:val="left"/>
              <w:rPr>
                <w:rFonts w:cs="Times New Roman"/>
                <w:sz w:val="21"/>
                <w:szCs w:val="21"/>
              </w:rPr>
            </w:pPr>
            <w:r>
              <w:rPr>
                <w:rFonts w:cs="Times New Roman"/>
                <w:sz w:val="21"/>
                <w:szCs w:val="21"/>
              </w:rPr>
              <w:t>项目应做好沉淀池、危废间、化粪池、搅拌楼、原料库等防渗处理，主要防渗措施如下：</w:t>
            </w:r>
          </w:p>
          <w:p>
            <w:pPr>
              <w:spacing w:line="360" w:lineRule="auto"/>
              <w:ind w:firstLine="482"/>
              <w:jc w:val="left"/>
              <w:rPr>
                <w:rFonts w:cs="Times New Roman"/>
                <w:sz w:val="21"/>
                <w:szCs w:val="21"/>
              </w:rPr>
            </w:pPr>
            <w:r>
              <w:rPr>
                <w:rFonts w:hint="eastAsia" w:ascii="宋体" w:hAnsi="宋体"/>
                <w:sz w:val="21"/>
                <w:szCs w:val="21"/>
              </w:rPr>
              <w:t>①</w:t>
            </w:r>
            <w:r>
              <w:rPr>
                <w:rFonts w:cs="Times New Roman"/>
                <w:sz w:val="21"/>
                <w:szCs w:val="21"/>
              </w:rPr>
              <w:t>沉淀池、搅拌楼、原料库等地面进行硬化，满足一般防渗区要求，防渗性能不应低于1.5m厚渗透系数为1.0×10-7 cm/s的黏土层的防渗性能。</w:t>
            </w:r>
          </w:p>
          <w:p>
            <w:pPr>
              <w:spacing w:line="360" w:lineRule="auto"/>
              <w:ind w:firstLine="482"/>
              <w:jc w:val="left"/>
              <w:rPr>
                <w:rFonts w:cs="Times New Roman"/>
                <w:sz w:val="21"/>
                <w:szCs w:val="21"/>
              </w:rPr>
            </w:pPr>
            <w:r>
              <w:rPr>
                <w:rFonts w:hint="eastAsia" w:ascii="宋体" w:hAnsi="宋体"/>
                <w:sz w:val="21"/>
                <w:szCs w:val="21"/>
              </w:rPr>
              <w:t>②</w:t>
            </w:r>
            <w:r>
              <w:rPr>
                <w:rFonts w:cs="Times New Roman"/>
                <w:sz w:val="21"/>
                <w:szCs w:val="21"/>
              </w:rPr>
              <w:t>危废间、化粪池等需采取有效防渗措施，地面基础防渗层采用 1m 黏土夯实，黏土上方浇筑 400mm 厚 S6 防渗水泥，上部层铺设 2mm 厚的改性沥青防渗层然后在其上涂环氧树脂防渗层，防渗系数≤10-10 cm/s，且做到表面无裂隙。</w:t>
            </w:r>
          </w:p>
          <w:p>
            <w:pPr>
              <w:spacing w:line="360" w:lineRule="auto"/>
              <w:ind w:firstLine="482"/>
              <w:jc w:val="left"/>
              <w:rPr>
                <w:rFonts w:cs="Times New Roman"/>
                <w:sz w:val="21"/>
                <w:szCs w:val="21"/>
              </w:rPr>
            </w:pPr>
            <w:r>
              <w:rPr>
                <w:rFonts w:cs="Times New Roman"/>
                <w:sz w:val="21"/>
                <w:szCs w:val="21"/>
              </w:rPr>
              <w:t>（2）防止环保设施失灵安全防范措施</w:t>
            </w:r>
          </w:p>
          <w:p>
            <w:pPr>
              <w:spacing w:line="360" w:lineRule="auto"/>
              <w:ind w:firstLine="482"/>
              <w:jc w:val="left"/>
              <w:rPr>
                <w:rFonts w:eastAsia="新宋体" w:cs="Times New Roman"/>
              </w:rPr>
            </w:pPr>
            <w:r>
              <w:rPr>
                <w:rFonts w:cs="Times New Roman"/>
                <w:sz w:val="21"/>
                <w:szCs w:val="21"/>
              </w:rPr>
              <w:t>企业应定期对废气净化设施进行检查，确保其正常工作状态；设置专人负责，保证正常去除效率。检查、核查等工作做好记录，一旦发现问题，应立即停止生产工序，待净化设施等恢复正常工作并具有稳定废气去除效率后，开工生产，杜绝废气排放事故发生。加强企业的运行管理，设立专门人员负责厂内环保设施管理、监测等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 w:type="pct"/>
            <w:vAlign w:val="center"/>
          </w:tcPr>
          <w:p>
            <w:pPr>
              <w:widowControl/>
              <w:adjustRightInd w:val="0"/>
              <w:snapToGrid w:val="0"/>
              <w:spacing w:line="288" w:lineRule="auto"/>
              <w:jc w:val="center"/>
              <w:rPr>
                <w:rFonts w:ascii="宋体" w:hAnsi="宋体" w:cs="Times New Roman"/>
                <w:spacing w:val="-8"/>
                <w:sz w:val="21"/>
                <w:szCs w:val="21"/>
              </w:rPr>
            </w:pPr>
            <w:r>
              <w:rPr>
                <w:rFonts w:hint="eastAsia" w:ascii="宋体" w:hAnsi="宋体" w:cs="Times New Roman"/>
                <w:spacing w:val="-8"/>
                <w:sz w:val="21"/>
                <w:szCs w:val="21"/>
              </w:rPr>
              <w:t>其他环境</w:t>
            </w:r>
          </w:p>
          <w:p>
            <w:pPr>
              <w:widowControl/>
              <w:adjustRightInd w:val="0"/>
              <w:snapToGrid w:val="0"/>
              <w:spacing w:line="288" w:lineRule="auto"/>
              <w:jc w:val="center"/>
              <w:rPr>
                <w:rFonts w:ascii="宋体" w:hAnsi="宋体" w:cs="Times New Roman"/>
                <w:spacing w:val="-8"/>
                <w:sz w:val="21"/>
                <w:szCs w:val="21"/>
              </w:rPr>
            </w:pPr>
            <w:r>
              <w:rPr>
                <w:rFonts w:hint="eastAsia" w:ascii="宋体" w:hAnsi="宋体" w:cs="Times New Roman"/>
                <w:spacing w:val="-8"/>
                <w:sz w:val="21"/>
                <w:szCs w:val="21"/>
              </w:rPr>
              <w:t>管理要求</w:t>
            </w:r>
          </w:p>
        </w:tc>
        <w:tc>
          <w:tcPr>
            <w:tcW w:w="4547" w:type="pct"/>
            <w:gridSpan w:val="5"/>
            <w:vAlign w:val="center"/>
          </w:tcPr>
          <w:p>
            <w:pPr>
              <w:widowControl/>
              <w:spacing w:line="288" w:lineRule="auto"/>
              <w:ind w:firstLine="482"/>
              <w:jc w:val="left"/>
              <w:rPr>
                <w:rFonts w:ascii="宋体" w:hAnsi="宋体" w:eastAsia="新宋体" w:cs="Times New Roman"/>
                <w:bCs/>
                <w:sz w:val="21"/>
                <w:szCs w:val="21"/>
              </w:rPr>
            </w:pPr>
            <w:r>
              <w:rPr>
                <w:rFonts w:hint="eastAsia" w:ascii="宋体" w:hAnsi="宋体" w:eastAsia="新宋体" w:cs="Times New Roman"/>
                <w:sz w:val="21"/>
                <w:szCs w:val="21"/>
              </w:rPr>
              <w:t>（1）严格执行环保“三同时”制度，确保各项环保措施落实到位。</w:t>
            </w:r>
          </w:p>
          <w:p>
            <w:pPr>
              <w:widowControl/>
              <w:spacing w:line="288" w:lineRule="auto"/>
              <w:ind w:firstLine="482"/>
              <w:jc w:val="left"/>
              <w:rPr>
                <w:rFonts w:ascii="宋体" w:hAnsi="宋体" w:eastAsia="新宋体" w:cs="Times New Roman"/>
                <w:bCs/>
                <w:sz w:val="21"/>
                <w:szCs w:val="21"/>
              </w:rPr>
            </w:pPr>
            <w:r>
              <w:rPr>
                <w:rFonts w:hint="eastAsia" w:ascii="宋体" w:hAnsi="宋体" w:eastAsia="新宋体" w:cs="Times New Roman"/>
                <w:sz w:val="21"/>
                <w:szCs w:val="21"/>
              </w:rPr>
              <w:t>（2）积极配合环保部门的监督、监测管理，健全厂内环境管理体制。</w:t>
            </w:r>
          </w:p>
          <w:p>
            <w:pPr>
              <w:widowControl/>
              <w:spacing w:line="288" w:lineRule="auto"/>
              <w:ind w:firstLine="482"/>
              <w:jc w:val="left"/>
              <w:rPr>
                <w:rFonts w:ascii="宋体" w:hAnsi="宋体" w:eastAsia="新宋体" w:cs="Times New Roman"/>
                <w:bCs/>
                <w:sz w:val="21"/>
                <w:szCs w:val="21"/>
              </w:rPr>
            </w:pPr>
            <w:r>
              <w:rPr>
                <w:rFonts w:hint="eastAsia" w:ascii="宋体" w:hAnsi="宋体" w:eastAsia="新宋体" w:cs="Times New Roman"/>
                <w:bCs/>
                <w:sz w:val="21"/>
                <w:szCs w:val="21"/>
              </w:rPr>
              <w:t>（3）加强厂区及周围的绿化，降低对区域生态环境的影响。</w:t>
            </w:r>
          </w:p>
          <w:p>
            <w:pPr>
              <w:widowControl/>
              <w:spacing w:line="288" w:lineRule="auto"/>
              <w:ind w:firstLine="482"/>
              <w:jc w:val="left"/>
              <w:rPr>
                <w:rFonts w:ascii="宋体" w:hAnsi="宋体" w:eastAsia="新宋体" w:cs="Times New Roman"/>
                <w:sz w:val="21"/>
                <w:szCs w:val="21"/>
              </w:rPr>
            </w:pPr>
            <w:r>
              <w:rPr>
                <w:rFonts w:hint="eastAsia" w:ascii="宋体" w:hAnsi="宋体" w:eastAsia="新宋体" w:cs="Times New Roman"/>
                <w:sz w:val="21"/>
                <w:szCs w:val="21"/>
              </w:rPr>
              <w:t>（4）污染物排放口、暂存场所，应严格按照《环境保护图形标志—排放口（源）》（GB1556.2-1995）、《环境保护图形标志--固体废物贮存(处置)场》（GB15562.2-1995）以及《山东省污水排放口环境信息公开技术规范》（DB37/T2643-2014）中有关规定执行。</w:t>
            </w:r>
          </w:p>
        </w:tc>
      </w:tr>
      <w:bookmarkEnd w:id="42"/>
    </w:tbl>
    <w:p>
      <w:pPr>
        <w:pStyle w:val="2"/>
        <w:ind w:left="0" w:leftChars="0" w:firstLine="0" w:firstLineChars="0"/>
      </w:pPr>
    </w:p>
    <w:p/>
    <w:p>
      <w:pPr>
        <w:pStyle w:val="2"/>
        <w:ind w:left="480" w:firstLine="600"/>
        <w:sectPr>
          <w:pgSz w:w="16838" w:h="11906" w:orient="landscape"/>
          <w:pgMar w:top="1247" w:right="1418" w:bottom="1247" w:left="1418" w:header="851" w:footer="454" w:gutter="0"/>
          <w:cols w:space="425" w:num="1"/>
          <w:docGrid w:linePitch="312" w:charSpace="0"/>
        </w:sectPr>
      </w:pPr>
    </w:p>
    <w:p>
      <w:pPr>
        <w:widowControl/>
        <w:spacing w:line="360" w:lineRule="auto"/>
        <w:jc w:val="left"/>
        <w:outlineLvl w:val="0"/>
        <w:rPr>
          <w:rFonts w:eastAsia="黑体" w:cs="Times New Roman"/>
          <w:sz w:val="28"/>
          <w:szCs w:val="28"/>
        </w:rPr>
      </w:pPr>
      <w:r>
        <w:rPr>
          <w:rFonts w:hint="eastAsia" w:eastAsia="黑体" w:cs="Times New Roman"/>
          <w:sz w:val="28"/>
          <w:szCs w:val="28"/>
        </w:rPr>
        <w:t>六、结论</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2"/>
              <w:jc w:val="left"/>
              <w:rPr>
                <w:rFonts w:eastAsia="新宋体" w:cs="Times New Roman"/>
              </w:rPr>
            </w:pPr>
            <w:r>
              <w:rPr>
                <w:rFonts w:hint="eastAsia" w:eastAsia="新宋体" w:cs="Times New Roman"/>
              </w:rPr>
              <w:t>山东秀美汇鑫建材有限公司拟建设年产3</w:t>
            </w:r>
            <w:r>
              <w:rPr>
                <w:rFonts w:eastAsia="新宋体" w:cs="Times New Roman"/>
              </w:rPr>
              <w:t>0万立</w:t>
            </w:r>
            <w:r>
              <w:rPr>
                <w:rFonts w:hint="eastAsia" w:eastAsia="新宋体" w:cs="Times New Roman"/>
              </w:rPr>
              <w:t>商品混凝土搅拌站</w:t>
            </w:r>
            <w:r>
              <w:rPr>
                <w:rFonts w:eastAsia="新宋体" w:cs="Times New Roman"/>
              </w:rPr>
              <w:t>项目。</w:t>
            </w:r>
          </w:p>
          <w:p>
            <w:pPr>
              <w:spacing w:line="360" w:lineRule="auto"/>
              <w:ind w:firstLine="482"/>
              <w:jc w:val="left"/>
              <w:rPr>
                <w:rFonts w:eastAsia="新宋体" w:cs="Times New Roman"/>
                <w:b/>
                <w:bCs/>
              </w:rPr>
            </w:pPr>
            <w:r>
              <w:rPr>
                <w:rFonts w:hint="eastAsia" w:eastAsia="新宋体" w:cs="Times New Roman"/>
              </w:rPr>
              <w:t>本项目不属于国家发改委发布的《产业结构调整指导目录（</w:t>
            </w:r>
            <w:r>
              <w:rPr>
                <w:rFonts w:eastAsia="新宋体" w:cs="Times New Roman"/>
              </w:rPr>
              <w:t xml:space="preserve">2024 </w:t>
            </w:r>
            <w:r>
              <w:rPr>
                <w:rFonts w:hint="eastAsia" w:eastAsia="新宋体" w:cs="Times New Roman"/>
              </w:rPr>
              <w:t>年本）》中“鼓励类”、“限制类”和“淘汰类”行列，属于允许建设项目。</w:t>
            </w:r>
          </w:p>
          <w:p>
            <w:pPr>
              <w:spacing w:line="360" w:lineRule="auto"/>
              <w:ind w:firstLine="482"/>
              <w:jc w:val="left"/>
              <w:rPr>
                <w:rFonts w:eastAsia="新宋体" w:cs="Times New Roman"/>
              </w:rPr>
            </w:pPr>
            <w:r>
              <w:rPr>
                <w:rFonts w:hint="eastAsia" w:eastAsia="新宋体" w:cs="Times New Roman"/>
                <w:color w:val="000000"/>
              </w:rPr>
              <w:t>项目位于枣庄市山亭区徐庄镇水城子村以北S</w:t>
            </w:r>
            <w:r>
              <w:rPr>
                <w:rFonts w:eastAsia="新宋体" w:cs="Times New Roman"/>
                <w:color w:val="000000"/>
              </w:rPr>
              <w:t>343</w:t>
            </w:r>
            <w:r>
              <w:rPr>
                <w:rFonts w:hint="eastAsia" w:eastAsia="新宋体" w:cs="Times New Roman"/>
                <w:color w:val="000000"/>
              </w:rPr>
              <w:t>线以西建材工业集聚区内。</w:t>
            </w:r>
            <w:r>
              <w:rPr>
                <w:rFonts w:hint="eastAsia" w:eastAsia="新宋体" w:cs="Times New Roman"/>
              </w:rPr>
              <w:t>根据山亭区国土空间规划“三区三线”的划定结果，项目位于城镇开发边界内，不在三区三线划定成果中耕地和永久基本农田保护红线、生态保护红线内。根据山亭区徐庄镇人民政府出具的证明，项目用地性质为建设用地，符合山亭区及徐庄镇土地利用规划</w:t>
            </w:r>
            <w:r>
              <w:rPr>
                <w:rFonts w:eastAsia="新宋体" w:cs="Times New Roman"/>
              </w:rPr>
              <w:t>。</w:t>
            </w:r>
          </w:p>
          <w:p>
            <w:pPr>
              <w:spacing w:line="360" w:lineRule="auto"/>
              <w:ind w:firstLine="482"/>
              <w:jc w:val="left"/>
              <w:rPr>
                <w:rFonts w:eastAsia="新宋体" w:cs="Times New Roman"/>
                <w:bCs/>
              </w:rPr>
            </w:pPr>
            <w:r>
              <w:rPr>
                <w:rFonts w:hint="eastAsia" w:eastAsia="新宋体" w:cs="Times New Roman"/>
                <w:bCs/>
              </w:rPr>
              <w:t>项目无废水外排，针对项目可能产生的废气、噪声、固废等污染，项目均采取有效防治措施、制订完善的监测计划，项目运行期正常情况下能够保证废气、噪声达标排放，固体废物合理处置。</w:t>
            </w:r>
          </w:p>
          <w:p>
            <w:pPr>
              <w:spacing w:line="360" w:lineRule="auto"/>
              <w:ind w:firstLine="482"/>
              <w:jc w:val="left"/>
            </w:pPr>
            <w:r>
              <w:rPr>
                <w:rFonts w:hint="eastAsia" w:eastAsia="新宋体" w:cs="Times New Roman"/>
              </w:rPr>
              <w:t>综上所述，从环保角度项目建设可行。</w:t>
            </w: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p>
            <w:pPr>
              <w:pStyle w:val="69"/>
              <w:ind w:left="48" w:right="48"/>
              <w:rPr>
                <w:lang w:eastAsia="zh-CN"/>
              </w:rPr>
            </w:pPr>
          </w:p>
        </w:tc>
      </w:tr>
    </w:tbl>
    <w:p>
      <w:pPr>
        <w:pStyle w:val="2"/>
        <w:ind w:left="480" w:firstLine="600"/>
      </w:pPr>
    </w:p>
    <w:p>
      <w:pPr>
        <w:pStyle w:val="69"/>
        <w:ind w:left="48" w:right="48"/>
        <w:rPr>
          <w:lang w:eastAsia="zh-CN"/>
        </w:rPr>
        <w:sectPr>
          <w:pgSz w:w="11906" w:h="16838"/>
          <w:pgMar w:top="1418" w:right="1247" w:bottom="1418" w:left="1247" w:header="851" w:footer="454" w:gutter="0"/>
          <w:cols w:space="425" w:num="1"/>
          <w:docGrid w:linePitch="312" w:charSpace="0"/>
        </w:sectPr>
      </w:pPr>
    </w:p>
    <w:p>
      <w:pPr>
        <w:widowControl/>
        <w:adjustRightInd w:val="0"/>
        <w:snapToGrid w:val="0"/>
        <w:jc w:val="left"/>
        <w:outlineLvl w:val="0"/>
      </w:pPr>
      <w:r>
        <w:rPr>
          <w:rFonts w:hint="eastAsia" w:ascii="黑体" w:hAnsi="黑体" w:eastAsia="黑体"/>
          <w:snapToGrid w:val="0"/>
        </w:rPr>
        <w:t>附表</w:t>
      </w:r>
      <w:r>
        <w:tab/>
      </w:r>
      <w:r>
        <w:tab/>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53"/>
        <w:gridCol w:w="1906"/>
        <w:gridCol w:w="1257"/>
        <w:gridCol w:w="1690"/>
        <w:gridCol w:w="1544"/>
        <w:gridCol w:w="1752"/>
        <w:gridCol w:w="174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7" w:type="pct"/>
            <w:gridSpan w:val="8"/>
            <w:tcBorders>
              <w:top w:val="nil"/>
              <w:left w:val="nil"/>
              <w:bottom w:val="single" w:color="auto" w:sz="4" w:space="0"/>
              <w:right w:val="nil"/>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pacing w:val="-16"/>
                <w:sz w:val="21"/>
                <w:szCs w:val="21"/>
              </w:rPr>
            </w:pPr>
            <w:r>
              <w:rPr>
                <w:rFonts w:eastAsia="新宋体" w:cs="Times New Roman"/>
                <w:snapToGrid w:val="0"/>
                <w:spacing w:val="-16"/>
                <w:sz w:val="21"/>
                <w:szCs w:val="21"/>
              </w:rPr>
              <w:t>建设项目污染物排放量汇总表</w:t>
            </w:r>
          </w:p>
        </w:tc>
        <w:tc>
          <w:tcPr>
            <w:tcW w:w="503" w:type="pct"/>
            <w:tcBorders>
              <w:top w:val="nil"/>
              <w:left w:val="nil"/>
              <w:bottom w:val="single" w:color="auto" w:sz="4" w:space="0"/>
              <w:right w:val="nil"/>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单位：t/a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项目</w:t>
            </w:r>
          </w:p>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分类</w:t>
            </w:r>
          </w:p>
        </w:tc>
        <w:tc>
          <w:tcPr>
            <w:tcW w:w="588"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污染物名称</w:t>
            </w:r>
          </w:p>
        </w:tc>
        <w:tc>
          <w:tcPr>
            <w:tcW w:w="678"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现有工程排放量（固体废物产生量）</w:t>
            </w:r>
            <w:r>
              <w:rPr>
                <w:rFonts w:eastAsia="新宋体" w:cs="Times New Roman"/>
                <w:snapToGrid w:val="0"/>
                <w:sz w:val="21"/>
                <w:szCs w:val="21"/>
              </w:rPr>
              <w:fldChar w:fldCharType="begin"/>
            </w:r>
            <w:r>
              <w:rPr>
                <w:rFonts w:eastAsia="新宋体" w:cs="Times New Roman"/>
                <w:snapToGrid w:val="0"/>
                <w:sz w:val="21"/>
                <w:szCs w:val="21"/>
              </w:rPr>
              <w:instrText xml:space="preserve"> = 1 \* GB3 \* MERGEFORMAT </w:instrText>
            </w:r>
            <w:r>
              <w:rPr>
                <w:rFonts w:eastAsia="新宋体" w:cs="Times New Roman"/>
                <w:snapToGrid w:val="0"/>
                <w:sz w:val="21"/>
                <w:szCs w:val="21"/>
              </w:rPr>
              <w:fldChar w:fldCharType="separate"/>
            </w:r>
            <w:r>
              <w:rPr>
                <w:rFonts w:hint="eastAsia" w:ascii="宋体" w:hAnsi="宋体"/>
                <w:sz w:val="21"/>
                <w:szCs w:val="21"/>
              </w:rPr>
              <w:t>①</w:t>
            </w:r>
            <w:r>
              <w:rPr>
                <w:rFonts w:eastAsia="新宋体" w:cs="Times New Roman"/>
                <w:snapToGrid w:val="0"/>
                <w:sz w:val="21"/>
                <w:szCs w:val="21"/>
              </w:rPr>
              <w:fldChar w:fldCharType="end"/>
            </w:r>
          </w:p>
        </w:tc>
        <w:tc>
          <w:tcPr>
            <w:tcW w:w="447"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现有工程许可排放量</w:t>
            </w:r>
            <w:r>
              <w:rPr>
                <w:rFonts w:eastAsia="新宋体" w:cs="Times New Roman"/>
                <w:snapToGrid w:val="0"/>
                <w:sz w:val="21"/>
                <w:szCs w:val="21"/>
              </w:rPr>
              <w:fldChar w:fldCharType="begin"/>
            </w:r>
            <w:r>
              <w:rPr>
                <w:rFonts w:eastAsia="新宋体" w:cs="Times New Roman"/>
                <w:snapToGrid w:val="0"/>
                <w:sz w:val="21"/>
                <w:szCs w:val="21"/>
              </w:rPr>
              <w:instrText xml:space="preserve"> = 2 \* GB3 \* MERGEFORMAT </w:instrText>
            </w:r>
            <w:r>
              <w:rPr>
                <w:rFonts w:eastAsia="新宋体" w:cs="Times New Roman"/>
                <w:snapToGrid w:val="0"/>
                <w:sz w:val="21"/>
                <w:szCs w:val="21"/>
              </w:rPr>
              <w:fldChar w:fldCharType="separate"/>
            </w:r>
            <w:r>
              <w:rPr>
                <w:rFonts w:hint="eastAsia" w:ascii="宋体" w:hAnsi="宋体"/>
                <w:snapToGrid w:val="0"/>
                <w:sz w:val="21"/>
                <w:szCs w:val="21"/>
              </w:rPr>
              <w:t>②</w:t>
            </w:r>
            <w:r>
              <w:rPr>
                <w:rFonts w:eastAsia="新宋体" w:cs="Times New Roman"/>
                <w:snapToGrid w:val="0"/>
                <w:sz w:val="21"/>
                <w:szCs w:val="21"/>
              </w:rPr>
              <w:fldChar w:fldCharType="end"/>
            </w:r>
          </w:p>
        </w:tc>
        <w:tc>
          <w:tcPr>
            <w:tcW w:w="601"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在建工程排放量（固体废物产生量）</w:t>
            </w:r>
            <w:r>
              <w:rPr>
                <w:rFonts w:eastAsia="新宋体" w:cs="Times New Roman"/>
                <w:snapToGrid w:val="0"/>
                <w:sz w:val="21"/>
                <w:szCs w:val="21"/>
              </w:rPr>
              <w:fldChar w:fldCharType="begin"/>
            </w:r>
            <w:r>
              <w:rPr>
                <w:rFonts w:eastAsia="新宋体" w:cs="Times New Roman"/>
                <w:snapToGrid w:val="0"/>
                <w:sz w:val="21"/>
                <w:szCs w:val="21"/>
              </w:rPr>
              <w:instrText xml:space="preserve"> = 3 \* GB3 \* MERGEFORMAT </w:instrText>
            </w:r>
            <w:r>
              <w:rPr>
                <w:rFonts w:eastAsia="新宋体" w:cs="Times New Roman"/>
                <w:snapToGrid w:val="0"/>
                <w:sz w:val="21"/>
                <w:szCs w:val="21"/>
              </w:rPr>
              <w:fldChar w:fldCharType="separate"/>
            </w:r>
            <w:r>
              <w:rPr>
                <w:rFonts w:hint="eastAsia" w:ascii="宋体" w:hAnsi="宋体"/>
                <w:sz w:val="21"/>
                <w:szCs w:val="21"/>
              </w:rPr>
              <w:t>③</w:t>
            </w:r>
            <w:r>
              <w:rPr>
                <w:rFonts w:eastAsia="新宋体" w:cs="Times New Roman"/>
                <w:snapToGrid w:val="0"/>
                <w:sz w:val="21"/>
                <w:szCs w:val="21"/>
              </w:rPr>
              <w:fldChar w:fldCharType="end"/>
            </w:r>
          </w:p>
        </w:tc>
        <w:tc>
          <w:tcPr>
            <w:tcW w:w="549"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本项目排放量（固体废物产生量）</w:t>
            </w:r>
            <w:r>
              <w:rPr>
                <w:rFonts w:eastAsia="新宋体" w:cs="Times New Roman"/>
                <w:snapToGrid w:val="0"/>
                <w:sz w:val="21"/>
                <w:szCs w:val="21"/>
              </w:rPr>
              <w:fldChar w:fldCharType="begin"/>
            </w:r>
            <w:r>
              <w:rPr>
                <w:rFonts w:eastAsia="新宋体" w:cs="Times New Roman"/>
                <w:snapToGrid w:val="0"/>
                <w:sz w:val="21"/>
                <w:szCs w:val="21"/>
              </w:rPr>
              <w:instrText xml:space="preserve"> = 4 \* GB3 \* MERGEFORMAT </w:instrText>
            </w:r>
            <w:r>
              <w:rPr>
                <w:rFonts w:eastAsia="新宋体" w:cs="Times New Roman"/>
                <w:snapToGrid w:val="0"/>
                <w:sz w:val="21"/>
                <w:szCs w:val="21"/>
              </w:rPr>
              <w:fldChar w:fldCharType="separate"/>
            </w:r>
            <w:r>
              <w:rPr>
                <w:rFonts w:hint="eastAsia" w:ascii="宋体" w:hAnsi="宋体"/>
                <w:sz w:val="21"/>
                <w:szCs w:val="21"/>
              </w:rPr>
              <w:t>④</w:t>
            </w:r>
            <w:r>
              <w:rPr>
                <w:rFonts w:eastAsia="新宋体" w:cs="Times New Roman"/>
                <w:snapToGrid w:val="0"/>
                <w:sz w:val="21"/>
                <w:szCs w:val="21"/>
              </w:rPr>
              <w:fldChar w:fldCharType="end"/>
            </w:r>
          </w:p>
        </w:tc>
        <w:tc>
          <w:tcPr>
            <w:tcW w:w="623"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pacing w:val="-16"/>
                <w:sz w:val="21"/>
                <w:szCs w:val="21"/>
              </w:rPr>
            </w:pPr>
            <w:r>
              <w:rPr>
                <w:rFonts w:eastAsia="新宋体" w:cs="Times New Roman"/>
                <w:snapToGrid w:val="0"/>
                <w:spacing w:val="-16"/>
                <w:sz w:val="21"/>
                <w:szCs w:val="21"/>
              </w:rPr>
              <w:t>以新带老削减量</w:t>
            </w:r>
          </w:p>
          <w:p>
            <w:pPr>
              <w:widowControl/>
              <w:adjustRightInd w:val="0"/>
              <w:snapToGrid w:val="0"/>
              <w:spacing w:before="24" w:beforeLines="10" w:after="24" w:afterLines="10"/>
              <w:jc w:val="center"/>
              <w:rPr>
                <w:rFonts w:eastAsia="新宋体" w:cs="Times New Roman"/>
                <w:snapToGrid w:val="0"/>
                <w:spacing w:val="-16"/>
                <w:sz w:val="21"/>
                <w:szCs w:val="21"/>
              </w:rPr>
            </w:pPr>
            <w:r>
              <w:rPr>
                <w:rFonts w:eastAsia="新宋体" w:cs="Times New Roman"/>
                <w:snapToGrid w:val="0"/>
                <w:spacing w:val="-16"/>
                <w:sz w:val="21"/>
                <w:szCs w:val="21"/>
              </w:rPr>
              <w:t>（新建项目不填）</w:t>
            </w:r>
            <w:r>
              <w:rPr>
                <w:rFonts w:eastAsia="新宋体" w:cs="Times New Roman"/>
                <w:snapToGrid w:val="0"/>
                <w:spacing w:val="-16"/>
                <w:sz w:val="21"/>
                <w:szCs w:val="21"/>
              </w:rPr>
              <w:fldChar w:fldCharType="begin"/>
            </w:r>
            <w:r>
              <w:rPr>
                <w:rFonts w:eastAsia="新宋体" w:cs="Times New Roman"/>
                <w:snapToGrid w:val="0"/>
                <w:spacing w:val="-16"/>
                <w:sz w:val="21"/>
                <w:szCs w:val="21"/>
              </w:rPr>
              <w:instrText xml:space="preserve"> = 5 \* GB3 \* MERGEFORMAT </w:instrText>
            </w:r>
            <w:r>
              <w:rPr>
                <w:rFonts w:eastAsia="新宋体" w:cs="Times New Roman"/>
                <w:snapToGrid w:val="0"/>
                <w:spacing w:val="-16"/>
                <w:sz w:val="21"/>
                <w:szCs w:val="21"/>
              </w:rPr>
              <w:fldChar w:fldCharType="separate"/>
            </w:r>
            <w:r>
              <w:rPr>
                <w:rFonts w:hint="eastAsia" w:ascii="宋体" w:hAnsi="宋体"/>
                <w:sz w:val="21"/>
                <w:szCs w:val="21"/>
              </w:rPr>
              <w:t>⑤</w:t>
            </w:r>
            <w:r>
              <w:rPr>
                <w:rFonts w:eastAsia="新宋体" w:cs="Times New Roman"/>
                <w:snapToGrid w:val="0"/>
                <w:spacing w:val="-16"/>
                <w:sz w:val="21"/>
                <w:szCs w:val="21"/>
              </w:rPr>
              <w:fldChar w:fldCharType="end"/>
            </w:r>
          </w:p>
        </w:tc>
        <w:tc>
          <w:tcPr>
            <w:tcW w:w="620"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pacing w:val="-16"/>
                <w:sz w:val="21"/>
                <w:szCs w:val="21"/>
              </w:rPr>
            </w:pPr>
            <w:r>
              <w:rPr>
                <w:rFonts w:eastAsia="新宋体" w:cs="Times New Roman"/>
                <w:snapToGrid w:val="0"/>
                <w:spacing w:val="-16"/>
                <w:sz w:val="21"/>
                <w:szCs w:val="21"/>
              </w:rPr>
              <w:t>本项目建成后全厂排放量（固体废物产生量）</w:t>
            </w:r>
            <w:r>
              <w:rPr>
                <w:rFonts w:eastAsia="新宋体" w:cs="Times New Roman"/>
                <w:snapToGrid w:val="0"/>
                <w:spacing w:val="-16"/>
                <w:sz w:val="21"/>
                <w:szCs w:val="21"/>
              </w:rPr>
              <w:fldChar w:fldCharType="begin"/>
            </w:r>
            <w:r>
              <w:rPr>
                <w:rFonts w:eastAsia="新宋体" w:cs="Times New Roman"/>
                <w:snapToGrid w:val="0"/>
                <w:spacing w:val="-16"/>
                <w:sz w:val="21"/>
                <w:szCs w:val="21"/>
              </w:rPr>
              <w:instrText xml:space="preserve"> = 6 \* GB3 \* MERGEFORMAT </w:instrText>
            </w:r>
            <w:r>
              <w:rPr>
                <w:rFonts w:eastAsia="新宋体" w:cs="Times New Roman"/>
                <w:snapToGrid w:val="0"/>
                <w:spacing w:val="-16"/>
                <w:sz w:val="21"/>
                <w:szCs w:val="21"/>
              </w:rPr>
              <w:fldChar w:fldCharType="separate"/>
            </w:r>
            <w:r>
              <w:rPr>
                <w:rFonts w:hint="eastAsia" w:ascii="宋体" w:hAnsi="宋体"/>
                <w:sz w:val="21"/>
                <w:szCs w:val="21"/>
              </w:rPr>
              <w:t>⑥</w:t>
            </w:r>
            <w:r>
              <w:rPr>
                <w:rFonts w:eastAsia="新宋体" w:cs="Times New Roman"/>
                <w:snapToGrid w:val="0"/>
                <w:spacing w:val="-16"/>
                <w:sz w:val="21"/>
                <w:szCs w:val="21"/>
              </w:rPr>
              <w:fldChar w:fldCharType="end"/>
            </w:r>
          </w:p>
        </w:tc>
        <w:tc>
          <w:tcPr>
            <w:tcW w:w="503" w:type="pct"/>
            <w:tcBorders>
              <w:top w:val="single" w:color="auto" w:sz="4" w:space="0"/>
            </w:tcBorders>
            <w:tcMar>
              <w:left w:w="28" w:type="dxa"/>
              <w:right w:w="28" w:type="dxa"/>
            </w:tcMar>
            <w:vAlign w:val="center"/>
          </w:tcPr>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t>变化量</w:t>
            </w:r>
          </w:p>
          <w:p>
            <w:pPr>
              <w:widowControl/>
              <w:adjustRightInd w:val="0"/>
              <w:snapToGrid w:val="0"/>
              <w:spacing w:before="24" w:beforeLines="10" w:after="24" w:afterLines="10"/>
              <w:jc w:val="center"/>
              <w:rPr>
                <w:rFonts w:eastAsia="新宋体" w:cs="Times New Roman"/>
                <w:snapToGrid w:val="0"/>
                <w:sz w:val="21"/>
                <w:szCs w:val="21"/>
              </w:rPr>
            </w:pPr>
            <w:r>
              <w:rPr>
                <w:rFonts w:eastAsia="新宋体" w:cs="Times New Roman"/>
                <w:snapToGrid w:val="0"/>
                <w:sz w:val="21"/>
                <w:szCs w:val="21"/>
              </w:rPr>
              <w:fldChar w:fldCharType="begin"/>
            </w:r>
            <w:r>
              <w:rPr>
                <w:rFonts w:eastAsia="新宋体" w:cs="Times New Roman"/>
                <w:snapToGrid w:val="0"/>
                <w:sz w:val="21"/>
                <w:szCs w:val="21"/>
              </w:rPr>
              <w:instrText xml:space="preserve"> = 7 \* GB3 \* MERGEFORMAT </w:instrText>
            </w:r>
            <w:r>
              <w:rPr>
                <w:rFonts w:eastAsia="新宋体" w:cs="Times New Roman"/>
                <w:snapToGrid w:val="0"/>
                <w:sz w:val="21"/>
                <w:szCs w:val="21"/>
              </w:rPr>
              <w:fldChar w:fldCharType="separate"/>
            </w:r>
            <w:r>
              <w:rPr>
                <w:rFonts w:hint="eastAsia" w:ascii="宋体" w:hAnsi="宋体"/>
                <w:sz w:val="21"/>
                <w:szCs w:val="21"/>
              </w:rPr>
              <w:t>⑦</w:t>
            </w:r>
            <w:r>
              <w:rPr>
                <w:rFonts w:eastAsia="新宋体" w:cs="Times New Roman"/>
                <w:snapToGrid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91"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废气</w:t>
            </w:r>
          </w:p>
        </w:tc>
        <w:tc>
          <w:tcPr>
            <w:tcW w:w="5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颗粒物</w:t>
            </w:r>
          </w:p>
        </w:tc>
        <w:tc>
          <w:tcPr>
            <w:tcW w:w="678"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napToGrid w:val="0"/>
                <w:color w:val="000000"/>
                <w:sz w:val="21"/>
                <w:szCs w:val="21"/>
              </w:rPr>
            </w:pPr>
            <w:r>
              <w:rPr>
                <w:rFonts w:eastAsia="新宋体" w:cs="Times New Roman"/>
                <w:snapToGrid w:val="0"/>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5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hint="eastAsia" w:eastAsia="新宋体" w:cs="Times New Roman"/>
                <w:snapToGrid w:val="0"/>
                <w:sz w:val="21"/>
                <w:szCs w:val="21"/>
              </w:rPr>
              <w:t>1.574（有组织0</w:t>
            </w:r>
            <w:r>
              <w:rPr>
                <w:rFonts w:eastAsia="新宋体" w:cs="Times New Roman"/>
                <w:snapToGrid w:val="0"/>
                <w:sz w:val="21"/>
                <w:szCs w:val="21"/>
              </w:rPr>
              <w:t>.</w:t>
            </w:r>
            <w:r>
              <w:rPr>
                <w:rFonts w:hint="eastAsia" w:eastAsia="新宋体" w:cs="Times New Roman"/>
                <w:snapToGrid w:val="0"/>
                <w:sz w:val="21"/>
                <w:szCs w:val="21"/>
              </w:rPr>
              <w:t>453，无组织</w:t>
            </w:r>
            <w:r>
              <w:rPr>
                <w:rFonts w:eastAsia="新宋体" w:cs="Times New Roman"/>
                <w:snapToGrid w:val="0"/>
                <w:sz w:val="21"/>
                <w:szCs w:val="21"/>
              </w:rPr>
              <w:t>1.121</w:t>
            </w:r>
            <w:r>
              <w:rPr>
                <w:rFonts w:hint="eastAsia" w:eastAsia="新宋体" w:cs="Times New Roman"/>
                <w:snapToGrid w:val="0"/>
                <w:sz w:val="21"/>
                <w:szCs w:val="21"/>
              </w:rPr>
              <w:t>）</w:t>
            </w:r>
          </w:p>
        </w:tc>
        <w:tc>
          <w:tcPr>
            <w:tcW w:w="623" w:type="pct"/>
            <w:vAlign w:val="center"/>
          </w:tcPr>
          <w:p>
            <w:pPr>
              <w:widowControl/>
              <w:adjustRightInd w:val="0"/>
              <w:snapToGrid w:val="0"/>
              <w:spacing w:before="72" w:beforeLines="30" w:after="72" w:afterLines="30"/>
              <w:jc w:val="center"/>
              <w:rPr>
                <w:rFonts w:eastAsia="新宋体" w:cs="Times New Roman"/>
                <w:snapToGrid w:val="0"/>
                <w:color w:val="000000"/>
                <w:sz w:val="21"/>
                <w:szCs w:val="21"/>
              </w:rPr>
            </w:pPr>
            <w:r>
              <w:rPr>
                <w:rFonts w:eastAsia="新宋体" w:cs="Times New Roman"/>
                <w:snapToGrid w:val="0"/>
                <w:sz w:val="21"/>
                <w:szCs w:val="21"/>
              </w:rPr>
              <w:t>/</w:t>
            </w:r>
          </w:p>
        </w:tc>
        <w:tc>
          <w:tcPr>
            <w:tcW w:w="620" w:type="pct"/>
            <w:shd w:val="clear" w:color="auto" w:fill="auto"/>
            <w:vAlign w:val="center"/>
          </w:tcPr>
          <w:p>
            <w:pPr>
              <w:widowControl/>
              <w:adjustRightInd w:val="0"/>
              <w:snapToGrid w:val="0"/>
              <w:spacing w:before="72" w:beforeLines="30" w:after="72" w:afterLines="30"/>
              <w:jc w:val="center"/>
              <w:rPr>
                <w:rFonts w:eastAsia="新宋体" w:cs="Times New Roman"/>
                <w:snapToGrid w:val="0"/>
                <w:color w:val="000000"/>
                <w:sz w:val="21"/>
                <w:szCs w:val="21"/>
              </w:rPr>
            </w:pPr>
            <w:r>
              <w:rPr>
                <w:rFonts w:hint="eastAsia" w:eastAsia="新宋体" w:cs="Times New Roman"/>
                <w:snapToGrid w:val="0"/>
                <w:sz w:val="21"/>
                <w:szCs w:val="21"/>
              </w:rPr>
              <w:t>1.574</w:t>
            </w:r>
          </w:p>
        </w:tc>
        <w:tc>
          <w:tcPr>
            <w:tcW w:w="503" w:type="pct"/>
            <w:shd w:val="clear" w:color="auto" w:fill="auto"/>
            <w:vAlign w:val="center"/>
          </w:tcPr>
          <w:p>
            <w:pPr>
              <w:widowControl/>
              <w:adjustRightInd w:val="0"/>
              <w:snapToGrid w:val="0"/>
              <w:spacing w:before="72" w:beforeLines="30" w:after="72" w:afterLines="30"/>
              <w:jc w:val="center"/>
              <w:rPr>
                <w:rFonts w:eastAsia="新宋体" w:cs="Times New Roman"/>
                <w:snapToGrid w:val="0"/>
                <w:color w:val="000000"/>
                <w:sz w:val="21"/>
                <w:szCs w:val="21"/>
              </w:rPr>
            </w:pPr>
            <w:r>
              <w:rPr>
                <w:rFonts w:eastAsia="新宋体" w:cs="Times New Roman"/>
                <w:snapToGrid w:val="0"/>
                <w:sz w:val="21"/>
                <w:szCs w:val="21"/>
              </w:rPr>
              <w:t>+</w:t>
            </w:r>
            <w:r>
              <w:rPr>
                <w:rFonts w:hint="eastAsia" w:eastAsia="新宋体" w:cs="Times New Roman"/>
                <w:snapToGrid w:val="0"/>
                <w:sz w:val="21"/>
                <w:szCs w:val="21"/>
              </w:rPr>
              <w:t>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91"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废水</w:t>
            </w:r>
          </w:p>
        </w:tc>
        <w:tc>
          <w:tcPr>
            <w:tcW w:w="588"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无废水排放</w:t>
            </w:r>
          </w:p>
        </w:tc>
        <w:tc>
          <w:tcPr>
            <w:tcW w:w="678"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549"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23"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20"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503"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restart"/>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eastAsia="新宋体" w:cs="Times New Roman"/>
                <w:snapToGrid w:val="0"/>
                <w:color w:val="000000"/>
                <w:kern w:val="21"/>
                <w:sz w:val="21"/>
                <w:szCs w:val="21"/>
              </w:rPr>
              <w:t>一般固体废物</w:t>
            </w:r>
          </w:p>
        </w:tc>
        <w:tc>
          <w:tcPr>
            <w:tcW w:w="588" w:type="pct"/>
            <w:shd w:val="clear" w:color="auto" w:fill="FFFFFF"/>
            <w:vAlign w:val="center"/>
          </w:tcPr>
          <w:p>
            <w:pPr>
              <w:widowControl/>
              <w:adjustRightInd w:val="0"/>
              <w:snapToGrid w:val="0"/>
              <w:spacing w:before="72" w:beforeLines="30" w:after="72" w:afterLines="30"/>
              <w:jc w:val="center"/>
              <w:rPr>
                <w:rFonts w:eastAsia="新宋体" w:cs="Times New Roman"/>
                <w:color w:val="000000"/>
                <w:sz w:val="21"/>
                <w:szCs w:val="21"/>
              </w:rPr>
            </w:pPr>
            <w:r>
              <w:rPr>
                <w:rFonts w:eastAsia="新宋体" w:cs="Times New Roman"/>
                <w:sz w:val="21"/>
                <w:szCs w:val="21"/>
              </w:rPr>
              <w:t>除尘器回收粉尘</w:t>
            </w:r>
          </w:p>
        </w:tc>
        <w:tc>
          <w:tcPr>
            <w:tcW w:w="678" w:type="pct"/>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eastAsia="新宋体" w:cs="Times New Roman"/>
                <w:snapToGrid w:val="0"/>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eastAsia="新宋体" w:cs="Times New Roman"/>
                <w:snapToGrid w:val="0"/>
                <w:sz w:val="21"/>
                <w:szCs w:val="21"/>
              </w:rPr>
              <w:t>/</w:t>
            </w:r>
          </w:p>
        </w:tc>
        <w:tc>
          <w:tcPr>
            <w:tcW w:w="549" w:type="pct"/>
            <w:shd w:val="clear" w:color="auto" w:fill="FFFFFF"/>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hint="eastAsia" w:eastAsia="新宋体" w:cs="Times New Roman"/>
                <w:snapToGrid w:val="0"/>
                <w:color w:val="000000"/>
                <w:kern w:val="21"/>
                <w:sz w:val="21"/>
                <w:szCs w:val="21"/>
              </w:rPr>
              <w:t>104.31</w:t>
            </w:r>
          </w:p>
        </w:tc>
        <w:tc>
          <w:tcPr>
            <w:tcW w:w="623" w:type="pct"/>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eastAsia="新宋体" w:cs="Times New Roman"/>
                <w:snapToGrid w:val="0"/>
                <w:sz w:val="21"/>
                <w:szCs w:val="21"/>
              </w:rPr>
              <w:t>/</w:t>
            </w:r>
          </w:p>
        </w:tc>
        <w:tc>
          <w:tcPr>
            <w:tcW w:w="620" w:type="pct"/>
            <w:shd w:val="clear" w:color="auto" w:fill="FFFFFF"/>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hint="eastAsia" w:eastAsia="新宋体" w:cs="Times New Roman"/>
                <w:snapToGrid w:val="0"/>
                <w:color w:val="000000"/>
                <w:kern w:val="21"/>
                <w:sz w:val="21"/>
                <w:szCs w:val="21"/>
              </w:rPr>
              <w:t>104.31</w:t>
            </w:r>
          </w:p>
        </w:tc>
        <w:tc>
          <w:tcPr>
            <w:tcW w:w="503" w:type="pct"/>
            <w:shd w:val="clear" w:color="auto" w:fill="FFFFFF"/>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eastAsia="新宋体" w:cs="Times New Roman"/>
                <w:snapToGrid w:val="0"/>
                <w:color w:val="000000"/>
                <w:kern w:val="21"/>
                <w:sz w:val="21"/>
                <w:szCs w:val="21"/>
              </w:rPr>
              <w:t>+</w:t>
            </w:r>
            <w:r>
              <w:rPr>
                <w:rFonts w:hint="eastAsia" w:eastAsia="新宋体" w:cs="Times New Roman"/>
                <w:snapToGrid w:val="0"/>
                <w:color w:val="000000"/>
                <w:kern w:val="21"/>
                <w:sz w:val="21"/>
                <w:szCs w:val="21"/>
              </w:rPr>
              <w:t>104.31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91" w:type="pct"/>
            <w:vMerge w:val="continue"/>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p>
        </w:tc>
        <w:tc>
          <w:tcPr>
            <w:tcW w:w="588"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地面沉降粉尘</w:t>
            </w:r>
          </w:p>
        </w:tc>
        <w:tc>
          <w:tcPr>
            <w:tcW w:w="678"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549"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2.32</w:t>
            </w:r>
          </w:p>
        </w:tc>
        <w:tc>
          <w:tcPr>
            <w:tcW w:w="623"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620"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2.32</w:t>
            </w:r>
          </w:p>
        </w:tc>
        <w:tc>
          <w:tcPr>
            <w:tcW w:w="503"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p>
        </w:tc>
        <w:tc>
          <w:tcPr>
            <w:tcW w:w="588"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砂石分离机回收的砂石料</w:t>
            </w:r>
          </w:p>
        </w:tc>
        <w:tc>
          <w:tcPr>
            <w:tcW w:w="678"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549"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50</w:t>
            </w:r>
          </w:p>
        </w:tc>
        <w:tc>
          <w:tcPr>
            <w:tcW w:w="623"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20"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50</w:t>
            </w:r>
          </w:p>
        </w:tc>
        <w:tc>
          <w:tcPr>
            <w:tcW w:w="503"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91" w:type="pct"/>
            <w:vMerge w:val="continue"/>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p>
        </w:tc>
        <w:tc>
          <w:tcPr>
            <w:tcW w:w="588"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沉淀池沉渣</w:t>
            </w:r>
          </w:p>
        </w:tc>
        <w:tc>
          <w:tcPr>
            <w:tcW w:w="678"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549"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10</w:t>
            </w:r>
          </w:p>
        </w:tc>
        <w:tc>
          <w:tcPr>
            <w:tcW w:w="623" w:type="pct"/>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sz w:val="21"/>
                <w:szCs w:val="21"/>
              </w:rPr>
              <w:t>/</w:t>
            </w:r>
          </w:p>
        </w:tc>
        <w:tc>
          <w:tcPr>
            <w:tcW w:w="620"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10</w:t>
            </w:r>
          </w:p>
        </w:tc>
        <w:tc>
          <w:tcPr>
            <w:tcW w:w="503"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vMerge w:val="continue"/>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p>
        </w:tc>
        <w:tc>
          <w:tcPr>
            <w:tcW w:w="588"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color w:val="000000"/>
                <w:sz w:val="21"/>
                <w:szCs w:val="21"/>
              </w:rPr>
              <w:t>生活垃圾</w:t>
            </w:r>
          </w:p>
        </w:tc>
        <w:tc>
          <w:tcPr>
            <w:tcW w:w="678"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447"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01"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549" w:type="pct"/>
            <w:shd w:val="clear" w:color="auto" w:fill="FFFFFF"/>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2</w:t>
            </w:r>
          </w:p>
        </w:tc>
        <w:tc>
          <w:tcPr>
            <w:tcW w:w="623" w:type="pct"/>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20" w:type="pct"/>
            <w:shd w:val="clear" w:color="auto" w:fill="FFFFFF"/>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hint="eastAsia" w:eastAsia="新宋体" w:cs="Times New Roman"/>
                <w:snapToGrid w:val="0"/>
                <w:sz w:val="21"/>
                <w:szCs w:val="21"/>
              </w:rPr>
              <w:t>3</w:t>
            </w:r>
          </w:p>
        </w:tc>
        <w:tc>
          <w:tcPr>
            <w:tcW w:w="503" w:type="pct"/>
            <w:shd w:val="clear" w:color="auto" w:fill="FFFFFF"/>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91" w:type="pct"/>
            <w:vMerge w:val="restart"/>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r>
              <w:rPr>
                <w:rFonts w:eastAsia="新宋体" w:cs="Times New Roman"/>
                <w:snapToGrid w:val="0"/>
                <w:color w:val="000000"/>
                <w:kern w:val="21"/>
                <w:sz w:val="21"/>
                <w:szCs w:val="21"/>
              </w:rPr>
              <w:t>危险废物</w:t>
            </w:r>
          </w:p>
        </w:tc>
        <w:tc>
          <w:tcPr>
            <w:tcW w:w="588" w:type="pct"/>
            <w:shd w:val="clear" w:color="auto" w:fill="FFFFFF"/>
            <w:vAlign w:val="center"/>
          </w:tcPr>
          <w:p>
            <w:pPr>
              <w:widowControl/>
              <w:adjustRightInd w:val="0"/>
              <w:snapToGrid w:val="0"/>
              <w:spacing w:before="72" w:beforeLines="30" w:after="72" w:afterLines="30"/>
              <w:jc w:val="center"/>
              <w:rPr>
                <w:rFonts w:eastAsia="新宋体" w:cs="Times New Roman"/>
                <w:color w:val="000000"/>
                <w:sz w:val="21"/>
                <w:szCs w:val="21"/>
              </w:rPr>
            </w:pPr>
            <w:r>
              <w:rPr>
                <w:rFonts w:eastAsia="新宋体" w:cs="Times New Roman"/>
                <w:color w:val="000000"/>
                <w:sz w:val="21"/>
                <w:szCs w:val="21"/>
              </w:rPr>
              <w:t>废机油</w:t>
            </w:r>
          </w:p>
        </w:tc>
        <w:tc>
          <w:tcPr>
            <w:tcW w:w="678"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color w:val="000000"/>
                <w:kern w:val="21"/>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color w:val="000000"/>
                <w:kern w:val="21"/>
                <w:sz w:val="21"/>
                <w:szCs w:val="21"/>
              </w:rPr>
              <w:t>/</w:t>
            </w:r>
          </w:p>
        </w:tc>
        <w:tc>
          <w:tcPr>
            <w:tcW w:w="549"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color w:val="000000"/>
                <w:kern w:val="21"/>
                <w:sz w:val="21"/>
                <w:szCs w:val="21"/>
              </w:rPr>
              <w:t>0.1</w:t>
            </w:r>
          </w:p>
        </w:tc>
        <w:tc>
          <w:tcPr>
            <w:tcW w:w="623"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20"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color w:val="000000"/>
                <w:kern w:val="21"/>
                <w:sz w:val="21"/>
                <w:szCs w:val="21"/>
              </w:rPr>
              <w:t>0.1</w:t>
            </w:r>
          </w:p>
        </w:tc>
        <w:tc>
          <w:tcPr>
            <w:tcW w:w="503" w:type="pct"/>
            <w:shd w:val="clear" w:color="auto" w:fill="FFFFFF"/>
            <w:vAlign w:val="center"/>
          </w:tcPr>
          <w:p>
            <w:pPr>
              <w:widowControl/>
              <w:adjustRightInd w:val="0"/>
              <w:snapToGrid w:val="0"/>
              <w:spacing w:before="72" w:beforeLines="30" w:after="72" w:afterLines="30"/>
              <w:jc w:val="center"/>
              <w:rPr>
                <w:rFonts w:eastAsia="新宋体" w:cs="Times New Roman"/>
                <w:sz w:val="21"/>
                <w:szCs w:val="21"/>
              </w:rPr>
            </w:pPr>
            <w:r>
              <w:rPr>
                <w:rFonts w:eastAsia="新宋体" w:cs="Times New Roman"/>
                <w:snapToGrid w:val="0"/>
                <w:color w:val="000000"/>
                <w:kern w:val="21"/>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1" w:type="pct"/>
            <w:vMerge w:val="continue"/>
            <w:vAlign w:val="center"/>
          </w:tcPr>
          <w:p>
            <w:pPr>
              <w:widowControl/>
              <w:adjustRightInd w:val="0"/>
              <w:snapToGrid w:val="0"/>
              <w:spacing w:before="72" w:beforeLines="30" w:after="72" w:afterLines="30"/>
              <w:jc w:val="center"/>
              <w:rPr>
                <w:rFonts w:eastAsia="新宋体" w:cs="Times New Roman"/>
                <w:snapToGrid w:val="0"/>
                <w:color w:val="000000"/>
                <w:kern w:val="21"/>
                <w:sz w:val="21"/>
                <w:szCs w:val="21"/>
              </w:rPr>
            </w:pPr>
          </w:p>
        </w:tc>
        <w:tc>
          <w:tcPr>
            <w:tcW w:w="588" w:type="pct"/>
            <w:shd w:val="clear" w:color="auto" w:fill="FFFFFF"/>
            <w:vAlign w:val="center"/>
          </w:tcPr>
          <w:p>
            <w:pPr>
              <w:widowControl/>
              <w:adjustRightInd w:val="0"/>
              <w:snapToGrid w:val="0"/>
              <w:spacing w:before="72" w:beforeLines="30" w:after="72" w:afterLines="30"/>
              <w:jc w:val="center"/>
              <w:rPr>
                <w:rFonts w:eastAsia="新宋体" w:cs="Times New Roman"/>
                <w:color w:val="000000"/>
                <w:sz w:val="21"/>
                <w:szCs w:val="21"/>
              </w:rPr>
            </w:pPr>
            <w:r>
              <w:rPr>
                <w:rFonts w:eastAsia="新宋体" w:cs="Times New Roman"/>
                <w:color w:val="000000"/>
                <w:sz w:val="21"/>
                <w:szCs w:val="21"/>
              </w:rPr>
              <w:t>废机油桶</w:t>
            </w:r>
          </w:p>
        </w:tc>
        <w:tc>
          <w:tcPr>
            <w:tcW w:w="678"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447"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01"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549" w:type="pct"/>
            <w:shd w:val="clear" w:color="auto" w:fill="FFFFFF"/>
            <w:vAlign w:val="center"/>
          </w:tcPr>
          <w:p>
            <w:pPr>
              <w:widowControl/>
              <w:adjustRightInd w:val="0"/>
              <w:snapToGrid w:val="0"/>
              <w:spacing w:before="72" w:beforeLines="30" w:after="72" w:afterLines="30"/>
              <w:jc w:val="center"/>
              <w:rPr>
                <w:rFonts w:eastAsia="新宋体" w:cs="Times New Roman"/>
                <w:color w:val="000000"/>
                <w:sz w:val="21"/>
                <w:szCs w:val="21"/>
              </w:rPr>
            </w:pPr>
            <w:r>
              <w:rPr>
                <w:rFonts w:eastAsia="新宋体" w:cs="Times New Roman"/>
                <w:snapToGrid w:val="0"/>
                <w:color w:val="000000"/>
                <w:sz w:val="21"/>
                <w:szCs w:val="21"/>
              </w:rPr>
              <w:t>0.03</w:t>
            </w:r>
          </w:p>
        </w:tc>
        <w:tc>
          <w:tcPr>
            <w:tcW w:w="623" w:type="pct"/>
            <w:vAlign w:val="center"/>
          </w:tcPr>
          <w:p>
            <w:pPr>
              <w:widowControl/>
              <w:adjustRightInd w:val="0"/>
              <w:snapToGrid w:val="0"/>
              <w:spacing w:before="72" w:beforeLines="30" w:after="72" w:afterLines="30"/>
              <w:jc w:val="center"/>
              <w:rPr>
                <w:rFonts w:eastAsia="新宋体" w:cs="Times New Roman"/>
                <w:snapToGrid w:val="0"/>
                <w:sz w:val="21"/>
                <w:szCs w:val="21"/>
              </w:rPr>
            </w:pPr>
            <w:r>
              <w:rPr>
                <w:rFonts w:eastAsia="新宋体" w:cs="Times New Roman"/>
                <w:snapToGrid w:val="0"/>
                <w:sz w:val="21"/>
                <w:szCs w:val="21"/>
              </w:rPr>
              <w:t>/</w:t>
            </w:r>
          </w:p>
        </w:tc>
        <w:tc>
          <w:tcPr>
            <w:tcW w:w="620" w:type="pct"/>
            <w:shd w:val="clear" w:color="auto" w:fill="FFFFFF"/>
            <w:vAlign w:val="center"/>
          </w:tcPr>
          <w:p>
            <w:pPr>
              <w:widowControl/>
              <w:adjustRightInd w:val="0"/>
              <w:snapToGrid w:val="0"/>
              <w:spacing w:before="72" w:beforeLines="30" w:after="72" w:afterLines="30"/>
              <w:jc w:val="center"/>
              <w:rPr>
                <w:rFonts w:eastAsia="新宋体" w:cs="Times New Roman"/>
                <w:color w:val="000000"/>
                <w:sz w:val="21"/>
                <w:szCs w:val="21"/>
              </w:rPr>
            </w:pPr>
            <w:r>
              <w:rPr>
                <w:rFonts w:eastAsia="新宋体" w:cs="Times New Roman"/>
                <w:snapToGrid w:val="0"/>
                <w:color w:val="000000"/>
                <w:sz w:val="21"/>
                <w:szCs w:val="21"/>
              </w:rPr>
              <w:t>0.03</w:t>
            </w:r>
          </w:p>
        </w:tc>
        <w:tc>
          <w:tcPr>
            <w:tcW w:w="503" w:type="pct"/>
            <w:shd w:val="clear" w:color="auto" w:fill="FFFFFF"/>
            <w:vAlign w:val="center"/>
          </w:tcPr>
          <w:p>
            <w:pPr>
              <w:widowControl/>
              <w:adjustRightInd w:val="0"/>
              <w:snapToGrid w:val="0"/>
              <w:spacing w:before="72" w:beforeLines="30" w:after="72" w:afterLines="30"/>
              <w:jc w:val="center"/>
              <w:rPr>
                <w:rFonts w:eastAsia="新宋体" w:cs="Times New Roman"/>
                <w:color w:val="000000"/>
                <w:sz w:val="21"/>
                <w:szCs w:val="21"/>
              </w:rPr>
            </w:pPr>
            <w:r>
              <w:rPr>
                <w:rFonts w:eastAsia="新宋体" w:cs="Times New Roman"/>
                <w:snapToGrid w:val="0"/>
                <w:color w:val="000000"/>
                <w:sz w:val="21"/>
                <w:szCs w:val="21"/>
              </w:rPr>
              <w:t>+0.03</w:t>
            </w:r>
          </w:p>
        </w:tc>
      </w:tr>
    </w:tbl>
    <w:p>
      <w:pPr>
        <w:pStyle w:val="69"/>
        <w:ind w:left="48" w:right="48"/>
      </w:pPr>
      <w:r>
        <w:rPr>
          <w:rFonts w:hint="eastAsia"/>
          <w:snapToGrid w:val="0"/>
          <w:lang w:eastAsia="zh-CN"/>
        </w:rPr>
        <w:t>*</w:t>
      </w:r>
      <w:r>
        <w:rPr>
          <w:snapToGrid w:val="0"/>
        </w:rPr>
        <w:t>注：</w:t>
      </w:r>
      <w:r>
        <w:rPr>
          <w:snapToGrid w:val="0"/>
        </w:rPr>
        <w:fldChar w:fldCharType="begin"/>
      </w:r>
      <w:r>
        <w:rPr>
          <w:snapToGrid w:val="0"/>
        </w:rPr>
        <w:instrText xml:space="preserve"> = 6 \* GB3 \* MERGEFORMAT </w:instrText>
      </w:r>
      <w:r>
        <w:rPr>
          <w:snapToGrid w:val="0"/>
        </w:rPr>
        <w:fldChar w:fldCharType="separate"/>
      </w:r>
      <w:r>
        <w:rPr>
          <w:rFonts w:hint="eastAsia" w:ascii="宋体" w:hAnsi="宋体" w:eastAsia="宋体" w:cs="宋体"/>
        </w:rPr>
        <w:t>⑥</w:t>
      </w:r>
      <w:r>
        <w:rPr>
          <w:snapToGrid w:val="0"/>
        </w:rPr>
        <w:fldChar w:fldCharType="end"/>
      </w:r>
      <w:r>
        <w:rPr>
          <w:snapToGrid w:val="0"/>
        </w:rPr>
        <w:t>=</w:t>
      </w:r>
      <w:r>
        <w:rPr>
          <w:snapToGrid w:val="0"/>
        </w:rPr>
        <w:fldChar w:fldCharType="begin"/>
      </w:r>
      <w:r>
        <w:rPr>
          <w:snapToGrid w:val="0"/>
        </w:rPr>
        <w:instrText xml:space="preserve"> = 1 \* GB3 \* MERGEFORMAT </w:instrText>
      </w:r>
      <w:r>
        <w:rPr>
          <w:snapToGrid w:val="0"/>
        </w:rPr>
        <w:fldChar w:fldCharType="separate"/>
      </w:r>
      <w:r>
        <w:rPr>
          <w:rFonts w:hint="eastAsia" w:ascii="宋体" w:hAnsi="宋体" w:eastAsia="宋体" w:cs="宋体"/>
        </w:rPr>
        <w:t>①</w:t>
      </w:r>
      <w:r>
        <w:rPr>
          <w:snapToGrid w:val="0"/>
        </w:rPr>
        <w:fldChar w:fldCharType="end"/>
      </w:r>
      <w:r>
        <w:rPr>
          <w:snapToGrid w:val="0"/>
        </w:rPr>
        <w:t>+</w:t>
      </w:r>
      <w:r>
        <w:rPr>
          <w:snapToGrid w:val="0"/>
        </w:rPr>
        <w:fldChar w:fldCharType="begin"/>
      </w:r>
      <w:r>
        <w:rPr>
          <w:snapToGrid w:val="0"/>
        </w:rPr>
        <w:instrText xml:space="preserve"> = 3 \* GB3 \* MERGEFORMAT </w:instrText>
      </w:r>
      <w:r>
        <w:rPr>
          <w:snapToGrid w:val="0"/>
        </w:rPr>
        <w:fldChar w:fldCharType="separate"/>
      </w:r>
      <w:r>
        <w:rPr>
          <w:rFonts w:hint="eastAsia" w:ascii="宋体" w:hAnsi="宋体" w:eastAsia="宋体" w:cs="宋体"/>
        </w:rPr>
        <w:t>③</w:t>
      </w:r>
      <w:r>
        <w:rPr>
          <w:snapToGrid w:val="0"/>
        </w:rPr>
        <w:fldChar w:fldCharType="end"/>
      </w:r>
      <w:r>
        <w:rPr>
          <w:snapToGrid w:val="0"/>
        </w:rPr>
        <w:t>+</w:t>
      </w:r>
      <w:r>
        <w:rPr>
          <w:snapToGrid w:val="0"/>
        </w:rPr>
        <w:fldChar w:fldCharType="begin"/>
      </w:r>
      <w:r>
        <w:rPr>
          <w:snapToGrid w:val="0"/>
        </w:rPr>
        <w:instrText xml:space="preserve"> = 4 \* GB3 \* MERGEFORMAT </w:instrText>
      </w:r>
      <w:r>
        <w:rPr>
          <w:snapToGrid w:val="0"/>
        </w:rPr>
        <w:fldChar w:fldCharType="separate"/>
      </w:r>
      <w:r>
        <w:rPr>
          <w:rFonts w:hint="eastAsia" w:ascii="宋体" w:hAnsi="宋体" w:eastAsia="宋体" w:cs="宋体"/>
        </w:rPr>
        <w:t>④</w:t>
      </w:r>
      <w:r>
        <w:rPr>
          <w:snapToGrid w:val="0"/>
        </w:rPr>
        <w:fldChar w:fldCharType="end"/>
      </w:r>
      <w:r>
        <w:rPr>
          <w:snapToGrid w:val="0"/>
        </w:rPr>
        <w:t>-</w:t>
      </w:r>
      <w:r>
        <w:rPr>
          <w:snapToGrid w:val="0"/>
        </w:rPr>
        <w:fldChar w:fldCharType="begin"/>
      </w:r>
      <w:r>
        <w:rPr>
          <w:snapToGrid w:val="0"/>
        </w:rPr>
        <w:instrText xml:space="preserve"> = 5 \* GB3 \* MERGEFORMAT </w:instrText>
      </w:r>
      <w:r>
        <w:rPr>
          <w:snapToGrid w:val="0"/>
        </w:rPr>
        <w:fldChar w:fldCharType="separate"/>
      </w:r>
      <w:r>
        <w:rPr>
          <w:rFonts w:hint="eastAsia" w:ascii="宋体" w:hAnsi="宋体" w:eastAsia="宋体" w:cs="宋体"/>
        </w:rPr>
        <w:t>⑤</w:t>
      </w:r>
      <w:r>
        <w:rPr>
          <w:snapToGrid w:val="0"/>
        </w:rPr>
        <w:fldChar w:fldCharType="end"/>
      </w:r>
      <w:r>
        <w:rPr>
          <w:snapToGrid w:val="0"/>
        </w:rPr>
        <w:t>；</w:t>
      </w:r>
      <w:r>
        <w:rPr>
          <w:snapToGrid w:val="0"/>
        </w:rPr>
        <w:fldChar w:fldCharType="begin"/>
      </w:r>
      <w:r>
        <w:rPr>
          <w:snapToGrid w:val="0"/>
        </w:rPr>
        <w:instrText xml:space="preserve"> = 7 \* GB3 \* MERGEFORMAT </w:instrText>
      </w:r>
      <w:r>
        <w:rPr>
          <w:snapToGrid w:val="0"/>
        </w:rPr>
        <w:fldChar w:fldCharType="separate"/>
      </w:r>
      <w:r>
        <w:rPr>
          <w:rFonts w:hint="eastAsia" w:ascii="宋体" w:hAnsi="宋体" w:eastAsia="宋体" w:cs="宋体"/>
        </w:rPr>
        <w:t>⑦</w:t>
      </w:r>
      <w:r>
        <w:rPr>
          <w:snapToGrid w:val="0"/>
        </w:rPr>
        <w:fldChar w:fldCharType="end"/>
      </w:r>
      <w:r>
        <w:rPr>
          <w:snapToGrid w:val="0"/>
        </w:rPr>
        <w:t>=</w:t>
      </w:r>
      <w:r>
        <w:rPr>
          <w:snapToGrid w:val="0"/>
        </w:rPr>
        <w:fldChar w:fldCharType="begin"/>
      </w:r>
      <w:r>
        <w:rPr>
          <w:snapToGrid w:val="0"/>
        </w:rPr>
        <w:instrText xml:space="preserve"> = 6 \* GB3 \* MERGEFORMAT </w:instrText>
      </w:r>
      <w:r>
        <w:rPr>
          <w:snapToGrid w:val="0"/>
        </w:rPr>
        <w:fldChar w:fldCharType="separate"/>
      </w:r>
      <w:r>
        <w:rPr>
          <w:rFonts w:hint="eastAsia" w:ascii="宋体" w:hAnsi="宋体" w:eastAsia="宋体" w:cs="宋体"/>
        </w:rPr>
        <w:t>⑥</w:t>
      </w:r>
      <w:r>
        <w:rPr>
          <w:snapToGrid w:val="0"/>
        </w:rPr>
        <w:fldChar w:fldCharType="end"/>
      </w:r>
      <w:r>
        <w:rPr>
          <w:snapToGrid w:val="0"/>
        </w:rPr>
        <w:t>-</w:t>
      </w:r>
      <w:r>
        <w:rPr>
          <w:snapToGrid w:val="0"/>
        </w:rPr>
        <w:fldChar w:fldCharType="begin"/>
      </w:r>
      <w:r>
        <w:rPr>
          <w:snapToGrid w:val="0"/>
        </w:rPr>
        <w:instrText xml:space="preserve"> = 1 \* GB3 \* MERGEFORMAT </w:instrText>
      </w:r>
      <w:r>
        <w:rPr>
          <w:snapToGrid w:val="0"/>
        </w:rPr>
        <w:fldChar w:fldCharType="separate"/>
      </w:r>
      <w:r>
        <w:rPr>
          <w:rFonts w:hint="eastAsia" w:ascii="宋体" w:hAnsi="宋体" w:eastAsia="宋体" w:cs="宋体"/>
        </w:rPr>
        <w:t>①</w:t>
      </w:r>
      <w:r>
        <w:rPr>
          <w:snapToGrid w:val="0"/>
        </w:rPr>
        <w:fldChar w:fldCharType="end"/>
      </w:r>
    </w:p>
    <w:sectPr>
      <w:footerReference r:id="rId4" w:type="default"/>
      <w:pgSz w:w="16838" w:h="11906" w:orient="landscape"/>
      <w:pgMar w:top="1247" w:right="1418" w:bottom="1247" w:left="1418" w:header="851" w:footer="45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imesNewRomanPSMT">
    <w:altName w:val="宋体"/>
    <w:panose1 w:val="00000000000000000000"/>
    <w:charset w:val="00"/>
    <w:family w:val="roman"/>
    <w:pitch w:val="default"/>
    <w:sig w:usb0="00000000" w:usb1="00000000" w:usb2="00000010" w:usb3="00000000" w:csb0="00060001" w:csb1="00000000"/>
  </w:font>
  <w:font w:name="Arial Unicode MS">
    <w:altName w:val="宋体"/>
    <w:panose1 w:val="020B0604020202020204"/>
    <w:charset w:val="86"/>
    <w:family w:val="swiss"/>
    <w:pitch w:val="default"/>
    <w:sig w:usb0="00000000" w:usb1="00000000" w:usb2="0000007F" w:usb3="00000000" w:csb0="003F01FF" w:csb1="00000000"/>
  </w:font>
  <w:font w:name="方正楷体简体">
    <w:altName w:val="宋体"/>
    <w:panose1 w:val="00000000000000000000"/>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楷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948880"/>
      <w:docPartObj>
        <w:docPartGallery w:val="AutoText"/>
      </w:docPartObj>
    </w:sdtPr>
    <w:sdtContent>
      <w:p>
        <w:pPr>
          <w:pStyle w:val="28"/>
          <w:jc w:val="center"/>
        </w:pPr>
        <w:r>
          <w:fldChar w:fldCharType="begin"/>
        </w:r>
        <w:r>
          <w:instrText xml:space="preserve">PAGE   \* MERGEFORMAT</w:instrText>
        </w:r>
        <w:r>
          <w:fldChar w:fldCharType="separate"/>
        </w:r>
        <w:r>
          <w:rPr>
            <w:lang w:val="zh-CN"/>
          </w:rPr>
          <w:t>41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036241"/>
      <w:docPartObj>
        <w:docPartGallery w:val="AutoText"/>
      </w:docPartObj>
    </w:sdtPr>
    <w:sdtContent>
      <w:p>
        <w:pPr>
          <w:pStyle w:val="28"/>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F2486"/>
    <w:multiLevelType w:val="multilevel"/>
    <w:tmpl w:val="0C1F2486"/>
    <w:lvl w:ilvl="0" w:tentative="0">
      <w:start w:val="1"/>
      <w:numFmt w:val="decimal"/>
      <w:suff w:val="nothing"/>
      <w:lvlText w:val="%1、"/>
      <w:lvlJc w:val="left"/>
      <w:pPr>
        <w:ind w:left="0" w:firstLine="482"/>
      </w:pPr>
      <w:rPr>
        <w:rFonts w:hint="eastAsia"/>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1D7B3E55"/>
    <w:multiLevelType w:val="multilevel"/>
    <w:tmpl w:val="1D7B3E55"/>
    <w:lvl w:ilvl="0" w:tentative="0">
      <w:start w:val="1"/>
      <w:numFmt w:val="decimal"/>
      <w:pStyle w:val="277"/>
      <w:lvlText w:val="%1."/>
      <w:lvlJc w:val="left"/>
      <w:pPr>
        <w:tabs>
          <w:tab w:val="left" w:pos="900"/>
        </w:tabs>
        <w:ind w:left="900" w:hanging="420"/>
      </w:pPr>
    </w:lvl>
    <w:lvl w:ilvl="1" w:tentative="0">
      <w:start w:val="1"/>
      <w:numFmt w:val="lowerLetter"/>
      <w:pStyle w:val="260"/>
      <w:lvlText w:val="%2)"/>
      <w:lvlJc w:val="left"/>
      <w:pPr>
        <w:tabs>
          <w:tab w:val="left" w:pos="1320"/>
        </w:tabs>
        <w:ind w:left="1320" w:hanging="420"/>
      </w:pPr>
    </w:lvl>
    <w:lvl w:ilvl="2" w:tentative="0">
      <w:start w:val="1"/>
      <w:numFmt w:val="lowerRoman"/>
      <w:pStyle w:val="259"/>
      <w:lvlText w:val="%3."/>
      <w:lvlJc w:val="right"/>
      <w:pPr>
        <w:tabs>
          <w:tab w:val="left" w:pos="1740"/>
        </w:tabs>
        <w:ind w:left="1740" w:hanging="420"/>
      </w:pPr>
    </w:lvl>
    <w:lvl w:ilvl="3" w:tentative="0">
      <w:start w:val="1"/>
      <w:numFmt w:val="decimal"/>
      <w:pStyle w:val="258"/>
      <w:lvlText w:val="%4."/>
      <w:lvlJc w:val="left"/>
      <w:pPr>
        <w:tabs>
          <w:tab w:val="left" w:pos="2160"/>
        </w:tabs>
        <w:ind w:left="2160" w:hanging="420"/>
      </w:pPr>
    </w:lvl>
    <w:lvl w:ilvl="4" w:tentative="0">
      <w:start w:val="1"/>
      <w:numFmt w:val="lowerLetter"/>
      <w:pStyle w:val="257"/>
      <w:lvlText w:val="%5)"/>
      <w:lvlJc w:val="left"/>
      <w:pPr>
        <w:tabs>
          <w:tab w:val="left" w:pos="2580"/>
        </w:tabs>
        <w:ind w:left="2580" w:hanging="420"/>
      </w:pPr>
    </w:lvl>
    <w:lvl w:ilvl="5" w:tentative="0">
      <w:start w:val="1"/>
      <w:numFmt w:val="lowerRoman"/>
      <w:pStyle w:val="256"/>
      <w:lvlText w:val="%6."/>
      <w:lvlJc w:val="right"/>
      <w:pPr>
        <w:tabs>
          <w:tab w:val="left" w:pos="3000"/>
        </w:tabs>
        <w:ind w:left="3000" w:hanging="420"/>
      </w:pPr>
    </w:lvl>
    <w:lvl w:ilvl="6" w:tentative="0">
      <w:start w:val="1"/>
      <w:numFmt w:val="decimal"/>
      <w:pStyle w:val="255"/>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1241E0E"/>
    <w:multiLevelType w:val="multilevel"/>
    <w:tmpl w:val="21241E0E"/>
    <w:lvl w:ilvl="0" w:tentative="0">
      <w:start w:val="1"/>
      <w:numFmt w:val="decimal"/>
      <w:suff w:val="nothing"/>
      <w:lvlText w:val="%1."/>
      <w:lvlJc w:val="left"/>
      <w:pPr>
        <w:ind w:left="0" w:firstLine="0"/>
      </w:pPr>
      <w:rPr>
        <w:rFonts w:hint="eastAsia"/>
      </w:rPr>
    </w:lvl>
    <w:lvl w:ilvl="1" w:tentative="0">
      <w:start w:val="1"/>
      <w:numFmt w:val="lowerLetter"/>
      <w:pStyle w:val="263"/>
      <w:lvlText w:val="%2)"/>
      <w:lvlJc w:val="left"/>
      <w:pPr>
        <w:ind w:left="840" w:hanging="420"/>
      </w:pPr>
    </w:lvl>
    <w:lvl w:ilvl="2" w:tentative="0">
      <w:start w:val="1"/>
      <w:numFmt w:val="lowerRoman"/>
      <w:pStyle w:val="29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04675D"/>
    <w:multiLevelType w:val="multilevel"/>
    <w:tmpl w:val="5004675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5F257F"/>
    <w:multiLevelType w:val="multilevel"/>
    <w:tmpl w:val="505F257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B02890B"/>
    <w:multiLevelType w:val="singleLevel"/>
    <w:tmpl w:val="5B02890B"/>
    <w:lvl w:ilvl="0" w:tentative="0">
      <w:start w:val="1"/>
      <w:numFmt w:val="bullet"/>
      <w:pStyle w:val="24"/>
      <w:lvlText w:val=""/>
      <w:lvlJc w:val="left"/>
      <w:pPr>
        <w:tabs>
          <w:tab w:val="left" w:pos="2040"/>
        </w:tabs>
        <w:ind w:left="2040" w:hanging="360"/>
      </w:pPr>
      <w:rPr>
        <w:rFonts w:hint="default" w:ascii="Wingdings" w:hAnsi="Wingdings"/>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zAwYWFkYmQ1M2VhOWE0YjhmNTIzODNmOGVjYWQifQ=="/>
  </w:docVars>
  <w:rsids>
    <w:rsidRoot w:val="003F0B1E"/>
    <w:rsid w:val="00000C06"/>
    <w:rsid w:val="000015A1"/>
    <w:rsid w:val="00001CD8"/>
    <w:rsid w:val="00003320"/>
    <w:rsid w:val="00003BA4"/>
    <w:rsid w:val="000073B3"/>
    <w:rsid w:val="00010A78"/>
    <w:rsid w:val="0001130E"/>
    <w:rsid w:val="00011DE6"/>
    <w:rsid w:val="00012612"/>
    <w:rsid w:val="000134F8"/>
    <w:rsid w:val="00017FA5"/>
    <w:rsid w:val="00020417"/>
    <w:rsid w:val="00022CED"/>
    <w:rsid w:val="00023146"/>
    <w:rsid w:val="00023EF7"/>
    <w:rsid w:val="0002434E"/>
    <w:rsid w:val="00030F8D"/>
    <w:rsid w:val="00032F66"/>
    <w:rsid w:val="00036606"/>
    <w:rsid w:val="00037B31"/>
    <w:rsid w:val="00037F7B"/>
    <w:rsid w:val="00040480"/>
    <w:rsid w:val="00040550"/>
    <w:rsid w:val="0004273F"/>
    <w:rsid w:val="00042A9D"/>
    <w:rsid w:val="00044C97"/>
    <w:rsid w:val="000456AD"/>
    <w:rsid w:val="00046848"/>
    <w:rsid w:val="00047A11"/>
    <w:rsid w:val="00053420"/>
    <w:rsid w:val="0005489A"/>
    <w:rsid w:val="00054A70"/>
    <w:rsid w:val="0006153C"/>
    <w:rsid w:val="00061D9A"/>
    <w:rsid w:val="000707DF"/>
    <w:rsid w:val="00070D24"/>
    <w:rsid w:val="00070F19"/>
    <w:rsid w:val="00071D98"/>
    <w:rsid w:val="00072469"/>
    <w:rsid w:val="00074E8C"/>
    <w:rsid w:val="00075B54"/>
    <w:rsid w:val="00080B4B"/>
    <w:rsid w:val="00083AD7"/>
    <w:rsid w:val="000841A4"/>
    <w:rsid w:val="00084D37"/>
    <w:rsid w:val="0008584B"/>
    <w:rsid w:val="00087C0F"/>
    <w:rsid w:val="00087EE6"/>
    <w:rsid w:val="0009028A"/>
    <w:rsid w:val="00090B37"/>
    <w:rsid w:val="000919F2"/>
    <w:rsid w:val="00095285"/>
    <w:rsid w:val="00095501"/>
    <w:rsid w:val="0009572D"/>
    <w:rsid w:val="0009633C"/>
    <w:rsid w:val="0009758B"/>
    <w:rsid w:val="000A0295"/>
    <w:rsid w:val="000A100E"/>
    <w:rsid w:val="000A2F5B"/>
    <w:rsid w:val="000A3554"/>
    <w:rsid w:val="000A4404"/>
    <w:rsid w:val="000A52D0"/>
    <w:rsid w:val="000A5A07"/>
    <w:rsid w:val="000A77D7"/>
    <w:rsid w:val="000A7913"/>
    <w:rsid w:val="000B1097"/>
    <w:rsid w:val="000B17B2"/>
    <w:rsid w:val="000B5480"/>
    <w:rsid w:val="000B5906"/>
    <w:rsid w:val="000B72A3"/>
    <w:rsid w:val="000C1A42"/>
    <w:rsid w:val="000C1A97"/>
    <w:rsid w:val="000C2E53"/>
    <w:rsid w:val="000C3822"/>
    <w:rsid w:val="000C4E05"/>
    <w:rsid w:val="000C5E49"/>
    <w:rsid w:val="000C5FF2"/>
    <w:rsid w:val="000C72B0"/>
    <w:rsid w:val="000C7376"/>
    <w:rsid w:val="000D14D9"/>
    <w:rsid w:val="000D22DF"/>
    <w:rsid w:val="000D321A"/>
    <w:rsid w:val="000D5CBD"/>
    <w:rsid w:val="000E2192"/>
    <w:rsid w:val="000E22FD"/>
    <w:rsid w:val="000E5365"/>
    <w:rsid w:val="000E63A1"/>
    <w:rsid w:val="000E79D1"/>
    <w:rsid w:val="000F01B5"/>
    <w:rsid w:val="000F0DAF"/>
    <w:rsid w:val="000F485E"/>
    <w:rsid w:val="00100652"/>
    <w:rsid w:val="00100E2A"/>
    <w:rsid w:val="00101885"/>
    <w:rsid w:val="00101B24"/>
    <w:rsid w:val="00103215"/>
    <w:rsid w:val="00105017"/>
    <w:rsid w:val="001073A0"/>
    <w:rsid w:val="0010757D"/>
    <w:rsid w:val="00107B26"/>
    <w:rsid w:val="00111888"/>
    <w:rsid w:val="00111A2D"/>
    <w:rsid w:val="00111C14"/>
    <w:rsid w:val="00112EEB"/>
    <w:rsid w:val="001172E4"/>
    <w:rsid w:val="00117BDB"/>
    <w:rsid w:val="001207B9"/>
    <w:rsid w:val="001251FC"/>
    <w:rsid w:val="00125622"/>
    <w:rsid w:val="00125BC5"/>
    <w:rsid w:val="001300FB"/>
    <w:rsid w:val="00131601"/>
    <w:rsid w:val="001356DE"/>
    <w:rsid w:val="001369CA"/>
    <w:rsid w:val="00136D04"/>
    <w:rsid w:val="00137D3F"/>
    <w:rsid w:val="001401A3"/>
    <w:rsid w:val="00140857"/>
    <w:rsid w:val="00141C44"/>
    <w:rsid w:val="001508EE"/>
    <w:rsid w:val="00151545"/>
    <w:rsid w:val="00152963"/>
    <w:rsid w:val="00152F54"/>
    <w:rsid w:val="00154494"/>
    <w:rsid w:val="001555FA"/>
    <w:rsid w:val="0015628A"/>
    <w:rsid w:val="001568D1"/>
    <w:rsid w:val="0016125D"/>
    <w:rsid w:val="00163750"/>
    <w:rsid w:val="00165EF0"/>
    <w:rsid w:val="001673BE"/>
    <w:rsid w:val="00167B72"/>
    <w:rsid w:val="00173103"/>
    <w:rsid w:val="001735A0"/>
    <w:rsid w:val="00173CE7"/>
    <w:rsid w:val="0017461C"/>
    <w:rsid w:val="00175072"/>
    <w:rsid w:val="001775E2"/>
    <w:rsid w:val="00180ABF"/>
    <w:rsid w:val="00181759"/>
    <w:rsid w:val="001844EF"/>
    <w:rsid w:val="0018641D"/>
    <w:rsid w:val="0019073C"/>
    <w:rsid w:val="001929C8"/>
    <w:rsid w:val="00193013"/>
    <w:rsid w:val="001945E9"/>
    <w:rsid w:val="00194FB1"/>
    <w:rsid w:val="001963CA"/>
    <w:rsid w:val="001A4B29"/>
    <w:rsid w:val="001A4F01"/>
    <w:rsid w:val="001A54C2"/>
    <w:rsid w:val="001A5F0C"/>
    <w:rsid w:val="001A603B"/>
    <w:rsid w:val="001A6B57"/>
    <w:rsid w:val="001B4785"/>
    <w:rsid w:val="001B4E9B"/>
    <w:rsid w:val="001C08E0"/>
    <w:rsid w:val="001C31FD"/>
    <w:rsid w:val="001C32DD"/>
    <w:rsid w:val="001C35B1"/>
    <w:rsid w:val="001C39EA"/>
    <w:rsid w:val="001C58CE"/>
    <w:rsid w:val="001C6C3B"/>
    <w:rsid w:val="001D2404"/>
    <w:rsid w:val="001D2770"/>
    <w:rsid w:val="001D3492"/>
    <w:rsid w:val="001D367A"/>
    <w:rsid w:val="001D5965"/>
    <w:rsid w:val="001D7228"/>
    <w:rsid w:val="001E0BE9"/>
    <w:rsid w:val="001E0D7A"/>
    <w:rsid w:val="001E25D8"/>
    <w:rsid w:val="001E2FB4"/>
    <w:rsid w:val="001E37C5"/>
    <w:rsid w:val="001E45B1"/>
    <w:rsid w:val="001E47CE"/>
    <w:rsid w:val="001E5FE8"/>
    <w:rsid w:val="001E7320"/>
    <w:rsid w:val="001E735B"/>
    <w:rsid w:val="001E7520"/>
    <w:rsid w:val="001E78A3"/>
    <w:rsid w:val="001E7939"/>
    <w:rsid w:val="001F26FB"/>
    <w:rsid w:val="001F2C90"/>
    <w:rsid w:val="001F32F2"/>
    <w:rsid w:val="001F33E7"/>
    <w:rsid w:val="001F4050"/>
    <w:rsid w:val="001F4304"/>
    <w:rsid w:val="001F4C26"/>
    <w:rsid w:val="001F6730"/>
    <w:rsid w:val="00200BCA"/>
    <w:rsid w:val="00200C3D"/>
    <w:rsid w:val="00202367"/>
    <w:rsid w:val="00203A11"/>
    <w:rsid w:val="00204CD4"/>
    <w:rsid w:val="0020588C"/>
    <w:rsid w:val="002105C5"/>
    <w:rsid w:val="00210752"/>
    <w:rsid w:val="00211B3D"/>
    <w:rsid w:val="00211C7D"/>
    <w:rsid w:val="00212D2A"/>
    <w:rsid w:val="0021435D"/>
    <w:rsid w:val="00215A73"/>
    <w:rsid w:val="00216EA1"/>
    <w:rsid w:val="0022344F"/>
    <w:rsid w:val="002239E8"/>
    <w:rsid w:val="0022477B"/>
    <w:rsid w:val="00225E0D"/>
    <w:rsid w:val="002306ED"/>
    <w:rsid w:val="00231A2B"/>
    <w:rsid w:val="002359C7"/>
    <w:rsid w:val="00235DD1"/>
    <w:rsid w:val="00235E64"/>
    <w:rsid w:val="002379DE"/>
    <w:rsid w:val="00240696"/>
    <w:rsid w:val="00240BD6"/>
    <w:rsid w:val="00240FDD"/>
    <w:rsid w:val="00241DE5"/>
    <w:rsid w:val="00242C84"/>
    <w:rsid w:val="002438D0"/>
    <w:rsid w:val="00250096"/>
    <w:rsid w:val="00250232"/>
    <w:rsid w:val="00252317"/>
    <w:rsid w:val="002540CD"/>
    <w:rsid w:val="00254AE1"/>
    <w:rsid w:val="00255114"/>
    <w:rsid w:val="002557A7"/>
    <w:rsid w:val="002571EC"/>
    <w:rsid w:val="002578FD"/>
    <w:rsid w:val="002607B0"/>
    <w:rsid w:val="002610F2"/>
    <w:rsid w:val="002614FB"/>
    <w:rsid w:val="002618A2"/>
    <w:rsid w:val="00264CD1"/>
    <w:rsid w:val="00267937"/>
    <w:rsid w:val="00267F0E"/>
    <w:rsid w:val="00270B1A"/>
    <w:rsid w:val="002713FD"/>
    <w:rsid w:val="0027396B"/>
    <w:rsid w:val="00273AB4"/>
    <w:rsid w:val="002764E1"/>
    <w:rsid w:val="00276A74"/>
    <w:rsid w:val="00281BD5"/>
    <w:rsid w:val="00282676"/>
    <w:rsid w:val="0028432B"/>
    <w:rsid w:val="00285367"/>
    <w:rsid w:val="00285995"/>
    <w:rsid w:val="00286C81"/>
    <w:rsid w:val="00291B7A"/>
    <w:rsid w:val="00293E8F"/>
    <w:rsid w:val="0029444C"/>
    <w:rsid w:val="00295365"/>
    <w:rsid w:val="00297715"/>
    <w:rsid w:val="002A15C5"/>
    <w:rsid w:val="002A2896"/>
    <w:rsid w:val="002A3A33"/>
    <w:rsid w:val="002A42A9"/>
    <w:rsid w:val="002A476C"/>
    <w:rsid w:val="002A5993"/>
    <w:rsid w:val="002A75DB"/>
    <w:rsid w:val="002B1296"/>
    <w:rsid w:val="002B1498"/>
    <w:rsid w:val="002B2FA8"/>
    <w:rsid w:val="002B6122"/>
    <w:rsid w:val="002B67C8"/>
    <w:rsid w:val="002B742F"/>
    <w:rsid w:val="002C3203"/>
    <w:rsid w:val="002C45EC"/>
    <w:rsid w:val="002C6928"/>
    <w:rsid w:val="002C7007"/>
    <w:rsid w:val="002C7A79"/>
    <w:rsid w:val="002D3A36"/>
    <w:rsid w:val="002D4219"/>
    <w:rsid w:val="002D5C90"/>
    <w:rsid w:val="002E1E37"/>
    <w:rsid w:val="002E3C4F"/>
    <w:rsid w:val="002E3F24"/>
    <w:rsid w:val="002E469E"/>
    <w:rsid w:val="002E4B7B"/>
    <w:rsid w:val="002E5D0E"/>
    <w:rsid w:val="002E63F6"/>
    <w:rsid w:val="002E6AB5"/>
    <w:rsid w:val="002E7AC6"/>
    <w:rsid w:val="002F26B5"/>
    <w:rsid w:val="002F67E8"/>
    <w:rsid w:val="002F6834"/>
    <w:rsid w:val="002F6C9D"/>
    <w:rsid w:val="002F712F"/>
    <w:rsid w:val="002F7678"/>
    <w:rsid w:val="002F7B00"/>
    <w:rsid w:val="00301956"/>
    <w:rsid w:val="0030208D"/>
    <w:rsid w:val="0030342E"/>
    <w:rsid w:val="00303B10"/>
    <w:rsid w:val="003057D3"/>
    <w:rsid w:val="003058E3"/>
    <w:rsid w:val="0030738B"/>
    <w:rsid w:val="00310297"/>
    <w:rsid w:val="0031150F"/>
    <w:rsid w:val="00312033"/>
    <w:rsid w:val="0031264B"/>
    <w:rsid w:val="00313917"/>
    <w:rsid w:val="0031529A"/>
    <w:rsid w:val="00316DAB"/>
    <w:rsid w:val="0032010B"/>
    <w:rsid w:val="003202AA"/>
    <w:rsid w:val="003210E3"/>
    <w:rsid w:val="00322A5E"/>
    <w:rsid w:val="00322B9E"/>
    <w:rsid w:val="0032344B"/>
    <w:rsid w:val="003242F1"/>
    <w:rsid w:val="0032522A"/>
    <w:rsid w:val="00325921"/>
    <w:rsid w:val="00330205"/>
    <w:rsid w:val="00330CAC"/>
    <w:rsid w:val="0033448E"/>
    <w:rsid w:val="00336633"/>
    <w:rsid w:val="00336B7E"/>
    <w:rsid w:val="00337122"/>
    <w:rsid w:val="0033751F"/>
    <w:rsid w:val="003379D3"/>
    <w:rsid w:val="003400C8"/>
    <w:rsid w:val="00344590"/>
    <w:rsid w:val="00344616"/>
    <w:rsid w:val="00345EEF"/>
    <w:rsid w:val="00346540"/>
    <w:rsid w:val="00346C4C"/>
    <w:rsid w:val="00346D5A"/>
    <w:rsid w:val="003479E1"/>
    <w:rsid w:val="00350D85"/>
    <w:rsid w:val="00352F6D"/>
    <w:rsid w:val="003536F0"/>
    <w:rsid w:val="00356DB3"/>
    <w:rsid w:val="00356F0B"/>
    <w:rsid w:val="00360B01"/>
    <w:rsid w:val="00360F35"/>
    <w:rsid w:val="00361B7E"/>
    <w:rsid w:val="0036420E"/>
    <w:rsid w:val="00364DF3"/>
    <w:rsid w:val="00366C69"/>
    <w:rsid w:val="00372385"/>
    <w:rsid w:val="003727E1"/>
    <w:rsid w:val="00374AF4"/>
    <w:rsid w:val="00381A59"/>
    <w:rsid w:val="003846F1"/>
    <w:rsid w:val="003906CD"/>
    <w:rsid w:val="00390750"/>
    <w:rsid w:val="00391FEE"/>
    <w:rsid w:val="00392FB4"/>
    <w:rsid w:val="00394017"/>
    <w:rsid w:val="00395A54"/>
    <w:rsid w:val="00396092"/>
    <w:rsid w:val="003A1E4A"/>
    <w:rsid w:val="003A4EAA"/>
    <w:rsid w:val="003A79A6"/>
    <w:rsid w:val="003B0049"/>
    <w:rsid w:val="003B18C2"/>
    <w:rsid w:val="003B44A2"/>
    <w:rsid w:val="003C1238"/>
    <w:rsid w:val="003C1DCE"/>
    <w:rsid w:val="003C2E1A"/>
    <w:rsid w:val="003C4119"/>
    <w:rsid w:val="003C5441"/>
    <w:rsid w:val="003C6259"/>
    <w:rsid w:val="003C6E66"/>
    <w:rsid w:val="003C7A87"/>
    <w:rsid w:val="003D2542"/>
    <w:rsid w:val="003D5082"/>
    <w:rsid w:val="003D5D6B"/>
    <w:rsid w:val="003D681B"/>
    <w:rsid w:val="003D73DE"/>
    <w:rsid w:val="003D79D3"/>
    <w:rsid w:val="003E113B"/>
    <w:rsid w:val="003E3849"/>
    <w:rsid w:val="003E777F"/>
    <w:rsid w:val="003E7C11"/>
    <w:rsid w:val="003F0B1E"/>
    <w:rsid w:val="003F343A"/>
    <w:rsid w:val="004017C7"/>
    <w:rsid w:val="00402AB6"/>
    <w:rsid w:val="00403B5B"/>
    <w:rsid w:val="004052F4"/>
    <w:rsid w:val="004074C5"/>
    <w:rsid w:val="004075F7"/>
    <w:rsid w:val="004121C6"/>
    <w:rsid w:val="00414B6B"/>
    <w:rsid w:val="00414BB9"/>
    <w:rsid w:val="004164CE"/>
    <w:rsid w:val="0041689B"/>
    <w:rsid w:val="004227B3"/>
    <w:rsid w:val="00425ADE"/>
    <w:rsid w:val="00425E6B"/>
    <w:rsid w:val="004265F9"/>
    <w:rsid w:val="00427BD9"/>
    <w:rsid w:val="004307FF"/>
    <w:rsid w:val="00430EEA"/>
    <w:rsid w:val="004316DE"/>
    <w:rsid w:val="00431E72"/>
    <w:rsid w:val="004332E6"/>
    <w:rsid w:val="004340A4"/>
    <w:rsid w:val="0043593C"/>
    <w:rsid w:val="00435F2D"/>
    <w:rsid w:val="0043647F"/>
    <w:rsid w:val="00436636"/>
    <w:rsid w:val="00436D68"/>
    <w:rsid w:val="004404CE"/>
    <w:rsid w:val="00442B6F"/>
    <w:rsid w:val="0044318B"/>
    <w:rsid w:val="00444827"/>
    <w:rsid w:val="004465BA"/>
    <w:rsid w:val="00447B33"/>
    <w:rsid w:val="00447EE7"/>
    <w:rsid w:val="00451A6C"/>
    <w:rsid w:val="004522CE"/>
    <w:rsid w:val="004562C7"/>
    <w:rsid w:val="004579BA"/>
    <w:rsid w:val="004601C3"/>
    <w:rsid w:val="00460F00"/>
    <w:rsid w:val="00462F35"/>
    <w:rsid w:val="004634DB"/>
    <w:rsid w:val="00463B53"/>
    <w:rsid w:val="00464258"/>
    <w:rsid w:val="00464FFB"/>
    <w:rsid w:val="00465565"/>
    <w:rsid w:val="00466969"/>
    <w:rsid w:val="00466F72"/>
    <w:rsid w:val="00473920"/>
    <w:rsid w:val="004743D1"/>
    <w:rsid w:val="004766B6"/>
    <w:rsid w:val="004824A0"/>
    <w:rsid w:val="0048272E"/>
    <w:rsid w:val="004838AF"/>
    <w:rsid w:val="00484BF2"/>
    <w:rsid w:val="004866CD"/>
    <w:rsid w:val="00490B57"/>
    <w:rsid w:val="004932EE"/>
    <w:rsid w:val="00493FFB"/>
    <w:rsid w:val="00494C7E"/>
    <w:rsid w:val="00495973"/>
    <w:rsid w:val="0049640E"/>
    <w:rsid w:val="00497381"/>
    <w:rsid w:val="004A6B84"/>
    <w:rsid w:val="004B76C4"/>
    <w:rsid w:val="004B7EEE"/>
    <w:rsid w:val="004C1B3E"/>
    <w:rsid w:val="004C65A0"/>
    <w:rsid w:val="004D00FC"/>
    <w:rsid w:val="004D358F"/>
    <w:rsid w:val="004D3E21"/>
    <w:rsid w:val="004D54F8"/>
    <w:rsid w:val="004D65F5"/>
    <w:rsid w:val="004D6B6B"/>
    <w:rsid w:val="004D703D"/>
    <w:rsid w:val="004D70F2"/>
    <w:rsid w:val="004D7F33"/>
    <w:rsid w:val="004E20C1"/>
    <w:rsid w:val="004E2FF4"/>
    <w:rsid w:val="004E5AC3"/>
    <w:rsid w:val="004F0426"/>
    <w:rsid w:val="004F0661"/>
    <w:rsid w:val="004F25BA"/>
    <w:rsid w:val="004F3EFD"/>
    <w:rsid w:val="004F4695"/>
    <w:rsid w:val="004F60B2"/>
    <w:rsid w:val="004F62AE"/>
    <w:rsid w:val="004F664F"/>
    <w:rsid w:val="004F7681"/>
    <w:rsid w:val="004F7A29"/>
    <w:rsid w:val="00502740"/>
    <w:rsid w:val="005074FB"/>
    <w:rsid w:val="0051223F"/>
    <w:rsid w:val="00512C77"/>
    <w:rsid w:val="00514E7A"/>
    <w:rsid w:val="00520C1B"/>
    <w:rsid w:val="00520C88"/>
    <w:rsid w:val="00521F51"/>
    <w:rsid w:val="00523FAD"/>
    <w:rsid w:val="00526399"/>
    <w:rsid w:val="0052773C"/>
    <w:rsid w:val="00531EB7"/>
    <w:rsid w:val="005324DB"/>
    <w:rsid w:val="00535AFD"/>
    <w:rsid w:val="005422D4"/>
    <w:rsid w:val="005508CD"/>
    <w:rsid w:val="005510BC"/>
    <w:rsid w:val="00552B6D"/>
    <w:rsid w:val="00555DCA"/>
    <w:rsid w:val="005570AD"/>
    <w:rsid w:val="00557D54"/>
    <w:rsid w:val="005606F7"/>
    <w:rsid w:val="00561C56"/>
    <w:rsid w:val="00562D30"/>
    <w:rsid w:val="00564276"/>
    <w:rsid w:val="00564DC4"/>
    <w:rsid w:val="005652A4"/>
    <w:rsid w:val="00565342"/>
    <w:rsid w:val="005811D7"/>
    <w:rsid w:val="005814F8"/>
    <w:rsid w:val="005836C7"/>
    <w:rsid w:val="00583AD5"/>
    <w:rsid w:val="005848EF"/>
    <w:rsid w:val="00585C9C"/>
    <w:rsid w:val="00585ED6"/>
    <w:rsid w:val="00586785"/>
    <w:rsid w:val="00591BAE"/>
    <w:rsid w:val="005923E9"/>
    <w:rsid w:val="005964EC"/>
    <w:rsid w:val="00596EBF"/>
    <w:rsid w:val="005972A9"/>
    <w:rsid w:val="005A18AE"/>
    <w:rsid w:val="005A3602"/>
    <w:rsid w:val="005A4294"/>
    <w:rsid w:val="005A4F77"/>
    <w:rsid w:val="005A5AD1"/>
    <w:rsid w:val="005A6B8F"/>
    <w:rsid w:val="005B4855"/>
    <w:rsid w:val="005B5720"/>
    <w:rsid w:val="005B60EA"/>
    <w:rsid w:val="005B6476"/>
    <w:rsid w:val="005B6F78"/>
    <w:rsid w:val="005C1A2C"/>
    <w:rsid w:val="005C301A"/>
    <w:rsid w:val="005C5493"/>
    <w:rsid w:val="005C5C72"/>
    <w:rsid w:val="005D0794"/>
    <w:rsid w:val="005D2FD4"/>
    <w:rsid w:val="005D4606"/>
    <w:rsid w:val="005D4B5F"/>
    <w:rsid w:val="005D69F3"/>
    <w:rsid w:val="005E49FF"/>
    <w:rsid w:val="005E502F"/>
    <w:rsid w:val="005E75DB"/>
    <w:rsid w:val="005E7932"/>
    <w:rsid w:val="005F0BCF"/>
    <w:rsid w:val="005F322A"/>
    <w:rsid w:val="005F3531"/>
    <w:rsid w:val="005F3D12"/>
    <w:rsid w:val="005F3D78"/>
    <w:rsid w:val="005F45A2"/>
    <w:rsid w:val="005F4B68"/>
    <w:rsid w:val="005F4FC4"/>
    <w:rsid w:val="005F6426"/>
    <w:rsid w:val="0060034F"/>
    <w:rsid w:val="00600744"/>
    <w:rsid w:val="00604E77"/>
    <w:rsid w:val="0060511B"/>
    <w:rsid w:val="00605C6F"/>
    <w:rsid w:val="00610720"/>
    <w:rsid w:val="00610AF7"/>
    <w:rsid w:val="00610DAB"/>
    <w:rsid w:val="006119A7"/>
    <w:rsid w:val="00611AAE"/>
    <w:rsid w:val="00615A62"/>
    <w:rsid w:val="00615F44"/>
    <w:rsid w:val="0061737C"/>
    <w:rsid w:val="0062407F"/>
    <w:rsid w:val="0062438E"/>
    <w:rsid w:val="00624A2E"/>
    <w:rsid w:val="006259BA"/>
    <w:rsid w:val="00625FC7"/>
    <w:rsid w:val="00626A67"/>
    <w:rsid w:val="00627234"/>
    <w:rsid w:val="00631095"/>
    <w:rsid w:val="0063180D"/>
    <w:rsid w:val="00631B68"/>
    <w:rsid w:val="00632C93"/>
    <w:rsid w:val="006372E7"/>
    <w:rsid w:val="0063781D"/>
    <w:rsid w:val="0064003A"/>
    <w:rsid w:val="00640F88"/>
    <w:rsid w:val="00642AF3"/>
    <w:rsid w:val="00647B5D"/>
    <w:rsid w:val="00651463"/>
    <w:rsid w:val="006533C0"/>
    <w:rsid w:val="00655868"/>
    <w:rsid w:val="00656AB9"/>
    <w:rsid w:val="006578F6"/>
    <w:rsid w:val="00657984"/>
    <w:rsid w:val="00660B91"/>
    <w:rsid w:val="0066597C"/>
    <w:rsid w:val="00665D7E"/>
    <w:rsid w:val="0066603B"/>
    <w:rsid w:val="00666E92"/>
    <w:rsid w:val="006673DE"/>
    <w:rsid w:val="00667695"/>
    <w:rsid w:val="00667E04"/>
    <w:rsid w:val="006708F7"/>
    <w:rsid w:val="00673721"/>
    <w:rsid w:val="0067583C"/>
    <w:rsid w:val="00675A99"/>
    <w:rsid w:val="00675D78"/>
    <w:rsid w:val="00676728"/>
    <w:rsid w:val="00676B10"/>
    <w:rsid w:val="00676F99"/>
    <w:rsid w:val="006775F6"/>
    <w:rsid w:val="006776E2"/>
    <w:rsid w:val="006822CF"/>
    <w:rsid w:val="00683A9C"/>
    <w:rsid w:val="00684034"/>
    <w:rsid w:val="00685D69"/>
    <w:rsid w:val="006900F4"/>
    <w:rsid w:val="00690AC5"/>
    <w:rsid w:val="00692829"/>
    <w:rsid w:val="00693459"/>
    <w:rsid w:val="00696AB8"/>
    <w:rsid w:val="006A0A1F"/>
    <w:rsid w:val="006A2530"/>
    <w:rsid w:val="006A260E"/>
    <w:rsid w:val="006A37CF"/>
    <w:rsid w:val="006A611C"/>
    <w:rsid w:val="006A6952"/>
    <w:rsid w:val="006B1F8E"/>
    <w:rsid w:val="006B343A"/>
    <w:rsid w:val="006B4650"/>
    <w:rsid w:val="006B7997"/>
    <w:rsid w:val="006B7C04"/>
    <w:rsid w:val="006C003B"/>
    <w:rsid w:val="006C2EE1"/>
    <w:rsid w:val="006C4A53"/>
    <w:rsid w:val="006C550C"/>
    <w:rsid w:val="006C5C0E"/>
    <w:rsid w:val="006C5FB1"/>
    <w:rsid w:val="006D069B"/>
    <w:rsid w:val="006D0B82"/>
    <w:rsid w:val="006D1AEB"/>
    <w:rsid w:val="006D2D9C"/>
    <w:rsid w:val="006D3409"/>
    <w:rsid w:val="006D3D10"/>
    <w:rsid w:val="006D453D"/>
    <w:rsid w:val="006D7B6E"/>
    <w:rsid w:val="006E3F2D"/>
    <w:rsid w:val="006E438F"/>
    <w:rsid w:val="006E488D"/>
    <w:rsid w:val="006F0353"/>
    <w:rsid w:val="006F1227"/>
    <w:rsid w:val="006F1752"/>
    <w:rsid w:val="006F4751"/>
    <w:rsid w:val="006F4EF4"/>
    <w:rsid w:val="006F51B0"/>
    <w:rsid w:val="006F5CD8"/>
    <w:rsid w:val="006F66EF"/>
    <w:rsid w:val="00700CA9"/>
    <w:rsid w:val="00701563"/>
    <w:rsid w:val="00701D6B"/>
    <w:rsid w:val="007027BD"/>
    <w:rsid w:val="007060A7"/>
    <w:rsid w:val="00706EC7"/>
    <w:rsid w:val="00711B26"/>
    <w:rsid w:val="00712B94"/>
    <w:rsid w:val="00715E3A"/>
    <w:rsid w:val="007171C0"/>
    <w:rsid w:val="0071798A"/>
    <w:rsid w:val="00721EA3"/>
    <w:rsid w:val="00721FF8"/>
    <w:rsid w:val="00723786"/>
    <w:rsid w:val="00723F18"/>
    <w:rsid w:val="007242A1"/>
    <w:rsid w:val="00725694"/>
    <w:rsid w:val="00732EF2"/>
    <w:rsid w:val="007344C2"/>
    <w:rsid w:val="007352EA"/>
    <w:rsid w:val="00736C9D"/>
    <w:rsid w:val="00736ED0"/>
    <w:rsid w:val="00737BBD"/>
    <w:rsid w:val="007440F7"/>
    <w:rsid w:val="00744337"/>
    <w:rsid w:val="0075387A"/>
    <w:rsid w:val="007542AB"/>
    <w:rsid w:val="00757C02"/>
    <w:rsid w:val="00761CC8"/>
    <w:rsid w:val="007637D7"/>
    <w:rsid w:val="00764A6A"/>
    <w:rsid w:val="00766101"/>
    <w:rsid w:val="00767DC6"/>
    <w:rsid w:val="00770010"/>
    <w:rsid w:val="007731ED"/>
    <w:rsid w:val="007738FA"/>
    <w:rsid w:val="00774F26"/>
    <w:rsid w:val="007762AF"/>
    <w:rsid w:val="00776B31"/>
    <w:rsid w:val="00777610"/>
    <w:rsid w:val="00780096"/>
    <w:rsid w:val="00780A53"/>
    <w:rsid w:val="007844B8"/>
    <w:rsid w:val="007844D4"/>
    <w:rsid w:val="007851D7"/>
    <w:rsid w:val="00786CD9"/>
    <w:rsid w:val="00786F65"/>
    <w:rsid w:val="00790798"/>
    <w:rsid w:val="00790E21"/>
    <w:rsid w:val="007919A5"/>
    <w:rsid w:val="00791A3F"/>
    <w:rsid w:val="007929E0"/>
    <w:rsid w:val="007942EB"/>
    <w:rsid w:val="00797607"/>
    <w:rsid w:val="0079798A"/>
    <w:rsid w:val="007A26D5"/>
    <w:rsid w:val="007A5EF6"/>
    <w:rsid w:val="007A7F39"/>
    <w:rsid w:val="007B022B"/>
    <w:rsid w:val="007B0729"/>
    <w:rsid w:val="007B1DA8"/>
    <w:rsid w:val="007B7DA6"/>
    <w:rsid w:val="007B7EAE"/>
    <w:rsid w:val="007C071D"/>
    <w:rsid w:val="007C0AE1"/>
    <w:rsid w:val="007C10B9"/>
    <w:rsid w:val="007C2B57"/>
    <w:rsid w:val="007C329C"/>
    <w:rsid w:val="007C3BCA"/>
    <w:rsid w:val="007C5C89"/>
    <w:rsid w:val="007C618F"/>
    <w:rsid w:val="007C6C23"/>
    <w:rsid w:val="007C6DFD"/>
    <w:rsid w:val="007C6F0F"/>
    <w:rsid w:val="007C7AC5"/>
    <w:rsid w:val="007D26F3"/>
    <w:rsid w:val="007D2F95"/>
    <w:rsid w:val="007D4CB1"/>
    <w:rsid w:val="007D57B1"/>
    <w:rsid w:val="007D7DA9"/>
    <w:rsid w:val="007E1B95"/>
    <w:rsid w:val="007E48C0"/>
    <w:rsid w:val="007E7DC1"/>
    <w:rsid w:val="007F023E"/>
    <w:rsid w:val="007F07F1"/>
    <w:rsid w:val="007F10AE"/>
    <w:rsid w:val="007F2905"/>
    <w:rsid w:val="007F3A2A"/>
    <w:rsid w:val="007F471B"/>
    <w:rsid w:val="007F6963"/>
    <w:rsid w:val="0080055E"/>
    <w:rsid w:val="00805595"/>
    <w:rsid w:val="008077CF"/>
    <w:rsid w:val="00807F38"/>
    <w:rsid w:val="00811220"/>
    <w:rsid w:val="008112CA"/>
    <w:rsid w:val="008118C7"/>
    <w:rsid w:val="008131F6"/>
    <w:rsid w:val="00814DBD"/>
    <w:rsid w:val="00815725"/>
    <w:rsid w:val="00817E68"/>
    <w:rsid w:val="00821D02"/>
    <w:rsid w:val="00823214"/>
    <w:rsid w:val="00824396"/>
    <w:rsid w:val="0082611E"/>
    <w:rsid w:val="00830E20"/>
    <w:rsid w:val="00831CB7"/>
    <w:rsid w:val="0083441E"/>
    <w:rsid w:val="00834C81"/>
    <w:rsid w:val="0083730E"/>
    <w:rsid w:val="0084155B"/>
    <w:rsid w:val="00843224"/>
    <w:rsid w:val="00843F0E"/>
    <w:rsid w:val="0084500C"/>
    <w:rsid w:val="00845F34"/>
    <w:rsid w:val="00847592"/>
    <w:rsid w:val="00847E67"/>
    <w:rsid w:val="00852BE3"/>
    <w:rsid w:val="00854870"/>
    <w:rsid w:val="00856610"/>
    <w:rsid w:val="00856C43"/>
    <w:rsid w:val="00856E9C"/>
    <w:rsid w:val="008608C1"/>
    <w:rsid w:val="008631C3"/>
    <w:rsid w:val="0086406E"/>
    <w:rsid w:val="0086478A"/>
    <w:rsid w:val="00864E26"/>
    <w:rsid w:val="00865FD2"/>
    <w:rsid w:val="00866D36"/>
    <w:rsid w:val="00866D5E"/>
    <w:rsid w:val="008675AC"/>
    <w:rsid w:val="00870420"/>
    <w:rsid w:val="00874B98"/>
    <w:rsid w:val="00875D0B"/>
    <w:rsid w:val="0088123A"/>
    <w:rsid w:val="00882B21"/>
    <w:rsid w:val="0088549A"/>
    <w:rsid w:val="008919A2"/>
    <w:rsid w:val="00895EBB"/>
    <w:rsid w:val="0089629C"/>
    <w:rsid w:val="00896B5A"/>
    <w:rsid w:val="00897027"/>
    <w:rsid w:val="008974BE"/>
    <w:rsid w:val="00897647"/>
    <w:rsid w:val="008A0004"/>
    <w:rsid w:val="008A0CE1"/>
    <w:rsid w:val="008A48F0"/>
    <w:rsid w:val="008A4A3D"/>
    <w:rsid w:val="008A5250"/>
    <w:rsid w:val="008A7020"/>
    <w:rsid w:val="008A7B16"/>
    <w:rsid w:val="008A7C87"/>
    <w:rsid w:val="008B012E"/>
    <w:rsid w:val="008B0569"/>
    <w:rsid w:val="008B1D73"/>
    <w:rsid w:val="008B222C"/>
    <w:rsid w:val="008B40CD"/>
    <w:rsid w:val="008B4D09"/>
    <w:rsid w:val="008B51E4"/>
    <w:rsid w:val="008B74D7"/>
    <w:rsid w:val="008C1EE9"/>
    <w:rsid w:val="008C2E20"/>
    <w:rsid w:val="008C3825"/>
    <w:rsid w:val="008C6177"/>
    <w:rsid w:val="008C6388"/>
    <w:rsid w:val="008C7F87"/>
    <w:rsid w:val="008D0264"/>
    <w:rsid w:val="008D2018"/>
    <w:rsid w:val="008D5163"/>
    <w:rsid w:val="008E0BFF"/>
    <w:rsid w:val="008E2254"/>
    <w:rsid w:val="008E2E4E"/>
    <w:rsid w:val="008E4EE8"/>
    <w:rsid w:val="008E64DE"/>
    <w:rsid w:val="008E6F11"/>
    <w:rsid w:val="008E7B23"/>
    <w:rsid w:val="008E7BE1"/>
    <w:rsid w:val="008F2559"/>
    <w:rsid w:val="008F71B1"/>
    <w:rsid w:val="00903597"/>
    <w:rsid w:val="00903AB7"/>
    <w:rsid w:val="00903E16"/>
    <w:rsid w:val="00905978"/>
    <w:rsid w:val="00907DB7"/>
    <w:rsid w:val="00907EE9"/>
    <w:rsid w:val="0091068E"/>
    <w:rsid w:val="0091096B"/>
    <w:rsid w:val="00910C72"/>
    <w:rsid w:val="00911073"/>
    <w:rsid w:val="00915BE6"/>
    <w:rsid w:val="00922B3E"/>
    <w:rsid w:val="009233B4"/>
    <w:rsid w:val="00923730"/>
    <w:rsid w:val="00924160"/>
    <w:rsid w:val="009256F2"/>
    <w:rsid w:val="009261F6"/>
    <w:rsid w:val="009273DA"/>
    <w:rsid w:val="00927E16"/>
    <w:rsid w:val="00930905"/>
    <w:rsid w:val="009318F8"/>
    <w:rsid w:val="00933197"/>
    <w:rsid w:val="00933662"/>
    <w:rsid w:val="00934816"/>
    <w:rsid w:val="0093616F"/>
    <w:rsid w:val="0093618F"/>
    <w:rsid w:val="00937F1B"/>
    <w:rsid w:val="0094412A"/>
    <w:rsid w:val="00944EB0"/>
    <w:rsid w:val="00945D89"/>
    <w:rsid w:val="00947A52"/>
    <w:rsid w:val="00947AA6"/>
    <w:rsid w:val="00950E97"/>
    <w:rsid w:val="009528F8"/>
    <w:rsid w:val="0096533A"/>
    <w:rsid w:val="00966060"/>
    <w:rsid w:val="00966934"/>
    <w:rsid w:val="00967840"/>
    <w:rsid w:val="00967B79"/>
    <w:rsid w:val="00970B73"/>
    <w:rsid w:val="00971D82"/>
    <w:rsid w:val="00974632"/>
    <w:rsid w:val="00983FC3"/>
    <w:rsid w:val="00984574"/>
    <w:rsid w:val="00984FDC"/>
    <w:rsid w:val="00985A8E"/>
    <w:rsid w:val="00986511"/>
    <w:rsid w:val="00987883"/>
    <w:rsid w:val="009905A1"/>
    <w:rsid w:val="00991A39"/>
    <w:rsid w:val="00994F33"/>
    <w:rsid w:val="00995A88"/>
    <w:rsid w:val="009A071F"/>
    <w:rsid w:val="009A0C3C"/>
    <w:rsid w:val="009A2AA3"/>
    <w:rsid w:val="009A366E"/>
    <w:rsid w:val="009A5CC4"/>
    <w:rsid w:val="009A657D"/>
    <w:rsid w:val="009A6F91"/>
    <w:rsid w:val="009A7826"/>
    <w:rsid w:val="009B13A7"/>
    <w:rsid w:val="009B1C88"/>
    <w:rsid w:val="009B20AE"/>
    <w:rsid w:val="009B2BF6"/>
    <w:rsid w:val="009B5618"/>
    <w:rsid w:val="009B701E"/>
    <w:rsid w:val="009C12D5"/>
    <w:rsid w:val="009C708B"/>
    <w:rsid w:val="009C7C29"/>
    <w:rsid w:val="009D330E"/>
    <w:rsid w:val="009D33E5"/>
    <w:rsid w:val="009D33E6"/>
    <w:rsid w:val="009D4570"/>
    <w:rsid w:val="009E1C4B"/>
    <w:rsid w:val="009E3E43"/>
    <w:rsid w:val="009E496B"/>
    <w:rsid w:val="009E5643"/>
    <w:rsid w:val="009E5736"/>
    <w:rsid w:val="009F1FD8"/>
    <w:rsid w:val="009F23B2"/>
    <w:rsid w:val="009F51B1"/>
    <w:rsid w:val="009F6528"/>
    <w:rsid w:val="009F6CE8"/>
    <w:rsid w:val="00A006C5"/>
    <w:rsid w:val="00A05C98"/>
    <w:rsid w:val="00A07B80"/>
    <w:rsid w:val="00A14808"/>
    <w:rsid w:val="00A165EF"/>
    <w:rsid w:val="00A16934"/>
    <w:rsid w:val="00A16B7D"/>
    <w:rsid w:val="00A21EE8"/>
    <w:rsid w:val="00A228DA"/>
    <w:rsid w:val="00A23CE1"/>
    <w:rsid w:val="00A25089"/>
    <w:rsid w:val="00A254E1"/>
    <w:rsid w:val="00A26688"/>
    <w:rsid w:val="00A267EA"/>
    <w:rsid w:val="00A27B2D"/>
    <w:rsid w:val="00A27B7F"/>
    <w:rsid w:val="00A306E7"/>
    <w:rsid w:val="00A337F2"/>
    <w:rsid w:val="00A33985"/>
    <w:rsid w:val="00A34753"/>
    <w:rsid w:val="00A34BBF"/>
    <w:rsid w:val="00A3539C"/>
    <w:rsid w:val="00A35ECE"/>
    <w:rsid w:val="00A35F37"/>
    <w:rsid w:val="00A36819"/>
    <w:rsid w:val="00A371BF"/>
    <w:rsid w:val="00A41DEB"/>
    <w:rsid w:val="00A42035"/>
    <w:rsid w:val="00A42A6F"/>
    <w:rsid w:val="00A433B4"/>
    <w:rsid w:val="00A44769"/>
    <w:rsid w:val="00A44F46"/>
    <w:rsid w:val="00A451AE"/>
    <w:rsid w:val="00A46F88"/>
    <w:rsid w:val="00A4729F"/>
    <w:rsid w:val="00A51943"/>
    <w:rsid w:val="00A523B4"/>
    <w:rsid w:val="00A53C56"/>
    <w:rsid w:val="00A53CCE"/>
    <w:rsid w:val="00A55CD2"/>
    <w:rsid w:val="00A55F63"/>
    <w:rsid w:val="00A57B92"/>
    <w:rsid w:val="00A601CA"/>
    <w:rsid w:val="00A602ED"/>
    <w:rsid w:val="00A62205"/>
    <w:rsid w:val="00A62E37"/>
    <w:rsid w:val="00A63730"/>
    <w:rsid w:val="00A64695"/>
    <w:rsid w:val="00A6516A"/>
    <w:rsid w:val="00A65E12"/>
    <w:rsid w:val="00A666EF"/>
    <w:rsid w:val="00A673A2"/>
    <w:rsid w:val="00A67CBE"/>
    <w:rsid w:val="00A707CF"/>
    <w:rsid w:val="00A71AEC"/>
    <w:rsid w:val="00A730A2"/>
    <w:rsid w:val="00A7329A"/>
    <w:rsid w:val="00A7368E"/>
    <w:rsid w:val="00A7492B"/>
    <w:rsid w:val="00A805AF"/>
    <w:rsid w:val="00A816EF"/>
    <w:rsid w:val="00A81FC5"/>
    <w:rsid w:val="00A82C17"/>
    <w:rsid w:val="00A860C3"/>
    <w:rsid w:val="00A86479"/>
    <w:rsid w:val="00A86940"/>
    <w:rsid w:val="00A87611"/>
    <w:rsid w:val="00A949DD"/>
    <w:rsid w:val="00A96AF7"/>
    <w:rsid w:val="00AA2451"/>
    <w:rsid w:val="00AA2BD4"/>
    <w:rsid w:val="00AA34CC"/>
    <w:rsid w:val="00AA3547"/>
    <w:rsid w:val="00AA3C19"/>
    <w:rsid w:val="00AA6ABB"/>
    <w:rsid w:val="00AB07D2"/>
    <w:rsid w:val="00AB1387"/>
    <w:rsid w:val="00AC47A3"/>
    <w:rsid w:val="00AD04B7"/>
    <w:rsid w:val="00AD1950"/>
    <w:rsid w:val="00AD2F25"/>
    <w:rsid w:val="00AD47D1"/>
    <w:rsid w:val="00AD47DA"/>
    <w:rsid w:val="00AD4B2B"/>
    <w:rsid w:val="00AD4D98"/>
    <w:rsid w:val="00AD62BB"/>
    <w:rsid w:val="00AD6C62"/>
    <w:rsid w:val="00AD7CC1"/>
    <w:rsid w:val="00AE11A5"/>
    <w:rsid w:val="00AE183C"/>
    <w:rsid w:val="00AE3190"/>
    <w:rsid w:val="00AE3D84"/>
    <w:rsid w:val="00AE45F0"/>
    <w:rsid w:val="00AE4FA8"/>
    <w:rsid w:val="00AE6DC3"/>
    <w:rsid w:val="00AF10CA"/>
    <w:rsid w:val="00AF1B20"/>
    <w:rsid w:val="00AF28BB"/>
    <w:rsid w:val="00AF2E7F"/>
    <w:rsid w:val="00AF3023"/>
    <w:rsid w:val="00AF3897"/>
    <w:rsid w:val="00AF7768"/>
    <w:rsid w:val="00B0000B"/>
    <w:rsid w:val="00B003DC"/>
    <w:rsid w:val="00B02315"/>
    <w:rsid w:val="00B02B05"/>
    <w:rsid w:val="00B06A66"/>
    <w:rsid w:val="00B073FA"/>
    <w:rsid w:val="00B11684"/>
    <w:rsid w:val="00B13DAE"/>
    <w:rsid w:val="00B16B2B"/>
    <w:rsid w:val="00B16BBD"/>
    <w:rsid w:val="00B20F56"/>
    <w:rsid w:val="00B21EB8"/>
    <w:rsid w:val="00B2274E"/>
    <w:rsid w:val="00B237AA"/>
    <w:rsid w:val="00B26F2D"/>
    <w:rsid w:val="00B326B0"/>
    <w:rsid w:val="00B34DD7"/>
    <w:rsid w:val="00B36100"/>
    <w:rsid w:val="00B37B06"/>
    <w:rsid w:val="00B4389B"/>
    <w:rsid w:val="00B45E9C"/>
    <w:rsid w:val="00B463F4"/>
    <w:rsid w:val="00B4799D"/>
    <w:rsid w:val="00B50D7F"/>
    <w:rsid w:val="00B5267F"/>
    <w:rsid w:val="00B536A1"/>
    <w:rsid w:val="00B56CCA"/>
    <w:rsid w:val="00B60493"/>
    <w:rsid w:val="00B609D5"/>
    <w:rsid w:val="00B61ACB"/>
    <w:rsid w:val="00B62277"/>
    <w:rsid w:val="00B65704"/>
    <w:rsid w:val="00B658DF"/>
    <w:rsid w:val="00B6608B"/>
    <w:rsid w:val="00B67024"/>
    <w:rsid w:val="00B67DD9"/>
    <w:rsid w:val="00B73EBB"/>
    <w:rsid w:val="00B741F3"/>
    <w:rsid w:val="00B80863"/>
    <w:rsid w:val="00B82827"/>
    <w:rsid w:val="00B84D54"/>
    <w:rsid w:val="00B87FA6"/>
    <w:rsid w:val="00B91F3A"/>
    <w:rsid w:val="00B943D1"/>
    <w:rsid w:val="00B94C45"/>
    <w:rsid w:val="00BA0BBA"/>
    <w:rsid w:val="00BA3D43"/>
    <w:rsid w:val="00BA5E91"/>
    <w:rsid w:val="00BA7438"/>
    <w:rsid w:val="00BA75A5"/>
    <w:rsid w:val="00BA7760"/>
    <w:rsid w:val="00BB03E1"/>
    <w:rsid w:val="00BB0C98"/>
    <w:rsid w:val="00BB1334"/>
    <w:rsid w:val="00BB44D3"/>
    <w:rsid w:val="00BB50D0"/>
    <w:rsid w:val="00BB6A60"/>
    <w:rsid w:val="00BC051D"/>
    <w:rsid w:val="00BC074F"/>
    <w:rsid w:val="00BC20C4"/>
    <w:rsid w:val="00BC359F"/>
    <w:rsid w:val="00BC5869"/>
    <w:rsid w:val="00BC5B6E"/>
    <w:rsid w:val="00BC6AAB"/>
    <w:rsid w:val="00BC7222"/>
    <w:rsid w:val="00BC77BA"/>
    <w:rsid w:val="00BC7F17"/>
    <w:rsid w:val="00BD4629"/>
    <w:rsid w:val="00BD5252"/>
    <w:rsid w:val="00BD530B"/>
    <w:rsid w:val="00BE1977"/>
    <w:rsid w:val="00BE266F"/>
    <w:rsid w:val="00BE2A33"/>
    <w:rsid w:val="00BE336D"/>
    <w:rsid w:val="00BE3C75"/>
    <w:rsid w:val="00BE5326"/>
    <w:rsid w:val="00BE53E3"/>
    <w:rsid w:val="00BF1FB2"/>
    <w:rsid w:val="00BF339C"/>
    <w:rsid w:val="00BF411B"/>
    <w:rsid w:val="00BF4F45"/>
    <w:rsid w:val="00BF4FF7"/>
    <w:rsid w:val="00BF5468"/>
    <w:rsid w:val="00BF5619"/>
    <w:rsid w:val="00BF6370"/>
    <w:rsid w:val="00BF72AD"/>
    <w:rsid w:val="00BF77D2"/>
    <w:rsid w:val="00C00527"/>
    <w:rsid w:val="00C02266"/>
    <w:rsid w:val="00C03B19"/>
    <w:rsid w:val="00C04570"/>
    <w:rsid w:val="00C04805"/>
    <w:rsid w:val="00C04EA0"/>
    <w:rsid w:val="00C052D1"/>
    <w:rsid w:val="00C0586B"/>
    <w:rsid w:val="00C05A56"/>
    <w:rsid w:val="00C05B9F"/>
    <w:rsid w:val="00C11F60"/>
    <w:rsid w:val="00C14A9B"/>
    <w:rsid w:val="00C14F99"/>
    <w:rsid w:val="00C15BDA"/>
    <w:rsid w:val="00C20375"/>
    <w:rsid w:val="00C224A6"/>
    <w:rsid w:val="00C25334"/>
    <w:rsid w:val="00C30732"/>
    <w:rsid w:val="00C30BAC"/>
    <w:rsid w:val="00C30DCF"/>
    <w:rsid w:val="00C30FBF"/>
    <w:rsid w:val="00C318D4"/>
    <w:rsid w:val="00C33DF4"/>
    <w:rsid w:val="00C34BF0"/>
    <w:rsid w:val="00C35ED1"/>
    <w:rsid w:val="00C407BB"/>
    <w:rsid w:val="00C421B4"/>
    <w:rsid w:val="00C4229D"/>
    <w:rsid w:val="00C4565D"/>
    <w:rsid w:val="00C461B0"/>
    <w:rsid w:val="00C46667"/>
    <w:rsid w:val="00C46B98"/>
    <w:rsid w:val="00C502C7"/>
    <w:rsid w:val="00C511B8"/>
    <w:rsid w:val="00C5186C"/>
    <w:rsid w:val="00C526F5"/>
    <w:rsid w:val="00C5378E"/>
    <w:rsid w:val="00C54063"/>
    <w:rsid w:val="00C55072"/>
    <w:rsid w:val="00C5557D"/>
    <w:rsid w:val="00C55694"/>
    <w:rsid w:val="00C56385"/>
    <w:rsid w:val="00C63222"/>
    <w:rsid w:val="00C67AD2"/>
    <w:rsid w:val="00C67C5B"/>
    <w:rsid w:val="00C67ECC"/>
    <w:rsid w:val="00C7258A"/>
    <w:rsid w:val="00C77E5E"/>
    <w:rsid w:val="00C80836"/>
    <w:rsid w:val="00C830A9"/>
    <w:rsid w:val="00C83371"/>
    <w:rsid w:val="00C87416"/>
    <w:rsid w:val="00C901B6"/>
    <w:rsid w:val="00C9115F"/>
    <w:rsid w:val="00C91C91"/>
    <w:rsid w:val="00C9223E"/>
    <w:rsid w:val="00C92826"/>
    <w:rsid w:val="00C94DED"/>
    <w:rsid w:val="00C96070"/>
    <w:rsid w:val="00C96C9D"/>
    <w:rsid w:val="00C97E28"/>
    <w:rsid w:val="00CA042D"/>
    <w:rsid w:val="00CA0CCC"/>
    <w:rsid w:val="00CA3FD4"/>
    <w:rsid w:val="00CA6C71"/>
    <w:rsid w:val="00CA72E1"/>
    <w:rsid w:val="00CB1203"/>
    <w:rsid w:val="00CB29D2"/>
    <w:rsid w:val="00CB6670"/>
    <w:rsid w:val="00CB749D"/>
    <w:rsid w:val="00CC05A9"/>
    <w:rsid w:val="00CC4FAB"/>
    <w:rsid w:val="00CD11C1"/>
    <w:rsid w:val="00CD147F"/>
    <w:rsid w:val="00CD1EAF"/>
    <w:rsid w:val="00CD5AA5"/>
    <w:rsid w:val="00CE01EB"/>
    <w:rsid w:val="00CE1495"/>
    <w:rsid w:val="00CE1A23"/>
    <w:rsid w:val="00CE314C"/>
    <w:rsid w:val="00CE3209"/>
    <w:rsid w:val="00CE48C5"/>
    <w:rsid w:val="00CE63D5"/>
    <w:rsid w:val="00CE76E6"/>
    <w:rsid w:val="00CE7AC0"/>
    <w:rsid w:val="00CE7EEB"/>
    <w:rsid w:val="00CF0DC0"/>
    <w:rsid w:val="00CF15BC"/>
    <w:rsid w:val="00CF248D"/>
    <w:rsid w:val="00CF5A3C"/>
    <w:rsid w:val="00CF5AFD"/>
    <w:rsid w:val="00CF7C3C"/>
    <w:rsid w:val="00D00B74"/>
    <w:rsid w:val="00D023E9"/>
    <w:rsid w:val="00D024D3"/>
    <w:rsid w:val="00D02879"/>
    <w:rsid w:val="00D039D2"/>
    <w:rsid w:val="00D049C3"/>
    <w:rsid w:val="00D06FB4"/>
    <w:rsid w:val="00D10656"/>
    <w:rsid w:val="00D106CD"/>
    <w:rsid w:val="00D11744"/>
    <w:rsid w:val="00D12A8C"/>
    <w:rsid w:val="00D13DED"/>
    <w:rsid w:val="00D230B9"/>
    <w:rsid w:val="00D24DEF"/>
    <w:rsid w:val="00D253C8"/>
    <w:rsid w:val="00D2785A"/>
    <w:rsid w:val="00D30315"/>
    <w:rsid w:val="00D34172"/>
    <w:rsid w:val="00D36C11"/>
    <w:rsid w:val="00D40E23"/>
    <w:rsid w:val="00D426C3"/>
    <w:rsid w:val="00D45066"/>
    <w:rsid w:val="00D46111"/>
    <w:rsid w:val="00D52657"/>
    <w:rsid w:val="00D5390C"/>
    <w:rsid w:val="00D539BB"/>
    <w:rsid w:val="00D53A1E"/>
    <w:rsid w:val="00D53AC9"/>
    <w:rsid w:val="00D61DAA"/>
    <w:rsid w:val="00D62BA9"/>
    <w:rsid w:val="00D64107"/>
    <w:rsid w:val="00D663AF"/>
    <w:rsid w:val="00D663C9"/>
    <w:rsid w:val="00D66D68"/>
    <w:rsid w:val="00D67284"/>
    <w:rsid w:val="00D733A8"/>
    <w:rsid w:val="00D75C24"/>
    <w:rsid w:val="00D806D1"/>
    <w:rsid w:val="00D80B8E"/>
    <w:rsid w:val="00D82317"/>
    <w:rsid w:val="00D86169"/>
    <w:rsid w:val="00D868CD"/>
    <w:rsid w:val="00D86EB0"/>
    <w:rsid w:val="00D87066"/>
    <w:rsid w:val="00D91C9C"/>
    <w:rsid w:val="00D94D77"/>
    <w:rsid w:val="00D95B70"/>
    <w:rsid w:val="00D95D10"/>
    <w:rsid w:val="00DA28A2"/>
    <w:rsid w:val="00DA50E5"/>
    <w:rsid w:val="00DA6BE3"/>
    <w:rsid w:val="00DB0BA0"/>
    <w:rsid w:val="00DB40DA"/>
    <w:rsid w:val="00DB6EB4"/>
    <w:rsid w:val="00DB75CD"/>
    <w:rsid w:val="00DC1B2F"/>
    <w:rsid w:val="00DC1C2D"/>
    <w:rsid w:val="00DC4895"/>
    <w:rsid w:val="00DC5064"/>
    <w:rsid w:val="00DC6C49"/>
    <w:rsid w:val="00DC72EA"/>
    <w:rsid w:val="00DC79AE"/>
    <w:rsid w:val="00DD15DC"/>
    <w:rsid w:val="00DE0359"/>
    <w:rsid w:val="00DE0D88"/>
    <w:rsid w:val="00DE219F"/>
    <w:rsid w:val="00DE3EE5"/>
    <w:rsid w:val="00DE5604"/>
    <w:rsid w:val="00DE7FAE"/>
    <w:rsid w:val="00DF23DC"/>
    <w:rsid w:val="00E006F4"/>
    <w:rsid w:val="00E01BD3"/>
    <w:rsid w:val="00E02AA0"/>
    <w:rsid w:val="00E03EE0"/>
    <w:rsid w:val="00E06201"/>
    <w:rsid w:val="00E068A8"/>
    <w:rsid w:val="00E068B2"/>
    <w:rsid w:val="00E076A7"/>
    <w:rsid w:val="00E07D80"/>
    <w:rsid w:val="00E1305D"/>
    <w:rsid w:val="00E13E0A"/>
    <w:rsid w:val="00E15DE1"/>
    <w:rsid w:val="00E15E6D"/>
    <w:rsid w:val="00E17DBA"/>
    <w:rsid w:val="00E2196E"/>
    <w:rsid w:val="00E21E4C"/>
    <w:rsid w:val="00E23567"/>
    <w:rsid w:val="00E23A50"/>
    <w:rsid w:val="00E2545A"/>
    <w:rsid w:val="00E265E0"/>
    <w:rsid w:val="00E304C6"/>
    <w:rsid w:val="00E313AB"/>
    <w:rsid w:val="00E31A49"/>
    <w:rsid w:val="00E327DD"/>
    <w:rsid w:val="00E328DD"/>
    <w:rsid w:val="00E334FB"/>
    <w:rsid w:val="00E4125C"/>
    <w:rsid w:val="00E42AE9"/>
    <w:rsid w:val="00E447D3"/>
    <w:rsid w:val="00E44944"/>
    <w:rsid w:val="00E44ECD"/>
    <w:rsid w:val="00E46891"/>
    <w:rsid w:val="00E4761E"/>
    <w:rsid w:val="00E50B69"/>
    <w:rsid w:val="00E521DD"/>
    <w:rsid w:val="00E550B6"/>
    <w:rsid w:val="00E55280"/>
    <w:rsid w:val="00E6177E"/>
    <w:rsid w:val="00E62424"/>
    <w:rsid w:val="00E63DC5"/>
    <w:rsid w:val="00E64CA2"/>
    <w:rsid w:val="00E66888"/>
    <w:rsid w:val="00E720CD"/>
    <w:rsid w:val="00E7243A"/>
    <w:rsid w:val="00E73E1E"/>
    <w:rsid w:val="00E75744"/>
    <w:rsid w:val="00E76E46"/>
    <w:rsid w:val="00E772CC"/>
    <w:rsid w:val="00E77DEE"/>
    <w:rsid w:val="00E77FFD"/>
    <w:rsid w:val="00E80DF7"/>
    <w:rsid w:val="00E82DAF"/>
    <w:rsid w:val="00E8390D"/>
    <w:rsid w:val="00E83B74"/>
    <w:rsid w:val="00E841F9"/>
    <w:rsid w:val="00E848F3"/>
    <w:rsid w:val="00E84C8C"/>
    <w:rsid w:val="00E946DC"/>
    <w:rsid w:val="00E949C9"/>
    <w:rsid w:val="00E95359"/>
    <w:rsid w:val="00E95BE1"/>
    <w:rsid w:val="00E95C02"/>
    <w:rsid w:val="00E9704A"/>
    <w:rsid w:val="00E97DD4"/>
    <w:rsid w:val="00EA2BDF"/>
    <w:rsid w:val="00EA737B"/>
    <w:rsid w:val="00EA7779"/>
    <w:rsid w:val="00EB0A90"/>
    <w:rsid w:val="00EB0EB8"/>
    <w:rsid w:val="00EB19AB"/>
    <w:rsid w:val="00EB1DB8"/>
    <w:rsid w:val="00EB4679"/>
    <w:rsid w:val="00EB471F"/>
    <w:rsid w:val="00EB4D42"/>
    <w:rsid w:val="00EB7693"/>
    <w:rsid w:val="00EC27EC"/>
    <w:rsid w:val="00EC38CB"/>
    <w:rsid w:val="00EC4C23"/>
    <w:rsid w:val="00EC534C"/>
    <w:rsid w:val="00EC63EE"/>
    <w:rsid w:val="00ED206C"/>
    <w:rsid w:val="00ED2DFE"/>
    <w:rsid w:val="00ED3F7C"/>
    <w:rsid w:val="00ED4209"/>
    <w:rsid w:val="00ED463E"/>
    <w:rsid w:val="00ED75E5"/>
    <w:rsid w:val="00ED7AE1"/>
    <w:rsid w:val="00EE0A39"/>
    <w:rsid w:val="00EE1DFA"/>
    <w:rsid w:val="00EE3102"/>
    <w:rsid w:val="00EE314C"/>
    <w:rsid w:val="00EE4536"/>
    <w:rsid w:val="00EE691F"/>
    <w:rsid w:val="00EE7DAB"/>
    <w:rsid w:val="00EE7E7B"/>
    <w:rsid w:val="00EF24A6"/>
    <w:rsid w:val="00EF27EB"/>
    <w:rsid w:val="00EF32D8"/>
    <w:rsid w:val="00EF3875"/>
    <w:rsid w:val="00EF394C"/>
    <w:rsid w:val="00EF39CD"/>
    <w:rsid w:val="00EF46C4"/>
    <w:rsid w:val="00EF47E6"/>
    <w:rsid w:val="00EF6819"/>
    <w:rsid w:val="00EF76FF"/>
    <w:rsid w:val="00EF7DC6"/>
    <w:rsid w:val="00EF7F41"/>
    <w:rsid w:val="00F0071D"/>
    <w:rsid w:val="00F02D58"/>
    <w:rsid w:val="00F03FE1"/>
    <w:rsid w:val="00F051B4"/>
    <w:rsid w:val="00F07E74"/>
    <w:rsid w:val="00F10FCB"/>
    <w:rsid w:val="00F15D89"/>
    <w:rsid w:val="00F16058"/>
    <w:rsid w:val="00F171D7"/>
    <w:rsid w:val="00F17474"/>
    <w:rsid w:val="00F2114C"/>
    <w:rsid w:val="00F2141A"/>
    <w:rsid w:val="00F21CDC"/>
    <w:rsid w:val="00F2369A"/>
    <w:rsid w:val="00F251ED"/>
    <w:rsid w:val="00F301CF"/>
    <w:rsid w:val="00F35E42"/>
    <w:rsid w:val="00F36110"/>
    <w:rsid w:val="00F37556"/>
    <w:rsid w:val="00F40288"/>
    <w:rsid w:val="00F40973"/>
    <w:rsid w:val="00F40EB4"/>
    <w:rsid w:val="00F43396"/>
    <w:rsid w:val="00F43D81"/>
    <w:rsid w:val="00F4420D"/>
    <w:rsid w:val="00F44883"/>
    <w:rsid w:val="00F501BF"/>
    <w:rsid w:val="00F505E8"/>
    <w:rsid w:val="00F52356"/>
    <w:rsid w:val="00F531A1"/>
    <w:rsid w:val="00F544A9"/>
    <w:rsid w:val="00F57D2A"/>
    <w:rsid w:val="00F605EB"/>
    <w:rsid w:val="00F61869"/>
    <w:rsid w:val="00F64981"/>
    <w:rsid w:val="00F660AB"/>
    <w:rsid w:val="00F6677C"/>
    <w:rsid w:val="00F66A21"/>
    <w:rsid w:val="00F7212C"/>
    <w:rsid w:val="00F742DF"/>
    <w:rsid w:val="00F7433B"/>
    <w:rsid w:val="00F75089"/>
    <w:rsid w:val="00F76FDC"/>
    <w:rsid w:val="00F770C4"/>
    <w:rsid w:val="00F80BBA"/>
    <w:rsid w:val="00F85F1E"/>
    <w:rsid w:val="00F863AC"/>
    <w:rsid w:val="00F90D98"/>
    <w:rsid w:val="00F92044"/>
    <w:rsid w:val="00F92929"/>
    <w:rsid w:val="00F93344"/>
    <w:rsid w:val="00F93358"/>
    <w:rsid w:val="00F93F21"/>
    <w:rsid w:val="00F94BC5"/>
    <w:rsid w:val="00F96C3B"/>
    <w:rsid w:val="00F971C1"/>
    <w:rsid w:val="00F9728B"/>
    <w:rsid w:val="00FA0CEC"/>
    <w:rsid w:val="00FA25B8"/>
    <w:rsid w:val="00FA2A3C"/>
    <w:rsid w:val="00FA2D26"/>
    <w:rsid w:val="00FA4901"/>
    <w:rsid w:val="00FB0AC1"/>
    <w:rsid w:val="00FB292F"/>
    <w:rsid w:val="00FB4769"/>
    <w:rsid w:val="00FB5769"/>
    <w:rsid w:val="00FB6AFD"/>
    <w:rsid w:val="00FB75F1"/>
    <w:rsid w:val="00FB76FD"/>
    <w:rsid w:val="00FB7E5C"/>
    <w:rsid w:val="00FC12DA"/>
    <w:rsid w:val="00FC32F1"/>
    <w:rsid w:val="00FC3A29"/>
    <w:rsid w:val="00FC4B54"/>
    <w:rsid w:val="00FC62AA"/>
    <w:rsid w:val="00FC6475"/>
    <w:rsid w:val="00FC76C6"/>
    <w:rsid w:val="00FD08BD"/>
    <w:rsid w:val="00FD360C"/>
    <w:rsid w:val="00FD3A23"/>
    <w:rsid w:val="00FD3F7B"/>
    <w:rsid w:val="00FD4543"/>
    <w:rsid w:val="00FD54D5"/>
    <w:rsid w:val="00FE0678"/>
    <w:rsid w:val="00FE12D4"/>
    <w:rsid w:val="00FE3ED3"/>
    <w:rsid w:val="00FE79C0"/>
    <w:rsid w:val="00FF3BDB"/>
    <w:rsid w:val="00FF5E76"/>
    <w:rsid w:val="00FF7AAC"/>
    <w:rsid w:val="040F3E66"/>
    <w:rsid w:val="05C649F8"/>
    <w:rsid w:val="073836D3"/>
    <w:rsid w:val="0B8213C1"/>
    <w:rsid w:val="0FCB3337"/>
    <w:rsid w:val="10D206F5"/>
    <w:rsid w:val="149363ED"/>
    <w:rsid w:val="28C130D1"/>
    <w:rsid w:val="3148438F"/>
    <w:rsid w:val="3307027A"/>
    <w:rsid w:val="37BA58BB"/>
    <w:rsid w:val="4AE922E8"/>
    <w:rsid w:val="4BDE7972"/>
    <w:rsid w:val="4C435AFD"/>
    <w:rsid w:val="4CEA2347"/>
    <w:rsid w:val="515240B8"/>
    <w:rsid w:val="56A417B8"/>
    <w:rsid w:val="5B647768"/>
    <w:rsid w:val="684E77D6"/>
    <w:rsid w:val="6DB1683D"/>
    <w:rsid w:val="6EB463BB"/>
    <w:rsid w:val="7D7E4262"/>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宋体"/>
      <w:kern w:val="0"/>
      <w:sz w:val="24"/>
      <w:szCs w:val="24"/>
      <w:lang w:val="en-US" w:eastAsia="zh-CN" w:bidi="ar-SA"/>
    </w:rPr>
  </w:style>
  <w:style w:type="paragraph" w:styleId="4">
    <w:name w:val="heading 1"/>
    <w:basedOn w:val="1"/>
    <w:next w:val="1"/>
    <w:link w:val="80"/>
    <w:autoRedefine/>
    <w:qFormat/>
    <w:uiPriority w:val="0"/>
    <w:pPr>
      <w:keepNext/>
      <w:jc w:val="left"/>
      <w:outlineLvl w:val="0"/>
    </w:pPr>
    <w:rPr>
      <w:b/>
      <w:sz w:val="28"/>
    </w:rPr>
  </w:style>
  <w:style w:type="paragraph" w:styleId="5">
    <w:name w:val="heading 2"/>
    <w:basedOn w:val="1"/>
    <w:next w:val="1"/>
    <w:link w:val="81"/>
    <w:autoRedefine/>
    <w:qFormat/>
    <w:uiPriority w:val="0"/>
    <w:pPr>
      <w:keepNext/>
      <w:keepLines/>
      <w:spacing w:line="360" w:lineRule="auto"/>
      <w:ind w:firstLine="200" w:firstLineChars="200"/>
      <w:outlineLvl w:val="1"/>
    </w:pPr>
    <w:rPr>
      <w:b/>
      <w:bCs/>
      <w:szCs w:val="32"/>
    </w:rPr>
  </w:style>
  <w:style w:type="paragraph" w:styleId="6">
    <w:name w:val="heading 3"/>
    <w:basedOn w:val="1"/>
    <w:next w:val="1"/>
    <w:link w:val="82"/>
    <w:autoRedefine/>
    <w:qFormat/>
    <w:uiPriority w:val="0"/>
    <w:pPr>
      <w:keepNext/>
      <w:keepLines/>
      <w:spacing w:line="360" w:lineRule="auto"/>
      <w:ind w:firstLine="200" w:firstLineChars="200"/>
      <w:outlineLvl w:val="2"/>
    </w:pPr>
    <w:rPr>
      <w:b/>
      <w:szCs w:val="20"/>
    </w:rPr>
  </w:style>
  <w:style w:type="paragraph" w:styleId="7">
    <w:name w:val="heading 4"/>
    <w:basedOn w:val="1"/>
    <w:next w:val="1"/>
    <w:link w:val="58"/>
    <w:autoRedefine/>
    <w:qFormat/>
    <w:uiPriority w:val="0"/>
    <w:pPr>
      <w:keepNext/>
      <w:keepLines/>
      <w:spacing w:line="360" w:lineRule="auto"/>
      <w:ind w:firstLine="200" w:firstLineChars="200"/>
      <w:outlineLvl w:val="3"/>
    </w:pPr>
    <w:rPr>
      <w:rFonts w:ascii="宋体" w:hAnsi="宋体"/>
      <w:b/>
      <w:szCs w:val="20"/>
    </w:rPr>
  </w:style>
  <w:style w:type="paragraph" w:styleId="8">
    <w:name w:val="heading 5"/>
    <w:basedOn w:val="1"/>
    <w:next w:val="1"/>
    <w:link w:val="83"/>
    <w:autoRedefine/>
    <w:qFormat/>
    <w:uiPriority w:val="0"/>
    <w:pPr>
      <w:keepNext/>
      <w:keepLines/>
      <w:spacing w:before="280" w:after="290" w:line="376" w:lineRule="auto"/>
      <w:outlineLvl w:val="4"/>
    </w:pPr>
    <w:rPr>
      <w:rFonts w:eastAsiaTheme="minorEastAsia"/>
      <w:b/>
      <w:bCs/>
      <w:sz w:val="28"/>
      <w:szCs w:val="28"/>
    </w:rPr>
  </w:style>
  <w:style w:type="paragraph" w:styleId="9">
    <w:name w:val="heading 6"/>
    <w:basedOn w:val="1"/>
    <w:next w:val="1"/>
    <w:link w:val="84"/>
    <w:autoRedefine/>
    <w:qFormat/>
    <w:uiPriority w:val="0"/>
    <w:pPr>
      <w:keepNext/>
      <w:keepLines/>
      <w:spacing w:line="360" w:lineRule="auto"/>
      <w:ind w:firstLine="200" w:firstLineChars="200"/>
      <w:jc w:val="left"/>
      <w:outlineLvl w:val="5"/>
    </w:pPr>
    <w:rPr>
      <w:rFonts w:eastAsiaTheme="minorEastAsia"/>
      <w:b/>
      <w:color w:val="000000"/>
      <w:spacing w:val="5"/>
      <w:kern w:val="20"/>
      <w:szCs w:val="20"/>
    </w:rPr>
  </w:style>
  <w:style w:type="paragraph" w:styleId="10">
    <w:name w:val="heading 7"/>
    <w:basedOn w:val="1"/>
    <w:next w:val="1"/>
    <w:link w:val="85"/>
    <w:autoRedefine/>
    <w:qFormat/>
    <w:uiPriority w:val="0"/>
    <w:pPr>
      <w:keepNext/>
      <w:keepLines/>
      <w:spacing w:line="240" w:lineRule="atLeast"/>
      <w:jc w:val="left"/>
      <w:outlineLvl w:val="6"/>
    </w:pPr>
    <w:rPr>
      <w:rFonts w:eastAsiaTheme="minorEastAsia"/>
      <w:smallCaps/>
      <w:color w:val="000000"/>
      <w:kern w:val="20"/>
      <w:szCs w:val="20"/>
    </w:rPr>
  </w:style>
  <w:style w:type="paragraph" w:styleId="11">
    <w:name w:val="heading 8"/>
    <w:basedOn w:val="1"/>
    <w:next w:val="1"/>
    <w:link w:val="86"/>
    <w:autoRedefine/>
    <w:qFormat/>
    <w:uiPriority w:val="0"/>
    <w:pPr>
      <w:keepNext/>
      <w:keepLines/>
      <w:spacing w:line="240" w:lineRule="atLeast"/>
      <w:ind w:firstLine="360"/>
      <w:jc w:val="left"/>
      <w:outlineLvl w:val="7"/>
    </w:pPr>
    <w:rPr>
      <w:rFonts w:eastAsiaTheme="minorEastAsia"/>
      <w:i/>
      <w:color w:val="000000"/>
      <w:spacing w:val="5"/>
      <w:kern w:val="20"/>
      <w:szCs w:val="20"/>
    </w:rPr>
  </w:style>
  <w:style w:type="paragraph" w:styleId="12">
    <w:name w:val="heading 9"/>
    <w:basedOn w:val="1"/>
    <w:next w:val="1"/>
    <w:link w:val="87"/>
    <w:autoRedefine/>
    <w:qFormat/>
    <w:uiPriority w:val="0"/>
    <w:pPr>
      <w:keepNext/>
      <w:keepLines/>
      <w:spacing w:line="240" w:lineRule="atLeast"/>
      <w:jc w:val="left"/>
      <w:outlineLvl w:val="8"/>
    </w:pPr>
    <w:rPr>
      <w:rFonts w:eastAsiaTheme="minorEastAsia"/>
      <w:color w:val="000000"/>
      <w:spacing w:val="-5"/>
      <w:kern w:val="20"/>
      <w:szCs w:val="20"/>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7"/>
    <w:autoRedefine/>
    <w:unhideWhenUsed/>
    <w:qFormat/>
    <w:uiPriority w:val="0"/>
    <w:pPr>
      <w:spacing w:line="360" w:lineRule="auto"/>
      <w:ind w:firstLine="420" w:firstLineChars="250"/>
    </w:pPr>
    <w:rPr>
      <w:rFonts w:eastAsiaTheme="minorEastAsia"/>
      <w:color w:val="FF0000"/>
    </w:rPr>
  </w:style>
  <w:style w:type="paragraph" w:styleId="3">
    <w:name w:val="Body Text Indent"/>
    <w:basedOn w:val="1"/>
    <w:link w:val="56"/>
    <w:autoRedefine/>
    <w:unhideWhenUsed/>
    <w:qFormat/>
    <w:uiPriority w:val="0"/>
    <w:pPr>
      <w:spacing w:after="120"/>
      <w:ind w:left="420" w:leftChars="200"/>
    </w:pPr>
  </w:style>
  <w:style w:type="paragraph" w:styleId="13">
    <w:name w:val="Normal Indent"/>
    <w:basedOn w:val="1"/>
    <w:link w:val="109"/>
    <w:autoRedefine/>
    <w:qFormat/>
    <w:uiPriority w:val="0"/>
    <w:pPr>
      <w:ind w:firstLine="420" w:firstLineChars="200"/>
    </w:pPr>
    <w:rPr>
      <w:rFonts w:eastAsiaTheme="minorEastAsia"/>
      <w:szCs w:val="22"/>
    </w:rPr>
  </w:style>
  <w:style w:type="paragraph" w:styleId="14">
    <w:name w:val="caption"/>
    <w:basedOn w:val="1"/>
    <w:next w:val="1"/>
    <w:link w:val="197"/>
    <w:autoRedefine/>
    <w:qFormat/>
    <w:uiPriority w:val="0"/>
    <w:rPr>
      <w:rFonts w:ascii="Arial" w:hAnsi="Arial" w:eastAsia="黑体" w:cs="Arial"/>
      <w:sz w:val="20"/>
      <w:szCs w:val="20"/>
    </w:rPr>
  </w:style>
  <w:style w:type="paragraph" w:styleId="15">
    <w:name w:val="List Bullet"/>
    <w:basedOn w:val="1"/>
    <w:autoRedefine/>
    <w:qFormat/>
    <w:uiPriority w:val="0"/>
    <w:pPr>
      <w:spacing w:line="600" w:lineRule="exact"/>
      <w:ind w:firstLine="1471" w:firstLineChars="700"/>
    </w:pPr>
    <w:rPr>
      <w:rFonts w:ascii="宋体" w:hAnsi="宋体" w:eastAsiaTheme="minorEastAsia"/>
      <w:b/>
    </w:rPr>
  </w:style>
  <w:style w:type="paragraph" w:styleId="16">
    <w:name w:val="Document Map"/>
    <w:basedOn w:val="1"/>
    <w:link w:val="88"/>
    <w:autoRedefine/>
    <w:unhideWhenUsed/>
    <w:qFormat/>
    <w:uiPriority w:val="99"/>
    <w:rPr>
      <w:rFonts w:ascii="宋体" w:eastAsiaTheme="minorEastAsia"/>
      <w:sz w:val="18"/>
      <w:szCs w:val="18"/>
    </w:rPr>
  </w:style>
  <w:style w:type="paragraph" w:styleId="17">
    <w:name w:val="annotation text"/>
    <w:basedOn w:val="1"/>
    <w:link w:val="89"/>
    <w:autoRedefine/>
    <w:semiHidden/>
    <w:qFormat/>
    <w:uiPriority w:val="0"/>
    <w:pPr>
      <w:jc w:val="left"/>
    </w:pPr>
    <w:rPr>
      <w:rFonts w:eastAsiaTheme="minorEastAsia"/>
    </w:rPr>
  </w:style>
  <w:style w:type="paragraph" w:styleId="18">
    <w:name w:val="Salutation"/>
    <w:basedOn w:val="1"/>
    <w:next w:val="1"/>
    <w:link w:val="247"/>
    <w:qFormat/>
    <w:uiPriority w:val="0"/>
    <w:pPr>
      <w:adjustRightInd w:val="0"/>
      <w:spacing w:line="396" w:lineRule="atLeast"/>
    </w:pPr>
    <w:rPr>
      <w:rFonts w:ascii="宋体" w:hAnsiTheme="minorHAnsi" w:eastAsiaTheme="minorEastAsia" w:cstheme="minorBidi"/>
      <w:b/>
      <w:kern w:val="2"/>
      <w:sz w:val="28"/>
      <w:szCs w:val="22"/>
    </w:rPr>
  </w:style>
  <w:style w:type="paragraph" w:styleId="19">
    <w:name w:val="Body Text 3"/>
    <w:basedOn w:val="1"/>
    <w:link w:val="90"/>
    <w:autoRedefine/>
    <w:qFormat/>
    <w:uiPriority w:val="0"/>
    <w:rPr>
      <w:rFonts w:ascii="仿宋_GB2312" w:eastAsia="仿宋_GB2312"/>
    </w:rPr>
  </w:style>
  <w:style w:type="paragraph" w:styleId="20">
    <w:name w:val="Body Text"/>
    <w:basedOn w:val="1"/>
    <w:link w:val="73"/>
    <w:autoRedefine/>
    <w:unhideWhenUsed/>
    <w:qFormat/>
    <w:uiPriority w:val="0"/>
    <w:pPr>
      <w:spacing w:after="120"/>
    </w:pPr>
  </w:style>
  <w:style w:type="paragraph" w:styleId="21">
    <w:name w:val="Block Text"/>
    <w:basedOn w:val="1"/>
    <w:autoRedefine/>
    <w:qFormat/>
    <w:uiPriority w:val="0"/>
    <w:pPr>
      <w:ind w:left="210" w:leftChars="100" w:right="210" w:rightChars="100" w:firstLine="560" w:firstLineChars="200"/>
    </w:pPr>
    <w:rPr>
      <w:rFonts w:ascii="宋体" w:hAnsi="宋体" w:eastAsiaTheme="minorEastAsia"/>
      <w:sz w:val="28"/>
    </w:rPr>
  </w:style>
  <w:style w:type="paragraph" w:styleId="22">
    <w:name w:val="toc 5"/>
    <w:basedOn w:val="1"/>
    <w:next w:val="1"/>
    <w:autoRedefine/>
    <w:qFormat/>
    <w:uiPriority w:val="0"/>
    <w:pPr>
      <w:ind w:left="1680" w:leftChars="800"/>
    </w:pPr>
    <w:rPr>
      <w:rFonts w:eastAsiaTheme="minorEastAsia"/>
      <w:szCs w:val="20"/>
    </w:rPr>
  </w:style>
  <w:style w:type="paragraph" w:styleId="23">
    <w:name w:val="Plain Text"/>
    <w:basedOn w:val="1"/>
    <w:link w:val="91"/>
    <w:autoRedefine/>
    <w:qFormat/>
    <w:uiPriority w:val="0"/>
    <w:rPr>
      <w:rFonts w:ascii="宋体" w:hAnsi="Courier New" w:eastAsiaTheme="minorEastAsia"/>
      <w:szCs w:val="22"/>
    </w:rPr>
  </w:style>
  <w:style w:type="paragraph" w:styleId="24">
    <w:name w:val="List Bullet 5"/>
    <w:basedOn w:val="1"/>
    <w:autoRedefine/>
    <w:unhideWhenUsed/>
    <w:qFormat/>
    <w:uiPriority w:val="99"/>
    <w:pPr>
      <w:numPr>
        <w:ilvl w:val="0"/>
        <w:numId w:val="1"/>
      </w:numPr>
    </w:pPr>
    <w:rPr>
      <w:rFonts w:eastAsiaTheme="minorEastAsia"/>
    </w:rPr>
  </w:style>
  <w:style w:type="paragraph" w:styleId="25">
    <w:name w:val="Date"/>
    <w:basedOn w:val="1"/>
    <w:next w:val="1"/>
    <w:link w:val="92"/>
    <w:autoRedefine/>
    <w:qFormat/>
    <w:uiPriority w:val="0"/>
    <w:rPr>
      <w:rFonts w:eastAsiaTheme="minorEastAsia"/>
      <w:bCs/>
    </w:rPr>
  </w:style>
  <w:style w:type="paragraph" w:styleId="26">
    <w:name w:val="Body Text Indent 2"/>
    <w:basedOn w:val="1"/>
    <w:link w:val="93"/>
    <w:autoRedefine/>
    <w:unhideWhenUsed/>
    <w:qFormat/>
    <w:uiPriority w:val="0"/>
    <w:pPr>
      <w:spacing w:before="240" w:line="360" w:lineRule="auto"/>
      <w:ind w:firstLine="560" w:firstLineChars="200"/>
    </w:pPr>
    <w:rPr>
      <w:rFonts w:eastAsiaTheme="minorEastAsia"/>
      <w:sz w:val="28"/>
    </w:rPr>
  </w:style>
  <w:style w:type="paragraph" w:styleId="27">
    <w:name w:val="Balloon Text"/>
    <w:basedOn w:val="1"/>
    <w:link w:val="94"/>
    <w:autoRedefine/>
    <w:qFormat/>
    <w:uiPriority w:val="99"/>
    <w:rPr>
      <w:rFonts w:eastAsiaTheme="minorEastAsia"/>
      <w:sz w:val="18"/>
      <w:szCs w:val="18"/>
    </w:rPr>
  </w:style>
  <w:style w:type="paragraph" w:styleId="28">
    <w:name w:val="footer"/>
    <w:basedOn w:val="1"/>
    <w:link w:val="55"/>
    <w:autoRedefine/>
    <w:unhideWhenUsed/>
    <w:qFormat/>
    <w:uiPriority w:val="99"/>
    <w:pPr>
      <w:tabs>
        <w:tab w:val="center" w:pos="4153"/>
        <w:tab w:val="right" w:pos="8306"/>
      </w:tabs>
      <w:snapToGrid w:val="0"/>
      <w:jc w:val="left"/>
    </w:pPr>
    <w:rPr>
      <w:sz w:val="18"/>
      <w:szCs w:val="18"/>
    </w:rPr>
  </w:style>
  <w:style w:type="paragraph" w:styleId="29">
    <w:name w:val="header"/>
    <w:basedOn w:val="1"/>
    <w:link w:val="5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iPriority w:val="0"/>
    <w:pPr>
      <w:adjustRightInd w:val="0"/>
      <w:spacing w:line="500" w:lineRule="exact"/>
    </w:pPr>
    <w:rPr>
      <w:rFonts w:cs="Times New Roman"/>
      <w:szCs w:val="20"/>
    </w:rPr>
  </w:style>
  <w:style w:type="paragraph" w:styleId="31">
    <w:name w:val="index heading"/>
    <w:basedOn w:val="1"/>
    <w:next w:val="32"/>
    <w:autoRedefine/>
    <w:qFormat/>
    <w:uiPriority w:val="99"/>
    <w:rPr>
      <w:rFonts w:ascii="宋体" w:hAnsi="宋体" w:cs="Times New Roman"/>
      <w:bCs/>
      <w:sz w:val="28"/>
      <w:szCs w:val="20"/>
    </w:rPr>
  </w:style>
  <w:style w:type="paragraph" w:styleId="32">
    <w:name w:val="index 1"/>
    <w:basedOn w:val="1"/>
    <w:next w:val="1"/>
    <w:autoRedefine/>
    <w:semiHidden/>
    <w:unhideWhenUsed/>
    <w:qFormat/>
    <w:uiPriority w:val="99"/>
  </w:style>
  <w:style w:type="paragraph" w:styleId="33">
    <w:name w:val="Subtitle"/>
    <w:basedOn w:val="34"/>
    <w:next w:val="35"/>
    <w:link w:val="95"/>
    <w:autoRedefine/>
    <w:qFormat/>
    <w:uiPriority w:val="0"/>
    <w:pPr>
      <w:topLinePunct/>
      <w:adjustRightInd w:val="0"/>
      <w:snapToGrid w:val="0"/>
      <w:spacing w:before="120" w:after="120"/>
      <w:outlineLvl w:val="9"/>
    </w:pPr>
    <w:rPr>
      <w:rFonts w:eastAsia="华文仿宋" w:asciiTheme="minorHAnsi" w:hAnsiTheme="minorHAnsi"/>
      <w:b w:val="0"/>
      <w:spacing w:val="20"/>
      <w:kern w:val="20"/>
      <w:sz w:val="27"/>
    </w:rPr>
  </w:style>
  <w:style w:type="paragraph" w:styleId="34">
    <w:name w:val="Title"/>
    <w:basedOn w:val="1"/>
    <w:link w:val="96"/>
    <w:autoRedefine/>
    <w:qFormat/>
    <w:uiPriority w:val="0"/>
    <w:pPr>
      <w:spacing w:before="240" w:after="60"/>
      <w:jc w:val="center"/>
      <w:outlineLvl w:val="0"/>
    </w:pPr>
    <w:rPr>
      <w:rFonts w:ascii="Arial" w:hAnsi="Arial" w:eastAsiaTheme="minorEastAsia"/>
      <w:b/>
      <w:snapToGrid w:val="0"/>
      <w:color w:val="000000"/>
      <w:sz w:val="32"/>
      <w:szCs w:val="22"/>
    </w:rPr>
  </w:style>
  <w:style w:type="paragraph" w:styleId="35">
    <w:name w:val="Body Text First Indent"/>
    <w:basedOn w:val="20"/>
    <w:next w:val="1"/>
    <w:link w:val="74"/>
    <w:autoRedefine/>
    <w:unhideWhenUsed/>
    <w:qFormat/>
    <w:uiPriority w:val="0"/>
    <w:pPr>
      <w:ind w:firstLine="420" w:firstLineChars="100"/>
    </w:pPr>
    <w:rPr>
      <w:rFonts w:eastAsiaTheme="minorEastAsia"/>
    </w:rPr>
  </w:style>
  <w:style w:type="paragraph" w:styleId="36">
    <w:name w:val="List"/>
    <w:basedOn w:val="1"/>
    <w:autoRedefine/>
    <w:qFormat/>
    <w:uiPriority w:val="0"/>
    <w:pPr>
      <w:ind w:left="200" w:hanging="200" w:hangingChars="200"/>
    </w:pPr>
    <w:rPr>
      <w:rFonts w:eastAsiaTheme="minorEastAsia"/>
      <w:szCs w:val="20"/>
    </w:rPr>
  </w:style>
  <w:style w:type="paragraph" w:styleId="37">
    <w:name w:val="Body Text Indent 3"/>
    <w:basedOn w:val="1"/>
    <w:link w:val="97"/>
    <w:autoRedefine/>
    <w:qFormat/>
    <w:uiPriority w:val="0"/>
    <w:pPr>
      <w:ind w:firstLine="480"/>
    </w:pPr>
    <w:rPr>
      <w:rFonts w:ascii="新宋体" w:hAnsi="新宋体" w:eastAsia="新宋体"/>
    </w:rPr>
  </w:style>
  <w:style w:type="paragraph" w:styleId="38">
    <w:name w:val="toc 2"/>
    <w:basedOn w:val="1"/>
    <w:next w:val="1"/>
    <w:autoRedefine/>
    <w:qFormat/>
    <w:uiPriority w:val="0"/>
    <w:pPr>
      <w:ind w:left="420" w:leftChars="200"/>
    </w:pPr>
    <w:rPr>
      <w:rFonts w:ascii="宋体" w:hAnsi="PMingLiU" w:cs="Times New Roman"/>
    </w:rPr>
  </w:style>
  <w:style w:type="paragraph" w:styleId="39">
    <w:name w:val="Body Text 2"/>
    <w:basedOn w:val="1"/>
    <w:link w:val="98"/>
    <w:autoRedefine/>
    <w:qFormat/>
    <w:uiPriority w:val="0"/>
    <w:pPr>
      <w:spacing w:line="420" w:lineRule="auto"/>
      <w:jc w:val="center"/>
    </w:pPr>
    <w:rPr>
      <w:rFonts w:ascii="楷体_GB2312" w:eastAsia="楷体_GB2312"/>
      <w:szCs w:val="20"/>
    </w:rPr>
  </w:style>
  <w:style w:type="paragraph" w:styleId="40">
    <w:name w:val="HTML Preformatted"/>
    <w:basedOn w:val="1"/>
    <w:link w:val="2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kern w:val="2"/>
      <w:sz w:val="21"/>
      <w:szCs w:val="22"/>
    </w:rPr>
  </w:style>
  <w:style w:type="paragraph" w:styleId="41">
    <w:name w:val="Normal (Web)"/>
    <w:basedOn w:val="1"/>
    <w:link w:val="328"/>
    <w:autoRedefine/>
    <w:qFormat/>
    <w:uiPriority w:val="0"/>
    <w:pPr>
      <w:widowControl/>
      <w:spacing w:before="100" w:beforeAutospacing="1" w:after="100" w:afterAutospacing="1"/>
      <w:jc w:val="left"/>
    </w:pPr>
    <w:rPr>
      <w:rFonts w:ascii="宋体" w:hAnsi="宋体" w:eastAsiaTheme="minorEastAsia"/>
    </w:rPr>
  </w:style>
  <w:style w:type="paragraph" w:styleId="42">
    <w:name w:val="annotation subject"/>
    <w:basedOn w:val="17"/>
    <w:next w:val="17"/>
    <w:link w:val="99"/>
    <w:autoRedefine/>
    <w:semiHidden/>
    <w:qFormat/>
    <w:uiPriority w:val="0"/>
    <w:rPr>
      <w:b/>
      <w:bCs/>
    </w:rPr>
  </w:style>
  <w:style w:type="table" w:styleId="44">
    <w:name w:val="Table Grid"/>
    <w:basedOn w:val="43"/>
    <w:autoRedefine/>
    <w:qFormat/>
    <w:uiPriority w:val="0"/>
    <w:rPr>
      <w:rFonts w:ascii="Times New Roman" w:hAnsi="Times New Roman"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Grid 1"/>
    <w:basedOn w:val="43"/>
    <w:qFormat/>
    <w:uiPriority w:val="0"/>
    <w:pPr>
      <w:widowControl w:val="0"/>
      <w:jc w:val="both"/>
    </w:pPr>
    <w:rPr>
      <w:rFonts w:ascii="Times New Roman" w:hAnsi="Times New Roman" w:eastAsia="宋体" w:cs="Times New Roman"/>
      <w:kern w:val="0"/>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7">
    <w:name w:val="Strong"/>
    <w:autoRedefine/>
    <w:qFormat/>
    <w:uiPriority w:val="0"/>
    <w:rPr>
      <w:b/>
      <w:bCs/>
    </w:rPr>
  </w:style>
  <w:style w:type="character" w:styleId="48">
    <w:name w:val="page number"/>
    <w:autoRedefine/>
    <w:qFormat/>
    <w:uiPriority w:val="0"/>
  </w:style>
  <w:style w:type="character" w:styleId="49">
    <w:name w:val="FollowedHyperlink"/>
    <w:autoRedefine/>
    <w:unhideWhenUsed/>
    <w:qFormat/>
    <w:uiPriority w:val="0"/>
    <w:rPr>
      <w:color w:val="0065CF"/>
      <w:u w:val="none"/>
    </w:rPr>
  </w:style>
  <w:style w:type="character" w:styleId="50">
    <w:name w:val="Emphasis"/>
    <w:autoRedefine/>
    <w:qFormat/>
    <w:uiPriority w:val="0"/>
    <w:rPr>
      <w:i/>
      <w:iCs/>
    </w:rPr>
  </w:style>
  <w:style w:type="character" w:styleId="51">
    <w:name w:val="line number"/>
    <w:autoRedefine/>
    <w:uiPriority w:val="0"/>
    <w:rPr>
      <w:rFonts w:ascii="宋体" w:hAnsi="宋体" w:eastAsia="宋体" w:cs="宋体"/>
      <w:kern w:val="2"/>
      <w:sz w:val="24"/>
      <w:szCs w:val="24"/>
      <w:lang w:val="en-US" w:eastAsia="zh-CN" w:bidi="ar-SA"/>
    </w:rPr>
  </w:style>
  <w:style w:type="character" w:styleId="52">
    <w:name w:val="Hyperlink"/>
    <w:autoRedefine/>
    <w:qFormat/>
    <w:uiPriority w:val="0"/>
    <w:rPr>
      <w:color w:val="0000FF"/>
      <w:u w:val="single"/>
    </w:rPr>
  </w:style>
  <w:style w:type="character" w:styleId="53">
    <w:name w:val="annotation reference"/>
    <w:autoRedefine/>
    <w:semiHidden/>
    <w:qFormat/>
    <w:uiPriority w:val="0"/>
    <w:rPr>
      <w:sz w:val="21"/>
      <w:szCs w:val="21"/>
    </w:rPr>
  </w:style>
  <w:style w:type="character" w:customStyle="1" w:styleId="54">
    <w:name w:val="页眉 字符"/>
    <w:basedOn w:val="46"/>
    <w:link w:val="29"/>
    <w:autoRedefine/>
    <w:qFormat/>
    <w:uiPriority w:val="99"/>
    <w:rPr>
      <w:sz w:val="18"/>
      <w:szCs w:val="18"/>
    </w:rPr>
  </w:style>
  <w:style w:type="character" w:customStyle="1" w:styleId="55">
    <w:name w:val="页脚 字符"/>
    <w:basedOn w:val="46"/>
    <w:link w:val="28"/>
    <w:autoRedefine/>
    <w:qFormat/>
    <w:uiPriority w:val="99"/>
    <w:rPr>
      <w:sz w:val="18"/>
      <w:szCs w:val="18"/>
    </w:rPr>
  </w:style>
  <w:style w:type="character" w:customStyle="1" w:styleId="56">
    <w:name w:val="正文文本缩进 字符"/>
    <w:basedOn w:val="46"/>
    <w:link w:val="3"/>
    <w:autoRedefine/>
    <w:qFormat/>
    <w:uiPriority w:val="0"/>
    <w:rPr>
      <w:rFonts w:ascii="Times New Roman" w:hAnsi="Times New Roman" w:eastAsia="宋体" w:cs="宋体"/>
      <w:kern w:val="0"/>
      <w:sz w:val="24"/>
      <w:szCs w:val="24"/>
    </w:rPr>
  </w:style>
  <w:style w:type="character" w:customStyle="1" w:styleId="57">
    <w:name w:val="正文文本首行缩进 2 字符"/>
    <w:basedOn w:val="56"/>
    <w:link w:val="2"/>
    <w:autoRedefine/>
    <w:qFormat/>
    <w:uiPriority w:val="0"/>
    <w:rPr>
      <w:rFonts w:ascii="Times New Roman" w:hAnsi="Times New Roman" w:eastAsia="宋体" w:cs="宋体"/>
      <w:color w:val="FF0000"/>
      <w:kern w:val="0"/>
      <w:sz w:val="24"/>
      <w:szCs w:val="24"/>
    </w:rPr>
  </w:style>
  <w:style w:type="character" w:customStyle="1" w:styleId="58">
    <w:name w:val="标题 4 字符"/>
    <w:basedOn w:val="46"/>
    <w:link w:val="7"/>
    <w:autoRedefine/>
    <w:qFormat/>
    <w:uiPriority w:val="0"/>
    <w:rPr>
      <w:rFonts w:ascii="宋体" w:hAnsi="宋体" w:eastAsia="宋体" w:cs="宋体"/>
      <w:b/>
      <w:kern w:val="0"/>
      <w:sz w:val="24"/>
      <w:szCs w:val="20"/>
    </w:rPr>
  </w:style>
  <w:style w:type="table" w:customStyle="1" w:styleId="59">
    <w:name w:val="0表格"/>
    <w:basedOn w:val="43"/>
    <w:autoRedefine/>
    <w:qFormat/>
    <w:uiPriority w:val="99"/>
    <w:pPr>
      <w:spacing w:line="245" w:lineRule="auto"/>
      <w:jc w:val="center"/>
    </w:pPr>
    <w:rPr>
      <w:rFonts w:ascii="Times New Roman" w:hAnsi="Times New Roman" w:eastAsia="宋体" w:cs="宋体"/>
      <w:kern w:val="0"/>
      <w:sz w:val="24"/>
      <w:szCs w:val="24"/>
    </w:rPr>
    <w:tblPr>
      <w:jc w:val="center"/>
      <w:tblBorders>
        <w:top w:val="single" w:color="auto" w:sz="4" w:space="0"/>
        <w:bottom w:val="single" w:color="auto" w:sz="4" w:space="0"/>
        <w:insideH w:val="single" w:color="auto" w:sz="4" w:space="0"/>
        <w:insideV w:val="single" w:color="auto" w:sz="4" w:space="0"/>
      </w:tblBorders>
      <w:tblCellMar>
        <w:left w:w="57" w:type="dxa"/>
        <w:right w:w="57" w:type="dxa"/>
      </w:tblCellMar>
    </w:tblPr>
    <w:trPr>
      <w:jc w:val="center"/>
    </w:trPr>
    <w:tcPr>
      <w:vAlign w:val="center"/>
    </w:tcPr>
    <w:tblStylePr w:type="firstRow">
      <w:tcPr>
        <w:shd w:val="clear" w:color="auto" w:fill="D8D8D8" w:themeFill="background1" w:themeFillShade="D9"/>
      </w:tcPr>
    </w:tblStylePr>
  </w:style>
  <w:style w:type="paragraph" w:customStyle="1" w:styleId="60">
    <w:name w:val="A表格内容字体"/>
    <w:basedOn w:val="1"/>
    <w:link w:val="61"/>
    <w:autoRedefine/>
    <w:qFormat/>
    <w:uiPriority w:val="0"/>
    <w:pPr>
      <w:jc w:val="center"/>
    </w:pPr>
    <w:rPr>
      <w:color w:val="000000"/>
    </w:rPr>
  </w:style>
  <w:style w:type="character" w:customStyle="1" w:styleId="61">
    <w:name w:val="A表格内容字体 字符"/>
    <w:link w:val="60"/>
    <w:autoRedefine/>
    <w:qFormat/>
    <w:uiPriority w:val="0"/>
    <w:rPr>
      <w:rFonts w:ascii="Times New Roman" w:hAnsi="Times New Roman" w:eastAsia="宋体" w:cs="宋体"/>
      <w:color w:val="000000"/>
      <w:kern w:val="0"/>
      <w:sz w:val="24"/>
      <w:szCs w:val="24"/>
    </w:rPr>
  </w:style>
  <w:style w:type="paragraph" w:customStyle="1" w:styleId="62">
    <w:name w:val="A表头"/>
    <w:basedOn w:val="1"/>
    <w:autoRedefine/>
    <w:qFormat/>
    <w:uiPriority w:val="0"/>
    <w:pPr>
      <w:widowControl/>
      <w:spacing w:line="360" w:lineRule="auto"/>
      <w:jc w:val="center"/>
    </w:pPr>
  </w:style>
  <w:style w:type="paragraph" w:customStyle="1" w:styleId="63">
    <w:name w:val="0正文1"/>
    <w:basedOn w:val="1"/>
    <w:autoRedefine/>
    <w:qFormat/>
    <w:uiPriority w:val="0"/>
    <w:pPr>
      <w:widowControl/>
      <w:spacing w:line="360" w:lineRule="auto"/>
      <w:ind w:firstLine="200" w:firstLineChars="200"/>
      <w:jc w:val="left"/>
    </w:pPr>
  </w:style>
  <w:style w:type="paragraph" w:customStyle="1" w:styleId="64">
    <w:name w:val="0表格内容"/>
    <w:next w:val="1"/>
    <w:link w:val="65"/>
    <w:autoRedefine/>
    <w:qFormat/>
    <w:uiPriority w:val="0"/>
    <w:pPr>
      <w:spacing w:line="245" w:lineRule="auto"/>
      <w:jc w:val="center"/>
    </w:pPr>
    <w:rPr>
      <w:rFonts w:ascii="Times New Roman" w:hAnsi="Times New Roman" w:eastAsia="宋体" w:cs="宋体"/>
      <w:kern w:val="0"/>
      <w:sz w:val="21"/>
      <w:szCs w:val="24"/>
      <w:lang w:val="en-US" w:eastAsia="zh-CN" w:bidi="ar-SA"/>
    </w:rPr>
  </w:style>
  <w:style w:type="character" w:customStyle="1" w:styleId="65">
    <w:name w:val="0表格内容 字符"/>
    <w:basedOn w:val="46"/>
    <w:link w:val="64"/>
    <w:autoRedefine/>
    <w:qFormat/>
    <w:uiPriority w:val="0"/>
    <w:rPr>
      <w:rFonts w:ascii="Times New Roman" w:hAnsi="Times New Roman" w:eastAsia="宋体" w:cs="宋体"/>
      <w:kern w:val="0"/>
      <w:szCs w:val="24"/>
    </w:rPr>
  </w:style>
  <w:style w:type="table" w:customStyle="1" w:styleId="66">
    <w:name w:val="0表格1"/>
    <w:basedOn w:val="43"/>
    <w:autoRedefine/>
    <w:qFormat/>
    <w:uiPriority w:val="99"/>
    <w:pPr>
      <w:jc w:val="center"/>
    </w:pPr>
    <w:rPr>
      <w:rFonts w:ascii="Times New Roman" w:hAnsi="Times New Roman" w:eastAsia="宋体" w:cs="宋体"/>
      <w:kern w:val="0"/>
      <w:sz w:val="24"/>
      <w:szCs w:val="21"/>
    </w:rPr>
    <w:tblPr>
      <w:tblBorders>
        <w:top w:val="single" w:color="auto" w:sz="2" w:space="0"/>
        <w:bottom w:val="single" w:color="auto" w:sz="2" w:space="0"/>
        <w:insideH w:val="single" w:color="auto" w:sz="2" w:space="0"/>
        <w:insideV w:val="single" w:color="auto" w:sz="2" w:space="0"/>
      </w:tblBorders>
      <w:tblCellMar>
        <w:left w:w="28" w:type="dxa"/>
        <w:right w:w="28" w:type="dxa"/>
      </w:tblCellMar>
    </w:tblPr>
    <w:tcPr>
      <w:vAlign w:val="center"/>
    </w:tcPr>
    <w:tblStylePr w:type="firstRow">
      <w:pPr>
        <w:wordWrap/>
        <w:spacing w:line="245" w:lineRule="auto"/>
      </w:pPr>
      <w:tcPr>
        <w:tcBorders>
          <w:top w:val="single" w:color="auto" w:sz="2" w:space="0"/>
          <w:left w:val="nil"/>
          <w:bottom w:val="single" w:color="auto" w:sz="2" w:space="0"/>
          <w:right w:val="nil"/>
          <w:insideH w:val="single" w:sz="2" w:space="0"/>
          <w:insideV w:val="single" w:sz="2" w:space="0"/>
          <w:tl2br w:val="nil"/>
          <w:tr2bl w:val="nil"/>
        </w:tcBorders>
        <w:shd w:val="clear" w:color="auto" w:fill="D8D8D8" w:themeFill="background1" w:themeFillShade="D9"/>
      </w:tcPr>
    </w:tblStylePr>
  </w:style>
  <w:style w:type="character" w:customStyle="1" w:styleId="67">
    <w:name w:val="1表格内容 字符"/>
    <w:link w:val="68"/>
    <w:autoRedefine/>
    <w:qFormat/>
    <w:uiPriority w:val="0"/>
    <w:rPr>
      <w:rFonts w:ascii="Times New Roman" w:hAnsi="Times New Roman" w:eastAsia="宋体" w:cs="Times New Roman"/>
      <w:szCs w:val="21"/>
    </w:rPr>
  </w:style>
  <w:style w:type="paragraph" w:customStyle="1" w:styleId="68">
    <w:name w:val="1表格内容"/>
    <w:basedOn w:val="1"/>
    <w:link w:val="67"/>
    <w:autoRedefine/>
    <w:qFormat/>
    <w:uiPriority w:val="0"/>
    <w:pPr>
      <w:widowControl/>
      <w:adjustRightInd w:val="0"/>
      <w:snapToGrid w:val="0"/>
      <w:spacing w:before="10" w:beforeLines="10" w:after="10" w:afterLines="10"/>
      <w:jc w:val="center"/>
    </w:pPr>
    <w:rPr>
      <w:rFonts w:cs="Times New Roman"/>
      <w:kern w:val="2"/>
      <w:sz w:val="21"/>
      <w:szCs w:val="21"/>
    </w:rPr>
  </w:style>
  <w:style w:type="paragraph" w:customStyle="1" w:styleId="69">
    <w:name w:val="01正文"/>
    <w:autoRedefine/>
    <w:qFormat/>
    <w:uiPriority w:val="0"/>
    <w:pPr>
      <w:widowControl w:val="0"/>
      <w:spacing w:line="360" w:lineRule="auto"/>
      <w:ind w:left="20" w:leftChars="20" w:right="20" w:rightChars="20" w:firstLine="482"/>
    </w:pPr>
    <w:rPr>
      <w:rFonts w:ascii="Times New Roman" w:hAnsi="Times New Roman" w:eastAsia="新宋体" w:cs="Times New Roman"/>
      <w:kern w:val="0"/>
      <w:sz w:val="24"/>
      <w:szCs w:val="24"/>
      <w:lang w:val="en-US" w:eastAsia="en-US" w:bidi="ar-SA"/>
    </w:rPr>
  </w:style>
  <w:style w:type="paragraph" w:customStyle="1" w:styleId="70">
    <w:name w:val="0居中"/>
    <w:basedOn w:val="1"/>
    <w:autoRedefine/>
    <w:qFormat/>
    <w:uiPriority w:val="0"/>
    <w:pPr>
      <w:adjustRightInd w:val="0"/>
      <w:snapToGrid w:val="0"/>
      <w:spacing w:before="50" w:beforeLines="50" w:line="360" w:lineRule="auto"/>
      <w:jc w:val="center"/>
    </w:pPr>
    <w:rPr>
      <w:rFonts w:ascii="宋体" w:hAnsi="PMingLiU" w:eastAsia="新宋体" w:cs="Times New Roman"/>
      <w:kern w:val="2"/>
      <w:szCs w:val="22"/>
      <w:lang w:eastAsia="en-US"/>
    </w:rPr>
  </w:style>
  <w:style w:type="paragraph" w:customStyle="1" w:styleId="71">
    <w:name w:val="Default"/>
    <w:link w:val="76"/>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table" w:customStyle="1" w:styleId="72">
    <w:name w:val="表格0"/>
    <w:basedOn w:val="43"/>
    <w:autoRedefine/>
    <w:qFormat/>
    <w:uiPriority w:val="99"/>
    <w:pPr>
      <w:spacing w:line="245" w:lineRule="auto"/>
      <w:jc w:val="center"/>
    </w:pPr>
    <w:rPr>
      <w:rFonts w:ascii="Times New Roman" w:hAnsi="Times New Roman" w:eastAsia="宋体" w:cs="宋体"/>
      <w:kern w:val="0"/>
      <w:sz w:val="24"/>
      <w:szCs w:val="24"/>
    </w:rPr>
    <w:tblPr>
      <w:tblBorders>
        <w:top w:val="single" w:color="auto" w:sz="4" w:space="0"/>
        <w:bottom w:val="single" w:color="auto" w:sz="4" w:space="0"/>
        <w:insideH w:val="single" w:color="auto" w:sz="4" w:space="0"/>
        <w:insideV w:val="single" w:color="auto" w:sz="4" w:space="0"/>
      </w:tblBorders>
      <w:tblCellMar>
        <w:left w:w="28" w:type="dxa"/>
        <w:right w:w="28" w:type="dxa"/>
      </w:tblCellMar>
    </w:tblPr>
    <w:tcPr>
      <w:vAlign w:val="center"/>
    </w:tcPr>
    <w:tblStylePr w:type="firstRow">
      <w:tcPr>
        <w:tcBorders>
          <w:top w:val="single" w:color="auto" w:sz="4" w:space="0"/>
          <w:left w:val="nil"/>
          <w:bottom w:val="single" w:color="auto" w:sz="4" w:space="0"/>
          <w:right w:val="nil"/>
          <w:insideH w:val="single" w:sz="4" w:space="0"/>
          <w:insideV w:val="single" w:sz="4" w:space="0"/>
          <w:tl2br w:val="nil"/>
          <w:tr2bl w:val="nil"/>
        </w:tcBorders>
        <w:shd w:val="clear" w:color="auto" w:fill="D8D8D8" w:themeFill="background1" w:themeFillShade="D9"/>
      </w:tcPr>
    </w:tblStylePr>
  </w:style>
  <w:style w:type="character" w:customStyle="1" w:styleId="73">
    <w:name w:val="正文文本 字符"/>
    <w:basedOn w:val="46"/>
    <w:link w:val="20"/>
    <w:autoRedefine/>
    <w:qFormat/>
    <w:uiPriority w:val="99"/>
    <w:rPr>
      <w:rFonts w:ascii="Times New Roman" w:hAnsi="Times New Roman" w:eastAsia="宋体" w:cs="宋体"/>
      <w:kern w:val="0"/>
      <w:sz w:val="24"/>
      <w:szCs w:val="24"/>
    </w:rPr>
  </w:style>
  <w:style w:type="character" w:customStyle="1" w:styleId="74">
    <w:name w:val="正文文本首行缩进 字符"/>
    <w:basedOn w:val="73"/>
    <w:link w:val="35"/>
    <w:autoRedefine/>
    <w:qFormat/>
    <w:uiPriority w:val="0"/>
    <w:rPr>
      <w:rFonts w:ascii="Times New Roman" w:hAnsi="Times New Roman" w:eastAsia="宋体" w:cs="宋体"/>
      <w:kern w:val="0"/>
      <w:sz w:val="24"/>
      <w:szCs w:val="24"/>
    </w:rPr>
  </w:style>
  <w:style w:type="paragraph" w:styleId="75">
    <w:name w:val="List Paragraph"/>
    <w:basedOn w:val="1"/>
    <w:autoRedefine/>
    <w:qFormat/>
    <w:uiPriority w:val="34"/>
    <w:pPr>
      <w:ind w:firstLine="420" w:firstLineChars="200"/>
    </w:pPr>
    <w:rPr>
      <w:rFonts w:eastAsiaTheme="minorEastAsia"/>
    </w:rPr>
  </w:style>
  <w:style w:type="character" w:customStyle="1" w:styleId="76">
    <w:name w:val="Default Char"/>
    <w:link w:val="71"/>
    <w:autoRedefine/>
    <w:qFormat/>
    <w:uiPriority w:val="0"/>
    <w:rPr>
      <w:rFonts w:ascii="宋体" w:eastAsia="宋体" w:cs="宋体"/>
      <w:color w:val="000000"/>
      <w:kern w:val="0"/>
      <w:sz w:val="24"/>
      <w:szCs w:val="24"/>
    </w:rPr>
  </w:style>
  <w:style w:type="paragraph" w:customStyle="1" w:styleId="77">
    <w:name w:val=".66l.66l"/>
    <w:basedOn w:val="1"/>
    <w:autoRedefine/>
    <w:qFormat/>
    <w:uiPriority w:val="0"/>
    <w:pPr>
      <w:adjustRightInd w:val="0"/>
      <w:spacing w:line="312" w:lineRule="atLeast"/>
      <w:ind w:firstLine="570"/>
      <w:textAlignment w:val="baseline"/>
    </w:pPr>
    <w:rPr>
      <w:rFonts w:ascii="宋体" w:cs="Times New Roman"/>
      <w:sz w:val="28"/>
      <w:szCs w:val="20"/>
    </w:rPr>
  </w:style>
  <w:style w:type="paragraph" w:customStyle="1" w:styleId="78">
    <w:name w:val="A正文"/>
    <w:basedOn w:val="1"/>
    <w:autoRedefine/>
    <w:qFormat/>
    <w:uiPriority w:val="0"/>
    <w:pPr>
      <w:spacing w:line="360" w:lineRule="auto"/>
      <w:ind w:firstLine="200" w:firstLineChars="200"/>
    </w:pPr>
    <w:rPr>
      <w:szCs w:val="22"/>
    </w:rPr>
  </w:style>
  <w:style w:type="table" w:customStyle="1" w:styleId="79">
    <w:name w:val="0表格11"/>
    <w:basedOn w:val="43"/>
    <w:autoRedefine/>
    <w:qFormat/>
    <w:uiPriority w:val="99"/>
    <w:pPr>
      <w:jc w:val="center"/>
    </w:pPr>
    <w:rPr>
      <w:rFonts w:ascii="Times New Roman" w:hAnsi="Times New Roman" w:eastAsia="宋体" w:cs="宋体"/>
      <w:kern w:val="0"/>
      <w:sz w:val="24"/>
      <w:szCs w:val="21"/>
    </w:rPr>
    <w:tblPr>
      <w:tblBorders>
        <w:top w:val="single" w:color="auto" w:sz="2" w:space="0"/>
        <w:bottom w:val="single" w:color="auto" w:sz="2" w:space="0"/>
        <w:insideH w:val="single" w:color="auto" w:sz="2" w:space="0"/>
        <w:insideV w:val="single" w:color="auto" w:sz="2" w:space="0"/>
      </w:tblBorders>
      <w:tblCellMar>
        <w:left w:w="28" w:type="dxa"/>
        <w:right w:w="28" w:type="dxa"/>
      </w:tblCellMar>
    </w:tblPr>
    <w:tcPr>
      <w:vAlign w:val="center"/>
    </w:tcPr>
    <w:tblStylePr w:type="firstRow">
      <w:pPr>
        <w:wordWrap/>
        <w:spacing w:line="245" w:lineRule="auto"/>
      </w:pPr>
      <w:tcPr>
        <w:tcBorders>
          <w:top w:val="single" w:color="auto" w:sz="2" w:space="0"/>
          <w:left w:val="nil"/>
          <w:bottom w:val="single" w:color="auto" w:sz="2" w:space="0"/>
          <w:right w:val="nil"/>
          <w:insideH w:val="single" w:sz="2" w:space="0"/>
          <w:insideV w:val="single" w:sz="2" w:space="0"/>
          <w:tl2br w:val="nil"/>
          <w:tr2bl w:val="nil"/>
        </w:tcBorders>
        <w:shd w:val="clear" w:color="auto" w:fill="D9D9D9"/>
      </w:tcPr>
    </w:tblStylePr>
  </w:style>
  <w:style w:type="character" w:customStyle="1" w:styleId="80">
    <w:name w:val="标题 1 字符"/>
    <w:basedOn w:val="46"/>
    <w:link w:val="4"/>
    <w:autoRedefine/>
    <w:qFormat/>
    <w:uiPriority w:val="0"/>
    <w:rPr>
      <w:rFonts w:ascii="Times New Roman" w:hAnsi="Times New Roman" w:eastAsia="宋体" w:cs="宋体"/>
      <w:b/>
      <w:kern w:val="0"/>
      <w:sz w:val="28"/>
      <w:szCs w:val="24"/>
    </w:rPr>
  </w:style>
  <w:style w:type="character" w:customStyle="1" w:styleId="81">
    <w:name w:val="标题 2 字符"/>
    <w:basedOn w:val="46"/>
    <w:link w:val="5"/>
    <w:autoRedefine/>
    <w:qFormat/>
    <w:uiPriority w:val="0"/>
    <w:rPr>
      <w:rFonts w:ascii="Times New Roman" w:hAnsi="Times New Roman" w:eastAsia="宋体" w:cs="宋体"/>
      <w:b/>
      <w:bCs/>
      <w:kern w:val="0"/>
      <w:sz w:val="24"/>
      <w:szCs w:val="32"/>
    </w:rPr>
  </w:style>
  <w:style w:type="character" w:customStyle="1" w:styleId="82">
    <w:name w:val="标题 3 字符"/>
    <w:basedOn w:val="46"/>
    <w:link w:val="6"/>
    <w:autoRedefine/>
    <w:qFormat/>
    <w:uiPriority w:val="0"/>
    <w:rPr>
      <w:rFonts w:ascii="Times New Roman" w:hAnsi="Times New Roman" w:eastAsia="宋体" w:cs="宋体"/>
      <w:b/>
      <w:kern w:val="0"/>
      <w:sz w:val="24"/>
      <w:szCs w:val="20"/>
    </w:rPr>
  </w:style>
  <w:style w:type="character" w:customStyle="1" w:styleId="83">
    <w:name w:val="标题 5 字符"/>
    <w:basedOn w:val="46"/>
    <w:link w:val="8"/>
    <w:autoRedefine/>
    <w:qFormat/>
    <w:uiPriority w:val="0"/>
    <w:rPr>
      <w:rFonts w:ascii="Times New Roman" w:hAnsi="Times New Roman" w:cs="宋体"/>
      <w:b/>
      <w:bCs/>
      <w:kern w:val="0"/>
      <w:sz w:val="28"/>
      <w:szCs w:val="28"/>
    </w:rPr>
  </w:style>
  <w:style w:type="character" w:customStyle="1" w:styleId="84">
    <w:name w:val="标题 6 字符"/>
    <w:basedOn w:val="46"/>
    <w:link w:val="9"/>
    <w:autoRedefine/>
    <w:qFormat/>
    <w:uiPriority w:val="0"/>
    <w:rPr>
      <w:rFonts w:ascii="Times New Roman" w:hAnsi="Times New Roman" w:cs="宋体"/>
      <w:b/>
      <w:color w:val="000000"/>
      <w:spacing w:val="5"/>
      <w:kern w:val="20"/>
      <w:sz w:val="24"/>
      <w:szCs w:val="20"/>
    </w:rPr>
  </w:style>
  <w:style w:type="character" w:customStyle="1" w:styleId="85">
    <w:name w:val="标题 7 字符"/>
    <w:basedOn w:val="46"/>
    <w:link w:val="10"/>
    <w:autoRedefine/>
    <w:qFormat/>
    <w:uiPriority w:val="0"/>
    <w:rPr>
      <w:rFonts w:ascii="Times New Roman" w:hAnsi="Times New Roman" w:cs="宋体"/>
      <w:smallCaps/>
      <w:color w:val="000000"/>
      <w:kern w:val="20"/>
      <w:sz w:val="24"/>
      <w:szCs w:val="20"/>
    </w:rPr>
  </w:style>
  <w:style w:type="character" w:customStyle="1" w:styleId="86">
    <w:name w:val="标题 8 字符"/>
    <w:basedOn w:val="46"/>
    <w:link w:val="11"/>
    <w:autoRedefine/>
    <w:qFormat/>
    <w:uiPriority w:val="0"/>
    <w:rPr>
      <w:rFonts w:ascii="Times New Roman" w:hAnsi="Times New Roman" w:cs="宋体"/>
      <w:i/>
      <w:color w:val="000000"/>
      <w:spacing w:val="5"/>
      <w:kern w:val="20"/>
      <w:sz w:val="24"/>
      <w:szCs w:val="20"/>
    </w:rPr>
  </w:style>
  <w:style w:type="character" w:customStyle="1" w:styleId="87">
    <w:name w:val="标题 9 字符"/>
    <w:basedOn w:val="46"/>
    <w:link w:val="12"/>
    <w:autoRedefine/>
    <w:qFormat/>
    <w:uiPriority w:val="0"/>
    <w:rPr>
      <w:rFonts w:ascii="Times New Roman" w:hAnsi="Times New Roman" w:cs="宋体"/>
      <w:color w:val="000000"/>
      <w:spacing w:val="-5"/>
      <w:kern w:val="20"/>
      <w:sz w:val="24"/>
      <w:szCs w:val="20"/>
    </w:rPr>
  </w:style>
  <w:style w:type="character" w:customStyle="1" w:styleId="88">
    <w:name w:val="文档结构图 字符"/>
    <w:basedOn w:val="46"/>
    <w:link w:val="16"/>
    <w:autoRedefine/>
    <w:qFormat/>
    <w:uiPriority w:val="99"/>
    <w:rPr>
      <w:rFonts w:ascii="宋体" w:hAnsi="Times New Roman" w:cs="宋体"/>
      <w:kern w:val="0"/>
      <w:sz w:val="18"/>
      <w:szCs w:val="18"/>
    </w:rPr>
  </w:style>
  <w:style w:type="character" w:customStyle="1" w:styleId="89">
    <w:name w:val="批注文字 字符"/>
    <w:basedOn w:val="46"/>
    <w:link w:val="17"/>
    <w:autoRedefine/>
    <w:qFormat/>
    <w:uiPriority w:val="0"/>
    <w:rPr>
      <w:rFonts w:ascii="Times New Roman" w:hAnsi="Times New Roman" w:cs="宋体"/>
      <w:kern w:val="0"/>
      <w:sz w:val="24"/>
      <w:szCs w:val="24"/>
    </w:rPr>
  </w:style>
  <w:style w:type="character" w:customStyle="1" w:styleId="90">
    <w:name w:val="正文文本 3 字符"/>
    <w:basedOn w:val="46"/>
    <w:link w:val="19"/>
    <w:autoRedefine/>
    <w:qFormat/>
    <w:uiPriority w:val="0"/>
    <w:rPr>
      <w:rFonts w:ascii="仿宋_GB2312" w:hAnsi="Times New Roman" w:eastAsia="仿宋_GB2312" w:cs="宋体"/>
      <w:kern w:val="0"/>
      <w:sz w:val="24"/>
      <w:szCs w:val="24"/>
    </w:rPr>
  </w:style>
  <w:style w:type="character" w:customStyle="1" w:styleId="91">
    <w:name w:val="纯文本 字符"/>
    <w:basedOn w:val="46"/>
    <w:link w:val="23"/>
    <w:autoRedefine/>
    <w:qFormat/>
    <w:uiPriority w:val="0"/>
    <w:rPr>
      <w:rFonts w:ascii="宋体" w:hAnsi="Courier New" w:cs="宋体"/>
      <w:kern w:val="0"/>
      <w:sz w:val="24"/>
    </w:rPr>
  </w:style>
  <w:style w:type="character" w:customStyle="1" w:styleId="92">
    <w:name w:val="日期 字符"/>
    <w:basedOn w:val="46"/>
    <w:link w:val="25"/>
    <w:autoRedefine/>
    <w:qFormat/>
    <w:uiPriority w:val="0"/>
    <w:rPr>
      <w:rFonts w:ascii="Times New Roman" w:hAnsi="Times New Roman" w:cs="宋体"/>
      <w:bCs/>
      <w:kern w:val="0"/>
      <w:sz w:val="24"/>
      <w:szCs w:val="24"/>
    </w:rPr>
  </w:style>
  <w:style w:type="character" w:customStyle="1" w:styleId="93">
    <w:name w:val="正文文本缩进 2 字符"/>
    <w:basedOn w:val="46"/>
    <w:link w:val="26"/>
    <w:autoRedefine/>
    <w:qFormat/>
    <w:uiPriority w:val="0"/>
    <w:rPr>
      <w:rFonts w:ascii="Times New Roman" w:hAnsi="Times New Roman" w:cs="宋体"/>
      <w:kern w:val="0"/>
      <w:sz w:val="28"/>
      <w:szCs w:val="24"/>
    </w:rPr>
  </w:style>
  <w:style w:type="character" w:customStyle="1" w:styleId="94">
    <w:name w:val="批注框文本 字符"/>
    <w:basedOn w:val="46"/>
    <w:link w:val="27"/>
    <w:autoRedefine/>
    <w:qFormat/>
    <w:uiPriority w:val="99"/>
    <w:rPr>
      <w:rFonts w:ascii="Times New Roman" w:hAnsi="Times New Roman" w:cs="宋体"/>
      <w:kern w:val="0"/>
      <w:sz w:val="18"/>
      <w:szCs w:val="18"/>
    </w:rPr>
  </w:style>
  <w:style w:type="character" w:customStyle="1" w:styleId="95">
    <w:name w:val="副标题 字符"/>
    <w:basedOn w:val="46"/>
    <w:link w:val="33"/>
    <w:autoRedefine/>
    <w:qFormat/>
    <w:uiPriority w:val="0"/>
    <w:rPr>
      <w:rFonts w:eastAsia="华文仿宋" w:cs="宋体"/>
      <w:snapToGrid w:val="0"/>
      <w:color w:val="000000"/>
      <w:spacing w:val="20"/>
      <w:kern w:val="20"/>
      <w:sz w:val="27"/>
    </w:rPr>
  </w:style>
  <w:style w:type="character" w:customStyle="1" w:styleId="96">
    <w:name w:val="标题 字符"/>
    <w:basedOn w:val="46"/>
    <w:link w:val="34"/>
    <w:autoRedefine/>
    <w:qFormat/>
    <w:uiPriority w:val="0"/>
    <w:rPr>
      <w:rFonts w:ascii="Arial" w:hAnsi="Arial" w:cs="宋体"/>
      <w:b/>
      <w:snapToGrid w:val="0"/>
      <w:color w:val="000000"/>
      <w:kern w:val="0"/>
      <w:sz w:val="32"/>
    </w:rPr>
  </w:style>
  <w:style w:type="character" w:customStyle="1" w:styleId="97">
    <w:name w:val="正文文本缩进 3 字符"/>
    <w:basedOn w:val="46"/>
    <w:link w:val="37"/>
    <w:autoRedefine/>
    <w:qFormat/>
    <w:uiPriority w:val="0"/>
    <w:rPr>
      <w:rFonts w:ascii="新宋体" w:hAnsi="新宋体" w:eastAsia="新宋体" w:cs="宋体"/>
      <w:kern w:val="0"/>
      <w:sz w:val="24"/>
      <w:szCs w:val="24"/>
    </w:rPr>
  </w:style>
  <w:style w:type="character" w:customStyle="1" w:styleId="98">
    <w:name w:val="正文文本 2 字符"/>
    <w:basedOn w:val="46"/>
    <w:link w:val="39"/>
    <w:autoRedefine/>
    <w:qFormat/>
    <w:uiPriority w:val="0"/>
    <w:rPr>
      <w:rFonts w:ascii="楷体_GB2312" w:hAnsi="Times New Roman" w:eastAsia="楷体_GB2312" w:cs="宋体"/>
      <w:kern w:val="0"/>
      <w:sz w:val="24"/>
      <w:szCs w:val="20"/>
    </w:rPr>
  </w:style>
  <w:style w:type="character" w:customStyle="1" w:styleId="99">
    <w:name w:val="批注主题 字符"/>
    <w:basedOn w:val="89"/>
    <w:link w:val="42"/>
    <w:autoRedefine/>
    <w:semiHidden/>
    <w:qFormat/>
    <w:uiPriority w:val="0"/>
    <w:rPr>
      <w:rFonts w:ascii="Times New Roman" w:hAnsi="Times New Roman" w:cs="宋体"/>
      <w:b/>
      <w:bCs/>
      <w:kern w:val="0"/>
      <w:sz w:val="24"/>
      <w:szCs w:val="24"/>
    </w:rPr>
  </w:style>
  <w:style w:type="character" w:customStyle="1" w:styleId="100">
    <w:name w:val="Font Style221"/>
    <w:autoRedefine/>
    <w:qFormat/>
    <w:uiPriority w:val="0"/>
    <w:rPr>
      <w:rFonts w:ascii="宋体" w:hAnsi="Tahoma" w:eastAsia="宋体" w:cs="宋体"/>
      <w:sz w:val="22"/>
      <w:szCs w:val="22"/>
    </w:rPr>
  </w:style>
  <w:style w:type="character" w:customStyle="1" w:styleId="101">
    <w:name w:val="fontstyle21"/>
    <w:autoRedefine/>
    <w:qFormat/>
    <w:uiPriority w:val="0"/>
    <w:rPr>
      <w:rFonts w:hint="eastAsia" w:ascii="宋体" w:hAnsi="宋体" w:eastAsia="宋体" w:cs="宋体"/>
      <w:color w:val="000000"/>
      <w:sz w:val="24"/>
      <w:szCs w:val="24"/>
    </w:rPr>
  </w:style>
  <w:style w:type="character" w:customStyle="1" w:styleId="102">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03">
    <w:name w:val="表内容 Char Char"/>
    <w:link w:val="104"/>
    <w:autoRedefine/>
    <w:qFormat/>
    <w:uiPriority w:val="0"/>
    <w:rPr>
      <w:rFonts w:eastAsia="Arial"/>
      <w:snapToGrid w:val="0"/>
      <w:szCs w:val="21"/>
    </w:rPr>
  </w:style>
  <w:style w:type="paragraph" w:customStyle="1" w:styleId="104">
    <w:name w:val="表内容"/>
    <w:basedOn w:val="1"/>
    <w:link w:val="103"/>
    <w:autoRedefine/>
    <w:qFormat/>
    <w:uiPriority w:val="0"/>
    <w:pPr>
      <w:adjustRightInd w:val="0"/>
      <w:snapToGrid w:val="0"/>
      <w:jc w:val="center"/>
    </w:pPr>
    <w:rPr>
      <w:rFonts w:eastAsia="Arial" w:asciiTheme="minorHAnsi" w:hAnsiTheme="minorHAnsi" w:cstheme="minorBidi"/>
      <w:snapToGrid w:val="0"/>
      <w:kern w:val="2"/>
      <w:sz w:val="21"/>
      <w:szCs w:val="21"/>
    </w:rPr>
  </w:style>
  <w:style w:type="character" w:customStyle="1" w:styleId="105">
    <w:name w:val="Font Style218"/>
    <w:autoRedefine/>
    <w:qFormat/>
    <w:uiPriority w:val="0"/>
    <w:rPr>
      <w:rFonts w:ascii="Times New Roman" w:hAnsi="Times New Roman" w:cs="Times New Roman"/>
      <w:sz w:val="14"/>
      <w:szCs w:val="14"/>
    </w:rPr>
  </w:style>
  <w:style w:type="character" w:customStyle="1" w:styleId="106">
    <w:name w:val="apple-converted-space"/>
    <w:basedOn w:val="46"/>
    <w:autoRedefine/>
    <w:qFormat/>
    <w:uiPriority w:val="0"/>
  </w:style>
  <w:style w:type="character" w:customStyle="1" w:styleId="107">
    <w:name w:val="Font Style183"/>
    <w:autoRedefine/>
    <w:qFormat/>
    <w:uiPriority w:val="0"/>
    <w:rPr>
      <w:rFonts w:ascii="宋体" w:hAnsi="Tahoma" w:eastAsia="宋体" w:cs="宋体"/>
      <w:sz w:val="22"/>
      <w:szCs w:val="22"/>
    </w:rPr>
  </w:style>
  <w:style w:type="character" w:customStyle="1" w:styleId="108">
    <w:name w:val="font01"/>
    <w:autoRedefine/>
    <w:qFormat/>
    <w:uiPriority w:val="0"/>
    <w:rPr>
      <w:rFonts w:hint="eastAsia" w:ascii="宋体" w:hAnsi="宋体" w:eastAsia="宋体" w:cs="宋体"/>
      <w:b/>
      <w:color w:val="000000"/>
      <w:kern w:val="0"/>
      <w:sz w:val="20"/>
      <w:szCs w:val="20"/>
      <w:u w:val="none"/>
      <w:lang w:eastAsia="en-US"/>
    </w:rPr>
  </w:style>
  <w:style w:type="character" w:customStyle="1" w:styleId="109">
    <w:name w:val="正文缩进 字符"/>
    <w:link w:val="13"/>
    <w:autoRedefine/>
    <w:qFormat/>
    <w:uiPriority w:val="0"/>
    <w:rPr>
      <w:rFonts w:ascii="Times New Roman" w:hAnsi="Times New Roman" w:cs="宋体"/>
      <w:kern w:val="0"/>
      <w:sz w:val="24"/>
    </w:rPr>
  </w:style>
  <w:style w:type="character" w:customStyle="1" w:styleId="110">
    <w:name w:val="font21"/>
    <w:autoRedefine/>
    <w:qFormat/>
    <w:uiPriority w:val="0"/>
    <w:rPr>
      <w:rFonts w:hint="default" w:ascii="Times New Roman" w:hAnsi="Times New Roman" w:eastAsia="Times New Roman" w:cs="Times New Roman"/>
      <w:b/>
      <w:color w:val="000000"/>
      <w:kern w:val="0"/>
      <w:sz w:val="20"/>
      <w:szCs w:val="20"/>
      <w:u w:val="none"/>
      <w:lang w:eastAsia="en-US"/>
    </w:rPr>
  </w:style>
  <w:style w:type="character" w:customStyle="1" w:styleId="111">
    <w:name w:val="fontstyle01"/>
    <w:autoRedefine/>
    <w:qFormat/>
    <w:uiPriority w:val="0"/>
    <w:rPr>
      <w:rFonts w:hint="eastAsia" w:ascii="宋体" w:hAnsi="宋体" w:eastAsia="宋体" w:cs="宋体"/>
      <w:color w:val="000000"/>
      <w:sz w:val="24"/>
      <w:szCs w:val="24"/>
    </w:rPr>
  </w:style>
  <w:style w:type="character" w:customStyle="1" w:styleId="112">
    <w:name w:val="Font Style225"/>
    <w:autoRedefine/>
    <w:qFormat/>
    <w:uiPriority w:val="0"/>
    <w:rPr>
      <w:rFonts w:ascii="宋体" w:hAnsi="Tahoma" w:eastAsia="宋体" w:cs="宋体"/>
      <w:spacing w:val="-10"/>
      <w:sz w:val="14"/>
      <w:szCs w:val="14"/>
    </w:rPr>
  </w:style>
  <w:style w:type="character" w:customStyle="1" w:styleId="113">
    <w:name w:val="正文 首行缩进:  2 字符 Char"/>
    <w:link w:val="114"/>
    <w:autoRedefine/>
    <w:qFormat/>
    <w:uiPriority w:val="0"/>
    <w:rPr>
      <w:rFonts w:eastAsia="宋体" w:cs="宋体"/>
      <w:sz w:val="24"/>
    </w:rPr>
  </w:style>
  <w:style w:type="paragraph" w:customStyle="1" w:styleId="114">
    <w:name w:val="正文 首行缩进:  2 字符"/>
    <w:basedOn w:val="1"/>
    <w:link w:val="113"/>
    <w:autoRedefine/>
    <w:qFormat/>
    <w:uiPriority w:val="0"/>
    <w:pPr>
      <w:adjustRightInd w:val="0"/>
      <w:snapToGrid w:val="0"/>
      <w:spacing w:line="500" w:lineRule="exact"/>
      <w:ind w:firstLine="200" w:firstLineChars="200"/>
      <w:jc w:val="left"/>
    </w:pPr>
    <w:rPr>
      <w:rFonts w:asciiTheme="minorHAnsi" w:hAnsiTheme="minorHAnsi"/>
      <w:kern w:val="2"/>
      <w:szCs w:val="22"/>
    </w:rPr>
  </w:style>
  <w:style w:type="character" w:customStyle="1" w:styleId="115">
    <w:name w:val="正文 首行缩进:  2 字符 Char Char"/>
    <w:autoRedefine/>
    <w:qFormat/>
    <w:uiPriority w:val="0"/>
    <w:rPr>
      <w:rFonts w:eastAsia="宋体" w:cs="宋体"/>
      <w:kern w:val="2"/>
      <w:sz w:val="24"/>
      <w:lang w:val="en-US" w:eastAsia="zh-CN" w:bidi="ar-SA"/>
    </w:rPr>
  </w:style>
  <w:style w:type="character" w:customStyle="1" w:styleId="116">
    <w:name w:val="Font Style222"/>
    <w:autoRedefine/>
    <w:qFormat/>
    <w:uiPriority w:val="0"/>
    <w:rPr>
      <w:rFonts w:ascii="Times New Roman" w:hAnsi="Times New Roman" w:cs="Times New Roman"/>
      <w:sz w:val="20"/>
      <w:szCs w:val="20"/>
    </w:rPr>
  </w:style>
  <w:style w:type="character" w:customStyle="1" w:styleId="117">
    <w:name w:val="正文文本缩进 3 字符1"/>
    <w:basedOn w:val="46"/>
    <w:autoRedefine/>
    <w:semiHidden/>
    <w:qFormat/>
    <w:uiPriority w:val="99"/>
    <w:rPr>
      <w:rFonts w:ascii="Calibri" w:hAnsi="Calibri" w:eastAsia="宋体" w:cs="Times New Roman"/>
      <w:sz w:val="16"/>
      <w:szCs w:val="16"/>
    </w:rPr>
  </w:style>
  <w:style w:type="character" w:customStyle="1" w:styleId="118">
    <w:name w:val="纯文本 字符1"/>
    <w:basedOn w:val="46"/>
    <w:autoRedefine/>
    <w:semiHidden/>
    <w:qFormat/>
    <w:uiPriority w:val="99"/>
    <w:rPr>
      <w:rFonts w:hAnsi="Courier New" w:cs="Courier New" w:asciiTheme="minorEastAsia"/>
      <w:szCs w:val="24"/>
    </w:rPr>
  </w:style>
  <w:style w:type="character" w:customStyle="1" w:styleId="119">
    <w:name w:val="正文文本 字符1"/>
    <w:basedOn w:val="46"/>
    <w:autoRedefine/>
    <w:semiHidden/>
    <w:qFormat/>
    <w:uiPriority w:val="99"/>
    <w:rPr>
      <w:rFonts w:ascii="Calibri" w:hAnsi="Calibri" w:eastAsia="宋体" w:cs="Times New Roman"/>
      <w:szCs w:val="24"/>
    </w:rPr>
  </w:style>
  <w:style w:type="character" w:customStyle="1" w:styleId="120">
    <w:name w:val="正文文本首行缩进 字符1"/>
    <w:basedOn w:val="119"/>
    <w:autoRedefine/>
    <w:semiHidden/>
    <w:qFormat/>
    <w:uiPriority w:val="99"/>
    <w:rPr>
      <w:rFonts w:ascii="Calibri" w:hAnsi="Calibri" w:eastAsia="宋体" w:cs="Times New Roman"/>
      <w:szCs w:val="24"/>
    </w:rPr>
  </w:style>
  <w:style w:type="character" w:customStyle="1" w:styleId="121">
    <w:name w:val="副标题 字符1"/>
    <w:basedOn w:val="46"/>
    <w:autoRedefine/>
    <w:qFormat/>
    <w:uiPriority w:val="11"/>
    <w:rPr>
      <w:b/>
      <w:bCs/>
      <w:kern w:val="28"/>
      <w:sz w:val="32"/>
      <w:szCs w:val="32"/>
    </w:rPr>
  </w:style>
  <w:style w:type="character" w:customStyle="1" w:styleId="122">
    <w:name w:val="文档结构图 字符1"/>
    <w:basedOn w:val="46"/>
    <w:autoRedefine/>
    <w:semiHidden/>
    <w:qFormat/>
    <w:uiPriority w:val="99"/>
    <w:rPr>
      <w:rFonts w:ascii="Microsoft YaHei UI" w:hAnsi="Calibri" w:eastAsia="Microsoft YaHei UI" w:cs="Times New Roman"/>
      <w:sz w:val="18"/>
      <w:szCs w:val="18"/>
    </w:rPr>
  </w:style>
  <w:style w:type="character" w:customStyle="1" w:styleId="123">
    <w:name w:val="标题 字符1"/>
    <w:basedOn w:val="46"/>
    <w:autoRedefine/>
    <w:qFormat/>
    <w:uiPriority w:val="10"/>
    <w:rPr>
      <w:rFonts w:asciiTheme="majorHAnsi" w:hAnsiTheme="majorHAnsi" w:eastAsiaTheme="majorEastAsia" w:cstheme="majorBidi"/>
      <w:b/>
      <w:bCs/>
      <w:sz w:val="32"/>
      <w:szCs w:val="32"/>
    </w:rPr>
  </w:style>
  <w:style w:type="paragraph" w:customStyle="1" w:styleId="124">
    <w:name w:val="_Style 5"/>
    <w:basedOn w:val="16"/>
    <w:autoRedefine/>
    <w:qFormat/>
    <w:uiPriority w:val="0"/>
    <w:rPr>
      <w:rFonts w:ascii="Tahoma" w:hAnsi="Tahoma"/>
      <w:sz w:val="24"/>
    </w:rPr>
  </w:style>
  <w:style w:type="paragraph" w:customStyle="1" w:styleId="125">
    <w:name w:val="Style18"/>
    <w:basedOn w:val="1"/>
    <w:autoRedefine/>
    <w:qFormat/>
    <w:uiPriority w:val="0"/>
    <w:pPr>
      <w:adjustRightInd w:val="0"/>
      <w:spacing w:line="467" w:lineRule="exact"/>
      <w:ind w:firstLine="480"/>
    </w:pPr>
    <w:rPr>
      <w:rFonts w:eastAsiaTheme="minorEastAsia"/>
    </w:rPr>
  </w:style>
  <w:style w:type="paragraph" w:customStyle="1" w:styleId="126">
    <w:name w:val="表格内文字"/>
    <w:basedOn w:val="1"/>
    <w:autoRedefine/>
    <w:qFormat/>
    <w:uiPriority w:val="0"/>
    <w:pPr>
      <w:widowControl/>
      <w:jc w:val="left"/>
    </w:pPr>
    <w:rPr>
      <w:rFonts w:ascii="宋体" w:hAnsi="宋体" w:eastAsiaTheme="minorEastAsia"/>
    </w:rPr>
  </w:style>
  <w:style w:type="paragraph" w:customStyle="1" w:styleId="127">
    <w:name w:val="Char"/>
    <w:basedOn w:val="1"/>
    <w:autoRedefine/>
    <w:qFormat/>
    <w:uiPriority w:val="0"/>
    <w:pPr>
      <w:widowControl/>
      <w:spacing w:after="160" w:line="240" w:lineRule="exact"/>
      <w:jc w:val="left"/>
    </w:pPr>
    <w:rPr>
      <w:rFonts w:ascii="Verdana" w:hAnsi="Verdana" w:eastAsiaTheme="minorEastAsia"/>
      <w:sz w:val="20"/>
      <w:szCs w:val="20"/>
      <w:lang w:eastAsia="en-US"/>
    </w:rPr>
  </w:style>
  <w:style w:type="paragraph" w:customStyle="1" w:styleId="128">
    <w:name w:val="正文 + 黑体"/>
    <w:basedOn w:val="1"/>
    <w:autoRedefine/>
    <w:qFormat/>
    <w:uiPriority w:val="0"/>
    <w:pPr>
      <w:spacing w:line="500" w:lineRule="exact"/>
      <w:jc w:val="center"/>
    </w:pPr>
    <w:rPr>
      <w:rFonts w:ascii="宋体" w:hAnsi="宋体" w:eastAsiaTheme="minorEastAsia"/>
    </w:rPr>
  </w:style>
  <w:style w:type="paragraph" w:customStyle="1" w:styleId="129">
    <w:name w:val="正文2"/>
    <w:autoRedefine/>
    <w:qFormat/>
    <w:uiPriority w:val="0"/>
    <w:pPr>
      <w:widowControl w:val="0"/>
      <w:suppressAutoHyphens/>
      <w:spacing w:line="520" w:lineRule="atLeast"/>
      <w:ind w:firstLine="680"/>
      <w:jc w:val="both"/>
    </w:pPr>
    <w:rPr>
      <w:rFonts w:ascii="Calibri" w:hAnsi="Calibri" w:eastAsia="宋体" w:cs="Times New Roman"/>
      <w:spacing w:val="18"/>
      <w:kern w:val="0"/>
      <w:sz w:val="32"/>
      <w:szCs w:val="24"/>
      <w:lang w:val="en-US" w:eastAsia="zh-CN" w:bidi="ar-SA"/>
    </w:rPr>
  </w:style>
  <w:style w:type="paragraph" w:customStyle="1" w:styleId="130">
    <w:name w:val="正文表标题"/>
    <w:next w:val="1"/>
    <w:autoRedefine/>
    <w:qFormat/>
    <w:uiPriority w:val="0"/>
    <w:pPr>
      <w:tabs>
        <w:tab w:val="left" w:pos="360"/>
      </w:tabs>
      <w:spacing w:beforeLines="50" w:afterLines="50"/>
      <w:ind w:hanging="360"/>
      <w:jc w:val="center"/>
    </w:pPr>
    <w:rPr>
      <w:rFonts w:ascii="黑体" w:hAnsi="Calibri" w:eastAsia="黑体" w:cs="Times New Roman"/>
      <w:kern w:val="0"/>
      <w:sz w:val="21"/>
      <w:szCs w:val="21"/>
      <w:lang w:val="en-US" w:eastAsia="zh-CN" w:bidi="ar-SA"/>
    </w:rPr>
  </w:style>
  <w:style w:type="paragraph" w:customStyle="1" w:styleId="131">
    <w:name w:val="报告书正文"/>
    <w:basedOn w:val="1"/>
    <w:link w:val="195"/>
    <w:autoRedefine/>
    <w:qFormat/>
    <w:uiPriority w:val="0"/>
    <w:pPr>
      <w:adjustRightInd w:val="0"/>
      <w:snapToGrid w:val="0"/>
      <w:spacing w:line="360" w:lineRule="auto"/>
      <w:ind w:firstLine="480" w:firstLineChars="200"/>
    </w:pPr>
    <w:rPr>
      <w:rFonts w:ascii="宋体" w:hAnsi="宋体" w:eastAsiaTheme="minorEastAsia"/>
    </w:rPr>
  </w:style>
  <w:style w:type="paragraph" w:customStyle="1" w:styleId="132">
    <w:name w:val="表格标题"/>
    <w:basedOn w:val="1"/>
    <w:autoRedefine/>
    <w:qFormat/>
    <w:uiPriority w:val="0"/>
    <w:pPr>
      <w:spacing w:before="120"/>
      <w:jc w:val="center"/>
    </w:pPr>
    <w:rPr>
      <w:rFonts w:eastAsia="仿宋_GB2312"/>
      <w:szCs w:val="20"/>
    </w:rPr>
  </w:style>
  <w:style w:type="paragraph" w:customStyle="1" w:styleId="133">
    <w:name w:val="表格填充1"/>
    <w:basedOn w:val="1"/>
    <w:qFormat/>
    <w:uiPriority w:val="0"/>
    <w:pPr>
      <w:adjustRightInd w:val="0"/>
      <w:spacing w:line="400" w:lineRule="exact"/>
      <w:jc w:val="center"/>
    </w:pPr>
    <w:rPr>
      <w:rFonts w:eastAsiaTheme="minorEastAsia"/>
      <w:snapToGrid w:val="0"/>
      <w:szCs w:val="18"/>
    </w:rPr>
  </w:style>
  <w:style w:type="paragraph" w:customStyle="1" w:styleId="134">
    <w:name w:val="表标题"/>
    <w:basedOn w:val="35"/>
    <w:link w:val="166"/>
    <w:qFormat/>
    <w:uiPriority w:val="0"/>
    <w:pPr>
      <w:adjustRightInd w:val="0"/>
      <w:snapToGrid w:val="0"/>
      <w:spacing w:before="60" w:after="60" w:line="500" w:lineRule="exact"/>
      <w:ind w:firstLine="0" w:firstLineChars="0"/>
      <w:jc w:val="center"/>
    </w:pPr>
    <w:rPr>
      <w:b/>
      <w:bCs/>
      <w:szCs w:val="18"/>
    </w:rPr>
  </w:style>
  <w:style w:type="paragraph" w:customStyle="1" w:styleId="135">
    <w:name w:val="A表格内容"/>
    <w:basedOn w:val="1"/>
    <w:autoRedefine/>
    <w:qFormat/>
    <w:uiPriority w:val="0"/>
    <w:pPr>
      <w:adjustRightInd w:val="0"/>
      <w:spacing w:line="245" w:lineRule="auto"/>
      <w:jc w:val="center"/>
      <w:textAlignment w:val="baseline"/>
    </w:pPr>
    <w:rPr>
      <w:rFonts w:eastAsiaTheme="minorEastAsia"/>
    </w:rPr>
  </w:style>
  <w:style w:type="paragraph" w:customStyle="1" w:styleId="136">
    <w:name w:val="三级"/>
    <w:basedOn w:val="1"/>
    <w:autoRedefine/>
    <w:qFormat/>
    <w:uiPriority w:val="0"/>
    <w:pPr>
      <w:adjustRightInd w:val="0"/>
      <w:snapToGrid w:val="0"/>
      <w:jc w:val="left"/>
      <w:outlineLvl w:val="2"/>
    </w:pPr>
    <w:rPr>
      <w:rFonts w:eastAsiaTheme="minorEastAsia"/>
      <w:b/>
    </w:rPr>
  </w:style>
  <w:style w:type="paragraph" w:customStyle="1" w:styleId="137">
    <w:name w:val="表格"/>
    <w:basedOn w:val="1"/>
    <w:link w:val="327"/>
    <w:autoRedefine/>
    <w:qFormat/>
    <w:uiPriority w:val="99"/>
    <w:pPr>
      <w:jc w:val="center"/>
    </w:pPr>
    <w:rPr>
      <w:rFonts w:eastAsiaTheme="minorEastAsia"/>
    </w:rPr>
  </w:style>
  <w:style w:type="paragraph" w:customStyle="1" w:styleId="138">
    <w:name w:val="正文缩近"/>
    <w:basedOn w:val="1"/>
    <w:autoRedefine/>
    <w:qFormat/>
    <w:uiPriority w:val="0"/>
    <w:pPr>
      <w:spacing w:line="360" w:lineRule="auto"/>
      <w:ind w:firstLine="560" w:firstLineChars="200"/>
    </w:pPr>
    <w:rPr>
      <w:rFonts w:eastAsiaTheme="minorEastAsia"/>
      <w:sz w:val="28"/>
      <w:szCs w:val="28"/>
    </w:rPr>
  </w:style>
  <w:style w:type="paragraph" w:customStyle="1" w:styleId="139">
    <w:name w:val="zxz5"/>
    <w:next w:val="1"/>
    <w:autoRedefine/>
    <w:qFormat/>
    <w:uiPriority w:val="0"/>
    <w:pPr>
      <w:tabs>
        <w:tab w:val="left" w:pos="0"/>
      </w:tabs>
      <w:jc w:val="center"/>
    </w:pPr>
    <w:rPr>
      <w:rFonts w:ascii="Calibri" w:hAnsi="Calibri" w:eastAsia="宋体" w:cs="Times New Roman"/>
      <w:kern w:val="0"/>
      <w:sz w:val="24"/>
      <w:szCs w:val="24"/>
      <w:lang w:val="en-US" w:eastAsia="zh-CN" w:bidi="ar-SA"/>
    </w:rPr>
  </w:style>
  <w:style w:type="paragraph" w:customStyle="1" w:styleId="140">
    <w:name w:val="论文正文"/>
    <w:basedOn w:val="13"/>
    <w:qFormat/>
    <w:uiPriority w:val="0"/>
    <w:pPr>
      <w:ind w:firstLine="480"/>
    </w:pPr>
    <w:rPr>
      <w:rFonts w:ascii="宋体" w:hAnsi="宋体"/>
      <w:sz w:val="28"/>
      <w:szCs w:val="24"/>
    </w:rPr>
  </w:style>
  <w:style w:type="paragraph" w:customStyle="1" w:styleId="141">
    <w:name w:val="报告表格"/>
    <w:basedOn w:val="1"/>
    <w:autoRedefine/>
    <w:qFormat/>
    <w:uiPriority w:val="0"/>
    <w:pPr>
      <w:autoSpaceDE w:val="0"/>
      <w:autoSpaceDN w:val="0"/>
      <w:adjustRightInd w:val="0"/>
      <w:jc w:val="center"/>
      <w:textAlignment w:val="bottom"/>
    </w:pPr>
    <w:rPr>
      <w:rFonts w:eastAsiaTheme="minorEastAsia"/>
    </w:rPr>
  </w:style>
  <w:style w:type="paragraph" w:customStyle="1" w:styleId="142">
    <w:name w:val="样式 正文文本缩进 + 行距: 1.5 倍行距"/>
    <w:basedOn w:val="1"/>
    <w:autoRedefine/>
    <w:qFormat/>
    <w:uiPriority w:val="0"/>
    <w:pPr>
      <w:spacing w:after="120" w:line="360" w:lineRule="auto"/>
      <w:ind w:left="90" w:leftChars="32" w:firstLine="560" w:firstLineChars="200"/>
    </w:pPr>
    <w:rPr>
      <w:rFonts w:eastAsiaTheme="minorEastAsia"/>
    </w:rPr>
  </w:style>
  <w:style w:type="paragraph" w:customStyle="1" w:styleId="143">
    <w:name w:val="Table Paragraph"/>
    <w:basedOn w:val="1"/>
    <w:qFormat/>
    <w:uiPriority w:val="1"/>
    <w:pPr>
      <w:widowControl/>
      <w:jc w:val="left"/>
    </w:pPr>
    <w:rPr>
      <w:rFonts w:eastAsiaTheme="minorEastAsia"/>
      <w:sz w:val="22"/>
      <w:szCs w:val="22"/>
    </w:rPr>
  </w:style>
  <w:style w:type="paragraph" w:customStyle="1" w:styleId="144">
    <w:name w:val="1正文"/>
    <w:basedOn w:val="1"/>
    <w:qFormat/>
    <w:uiPriority w:val="0"/>
    <w:pPr>
      <w:widowControl/>
      <w:spacing w:line="360" w:lineRule="auto"/>
      <w:jc w:val="left"/>
    </w:pPr>
    <w:rPr>
      <w:rFonts w:eastAsiaTheme="minorEastAsia"/>
      <w:b/>
      <w:lang w:eastAsia="en-US"/>
    </w:rPr>
  </w:style>
  <w:style w:type="paragraph" w:customStyle="1" w:styleId="145">
    <w:name w:val="A居中"/>
    <w:basedOn w:val="1"/>
    <w:autoRedefine/>
    <w:qFormat/>
    <w:uiPriority w:val="0"/>
    <w:pPr>
      <w:spacing w:line="360" w:lineRule="auto"/>
      <w:jc w:val="center"/>
    </w:pPr>
    <w:rPr>
      <w:szCs w:val="22"/>
    </w:rPr>
  </w:style>
  <w:style w:type="paragraph" w:customStyle="1" w:styleId="146">
    <w:name w:val="正文1"/>
    <w:basedOn w:val="1"/>
    <w:next w:val="1"/>
    <w:autoRedefine/>
    <w:qFormat/>
    <w:uiPriority w:val="0"/>
    <w:pPr>
      <w:snapToGrid w:val="0"/>
      <w:spacing w:line="360" w:lineRule="auto"/>
      <w:ind w:firstLine="200" w:firstLineChars="200"/>
      <w:jc w:val="left"/>
    </w:pPr>
    <w:rPr>
      <w:rFonts w:eastAsiaTheme="minorEastAsia"/>
      <w:spacing w:val="8"/>
      <w:kern w:val="21"/>
      <w:szCs w:val="20"/>
    </w:rPr>
  </w:style>
  <w:style w:type="paragraph" w:customStyle="1" w:styleId="147">
    <w:name w:val="_Style 41"/>
    <w:basedOn w:val="1"/>
    <w:uiPriority w:val="0"/>
    <w:rPr>
      <w:rFonts w:eastAsiaTheme="minorEastAsia"/>
    </w:rPr>
  </w:style>
  <w:style w:type="paragraph" w:customStyle="1" w:styleId="148">
    <w:name w:val="Char Char1 Char Char Char Char Char Char"/>
    <w:basedOn w:val="1"/>
    <w:autoRedefine/>
    <w:qFormat/>
    <w:uiPriority w:val="0"/>
    <w:rPr>
      <w:rFonts w:eastAsiaTheme="minorEastAsia"/>
      <w:szCs w:val="20"/>
    </w:rPr>
  </w:style>
  <w:style w:type="table" w:customStyle="1" w:styleId="149">
    <w:name w:val="网格型c1"/>
    <w:basedOn w:val="43"/>
    <w:qFormat/>
    <w:uiPriority w:val="59"/>
    <w:pPr>
      <w:widowControl w:val="0"/>
      <w:jc w:val="both"/>
    </w:pPr>
    <w:rPr>
      <w:rFonts w:ascii="Times New Roman" w:hAnsi="Times New Roman" w:eastAsia="宋体" w:cs="Times New Roman"/>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浅色1"/>
    <w:basedOn w:val="43"/>
    <w:autoRedefine/>
    <w:qFormat/>
    <w:uiPriority w:val="40"/>
    <w:rPr>
      <w:rFonts w:ascii="Times New Roman" w:hAnsi="Times New Roman" w:eastAsia="宋体" w:cs="宋体"/>
      <w:kern w:val="0"/>
      <w:sz w:val="24"/>
      <w:szCs w:val="24"/>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1">
    <w:name w:val="style61"/>
    <w:autoRedefine/>
    <w:qFormat/>
    <w:uiPriority w:val="0"/>
    <w:rPr>
      <w:sz w:val="21"/>
      <w:szCs w:val="21"/>
    </w:rPr>
  </w:style>
  <w:style w:type="character" w:customStyle="1" w:styleId="152">
    <w:name w:val="text1"/>
    <w:autoRedefine/>
    <w:qFormat/>
    <w:uiPriority w:val="0"/>
    <w:rPr>
      <w:sz w:val="24"/>
      <w:szCs w:val="24"/>
    </w:rPr>
  </w:style>
  <w:style w:type="character" w:customStyle="1" w:styleId="153">
    <w:name w:val="t11"/>
    <w:autoRedefine/>
    <w:qFormat/>
    <w:uiPriority w:val="0"/>
    <w:rPr>
      <w:sz w:val="18"/>
      <w:szCs w:val="18"/>
      <w:u w:val="none"/>
    </w:rPr>
  </w:style>
  <w:style w:type="character" w:customStyle="1" w:styleId="154">
    <w:name w:val="cucd-0 Char"/>
    <w:link w:val="155"/>
    <w:qFormat/>
    <w:uiPriority w:val="0"/>
    <w:rPr>
      <w:sz w:val="24"/>
      <w:szCs w:val="24"/>
    </w:rPr>
  </w:style>
  <w:style w:type="paragraph" w:customStyle="1" w:styleId="155">
    <w:name w:val="cucd-0"/>
    <w:link w:val="154"/>
    <w:autoRedefine/>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56">
    <w:name w:val="data"/>
    <w:qFormat/>
    <w:uiPriority w:val="0"/>
  </w:style>
  <w:style w:type="character" w:customStyle="1" w:styleId="157">
    <w:name w:val="表格 Char2"/>
    <w:autoRedefine/>
    <w:qFormat/>
    <w:uiPriority w:val="0"/>
    <w:rPr>
      <w:rFonts w:ascii="宋体" w:hAnsi="Courier New" w:eastAsia="宋体"/>
      <w:kern w:val="2"/>
      <w:sz w:val="21"/>
      <w:lang w:val="en-US" w:eastAsia="zh-CN" w:bidi="ar-SA"/>
    </w:rPr>
  </w:style>
  <w:style w:type="character" w:customStyle="1" w:styleId="158">
    <w:name w:val="name1"/>
    <w:autoRedefine/>
    <w:uiPriority w:val="0"/>
    <w:rPr>
      <w:color w:val="333333"/>
    </w:rPr>
  </w:style>
  <w:style w:type="character" w:customStyle="1" w:styleId="159">
    <w:name w:val="black1"/>
    <w:qFormat/>
    <w:uiPriority w:val="0"/>
    <w:rPr>
      <w:color w:val="000000"/>
      <w:u w:val="none"/>
    </w:rPr>
  </w:style>
  <w:style w:type="character" w:customStyle="1" w:styleId="160">
    <w:name w:val="style81"/>
    <w:qFormat/>
    <w:uiPriority w:val="0"/>
    <w:rPr>
      <w:color w:val="0066CC"/>
    </w:rPr>
  </w:style>
  <w:style w:type="character" w:customStyle="1" w:styleId="161">
    <w:name w:val="标准正文 Char"/>
    <w:link w:val="162"/>
    <w:autoRedefine/>
    <w:qFormat/>
    <w:uiPriority w:val="0"/>
    <w:rPr>
      <w:rFonts w:eastAsia="宋体"/>
      <w:sz w:val="24"/>
      <w:szCs w:val="24"/>
    </w:rPr>
  </w:style>
  <w:style w:type="paragraph" w:customStyle="1" w:styleId="162">
    <w:name w:val="标准正文"/>
    <w:link w:val="161"/>
    <w:autoRedefine/>
    <w:qFormat/>
    <w:uiPriority w:val="0"/>
    <w:pPr>
      <w:keepNext/>
      <w:keepLines/>
      <w:snapToGrid w:val="0"/>
      <w:spacing w:beforeLines="50" w:afterLines="50" w:line="360" w:lineRule="auto"/>
      <w:ind w:firstLine="200" w:firstLineChars="200"/>
      <w:jc w:val="both"/>
    </w:pPr>
    <w:rPr>
      <w:rFonts w:eastAsia="宋体" w:asciiTheme="minorHAnsi" w:hAnsiTheme="minorHAnsi" w:cstheme="minorBidi"/>
      <w:kern w:val="2"/>
      <w:sz w:val="24"/>
      <w:szCs w:val="24"/>
      <w:lang w:val="en-US" w:eastAsia="zh-CN" w:bidi="ar-SA"/>
    </w:rPr>
  </w:style>
  <w:style w:type="character" w:customStyle="1" w:styleId="163">
    <w:name w:val="样式1 Char"/>
    <w:link w:val="164"/>
    <w:qFormat/>
    <w:uiPriority w:val="0"/>
    <w:rPr>
      <w:sz w:val="24"/>
    </w:rPr>
  </w:style>
  <w:style w:type="paragraph" w:customStyle="1" w:styleId="164">
    <w:name w:val="样式1"/>
    <w:basedOn w:val="1"/>
    <w:link w:val="163"/>
    <w:autoRedefine/>
    <w:qFormat/>
    <w:uiPriority w:val="0"/>
    <w:pPr>
      <w:spacing w:before="60" w:line="460" w:lineRule="exact"/>
      <w:ind w:firstLine="454"/>
    </w:pPr>
    <w:rPr>
      <w:rFonts w:asciiTheme="minorHAnsi" w:hAnsiTheme="minorHAnsi" w:eastAsiaTheme="minorEastAsia" w:cstheme="minorBidi"/>
      <w:kern w:val="2"/>
      <w:szCs w:val="22"/>
    </w:rPr>
  </w:style>
  <w:style w:type="character" w:customStyle="1" w:styleId="165">
    <w:name w:val="opt"/>
    <w:autoRedefine/>
    <w:qFormat/>
    <w:uiPriority w:val="0"/>
  </w:style>
  <w:style w:type="character" w:customStyle="1" w:styleId="166">
    <w:name w:val="表标题 Char"/>
    <w:link w:val="134"/>
    <w:autoRedefine/>
    <w:qFormat/>
    <w:uiPriority w:val="0"/>
    <w:rPr>
      <w:rFonts w:ascii="Times New Roman" w:hAnsi="Times New Roman" w:cs="宋体"/>
      <w:b/>
      <w:bCs/>
      <w:kern w:val="0"/>
      <w:sz w:val="24"/>
      <w:szCs w:val="18"/>
    </w:rPr>
  </w:style>
  <w:style w:type="character" w:customStyle="1" w:styleId="167">
    <w:name w:val="表 Char"/>
    <w:link w:val="168"/>
    <w:autoRedefine/>
    <w:qFormat/>
    <w:uiPriority w:val="0"/>
    <w:rPr>
      <w:spacing w:val="2"/>
      <w:sz w:val="24"/>
    </w:rPr>
  </w:style>
  <w:style w:type="paragraph" w:customStyle="1" w:styleId="168">
    <w:name w:val="表"/>
    <w:basedOn w:val="1"/>
    <w:link w:val="167"/>
    <w:autoRedefine/>
    <w:qFormat/>
    <w:uiPriority w:val="0"/>
    <w:pPr>
      <w:snapToGrid w:val="0"/>
      <w:jc w:val="center"/>
    </w:pPr>
    <w:rPr>
      <w:rFonts w:asciiTheme="minorHAnsi" w:hAnsiTheme="minorHAnsi" w:eastAsiaTheme="minorEastAsia" w:cstheme="minorBidi"/>
      <w:spacing w:val="2"/>
      <w:kern w:val="2"/>
      <w:szCs w:val="22"/>
    </w:rPr>
  </w:style>
  <w:style w:type="paragraph" w:customStyle="1" w:styleId="169">
    <w:name w:val="默认段落字体 Para Char Char Char Char Char Char Char Char Char Char Char Char Char1"/>
    <w:basedOn w:val="1"/>
    <w:qFormat/>
    <w:uiPriority w:val="0"/>
    <w:rPr>
      <w:rFonts w:eastAsiaTheme="minorEastAsia"/>
    </w:rPr>
  </w:style>
  <w:style w:type="paragraph" w:customStyle="1" w:styleId="170">
    <w:name w:val="Char Char"/>
    <w:basedOn w:val="1"/>
    <w:autoRedefine/>
    <w:semiHidden/>
    <w:qFormat/>
    <w:uiPriority w:val="0"/>
    <w:pPr>
      <w:tabs>
        <w:tab w:val="left" w:pos="0"/>
      </w:tabs>
      <w:spacing w:line="360" w:lineRule="auto"/>
      <w:ind w:firstLine="200" w:firstLineChars="200"/>
    </w:pPr>
    <w:rPr>
      <w:rFonts w:eastAsiaTheme="minorEastAsia"/>
    </w:rPr>
  </w:style>
  <w:style w:type="paragraph" w:customStyle="1" w:styleId="171">
    <w:name w:val="样式 正文首行缩进 + 首行缩进:  2 字符1"/>
    <w:basedOn w:val="35"/>
    <w:qFormat/>
    <w:uiPriority w:val="0"/>
    <w:pPr>
      <w:spacing w:after="0" w:line="360" w:lineRule="auto"/>
      <w:ind w:firstLine="480" w:firstLineChars="200"/>
    </w:pPr>
  </w:style>
  <w:style w:type="paragraph" w:customStyle="1" w:styleId="172">
    <w:name w:val="Char Char Char1 Char"/>
    <w:basedOn w:val="1"/>
    <w:autoRedefine/>
    <w:uiPriority w:val="0"/>
    <w:pPr>
      <w:spacing w:line="360" w:lineRule="auto"/>
      <w:ind w:firstLine="200" w:firstLineChars="200"/>
    </w:pPr>
    <w:rPr>
      <w:rFonts w:eastAsiaTheme="minorEastAsia"/>
    </w:rPr>
  </w:style>
  <w:style w:type="paragraph" w:customStyle="1" w:styleId="173">
    <w:name w:val="Char1"/>
    <w:basedOn w:val="1"/>
    <w:qFormat/>
    <w:uiPriority w:val="0"/>
    <w:pPr>
      <w:spacing w:line="240" w:lineRule="exact"/>
      <w:ind w:firstLine="200" w:firstLineChars="200"/>
    </w:pPr>
    <w:rPr>
      <w:rFonts w:ascii="宋体" w:hAnsi="宋体" w:eastAsiaTheme="minorEastAsia"/>
    </w:rPr>
  </w:style>
  <w:style w:type="paragraph" w:customStyle="1" w:styleId="174">
    <w:name w:val="Char Char1 Char Char Char Char"/>
    <w:basedOn w:val="1"/>
    <w:autoRedefine/>
    <w:qFormat/>
    <w:uiPriority w:val="0"/>
    <w:rPr>
      <w:rFonts w:eastAsiaTheme="minorEastAsia"/>
    </w:rPr>
  </w:style>
  <w:style w:type="paragraph" w:customStyle="1" w:styleId="175">
    <w:name w:val="样式7"/>
    <w:basedOn w:val="1"/>
    <w:autoRedefine/>
    <w:qFormat/>
    <w:uiPriority w:val="0"/>
    <w:pPr>
      <w:tabs>
        <w:tab w:val="left" w:pos="360"/>
        <w:tab w:val="left" w:pos="1044"/>
      </w:tabs>
      <w:adjustRightInd w:val="0"/>
      <w:snapToGrid w:val="0"/>
      <w:spacing w:line="360" w:lineRule="auto"/>
    </w:pPr>
    <w:rPr>
      <w:rFonts w:ascii="Arial" w:hAnsi="Arial" w:eastAsia="仿宋_GB2312"/>
      <w:sz w:val="28"/>
      <w:szCs w:val="28"/>
    </w:rPr>
  </w:style>
  <w:style w:type="paragraph" w:customStyle="1" w:styleId="176">
    <w:name w:val="p0"/>
    <w:basedOn w:val="1"/>
    <w:qFormat/>
    <w:uiPriority w:val="0"/>
    <w:pPr>
      <w:widowControl/>
      <w:spacing w:line="360" w:lineRule="auto"/>
    </w:pPr>
    <w:rPr>
      <w:rFonts w:eastAsiaTheme="minorEastAsia"/>
      <w:szCs w:val="20"/>
    </w:rPr>
  </w:style>
  <w:style w:type="paragraph" w:customStyle="1" w:styleId="177">
    <w:name w:val="默认段落字体 Para Char Char Char Char"/>
    <w:basedOn w:val="1"/>
    <w:autoRedefine/>
    <w:qFormat/>
    <w:uiPriority w:val="0"/>
    <w:rPr>
      <w:rFonts w:eastAsiaTheme="minorEastAsia"/>
    </w:rPr>
  </w:style>
  <w:style w:type="paragraph" w:customStyle="1" w:styleId="178">
    <w:name w:val="表样式2"/>
    <w:basedOn w:val="1"/>
    <w:qFormat/>
    <w:uiPriority w:val="0"/>
    <w:pPr>
      <w:adjustRightInd w:val="0"/>
      <w:snapToGrid w:val="0"/>
      <w:jc w:val="center"/>
    </w:pPr>
    <w:rPr>
      <w:rFonts w:hAnsi="宋体" w:eastAsiaTheme="minorEastAsia"/>
    </w:rPr>
  </w:style>
  <w:style w:type="paragraph" w:customStyle="1" w:styleId="179">
    <w:name w:val="B"/>
    <w:basedOn w:val="36"/>
    <w:autoRedefine/>
    <w:uiPriority w:val="0"/>
    <w:pPr>
      <w:spacing w:beforeLines="20" w:afterLines="20"/>
      <w:ind w:left="0" w:firstLine="0" w:firstLineChars="0"/>
      <w:contextualSpacing/>
      <w:jc w:val="center"/>
    </w:pPr>
    <w:rPr>
      <w:b/>
    </w:rPr>
  </w:style>
  <w:style w:type="paragraph" w:customStyle="1" w:styleId="180">
    <w:name w:val="Char Char4"/>
    <w:basedOn w:val="1"/>
    <w:autoRedefine/>
    <w:qFormat/>
    <w:uiPriority w:val="0"/>
    <w:rPr>
      <w:rFonts w:eastAsiaTheme="minorEastAsia"/>
    </w:rPr>
  </w:style>
  <w:style w:type="paragraph" w:customStyle="1" w:styleId="181">
    <w:name w:val="正文0"/>
    <w:basedOn w:val="1"/>
    <w:qFormat/>
    <w:uiPriority w:val="0"/>
    <w:pPr>
      <w:ind w:firstLine="200" w:firstLineChars="200"/>
    </w:pPr>
    <w:rPr>
      <w:rFonts w:eastAsiaTheme="minorEastAsia"/>
    </w:rPr>
  </w:style>
  <w:style w:type="paragraph" w:customStyle="1" w:styleId="182">
    <w:name w:val="样式 样式 正文 行距: 固定值 25 磅 + 首行缩进:  2 字符1"/>
    <w:basedOn w:val="1"/>
    <w:autoRedefine/>
    <w:qFormat/>
    <w:uiPriority w:val="0"/>
    <w:pPr>
      <w:adjustRightInd w:val="0"/>
      <w:spacing w:line="500" w:lineRule="exact"/>
      <w:ind w:firstLine="480" w:firstLineChars="200"/>
    </w:pPr>
    <w:rPr>
      <w:rFonts w:eastAsiaTheme="minorEastAsia"/>
      <w:szCs w:val="20"/>
    </w:rPr>
  </w:style>
  <w:style w:type="paragraph" w:customStyle="1" w:styleId="183">
    <w:name w:val="Char11"/>
    <w:basedOn w:val="1"/>
    <w:qFormat/>
    <w:uiPriority w:val="0"/>
    <w:rPr>
      <w:rFonts w:hAnsi="Arial" w:cs="Arial" w:eastAsiaTheme="minorEastAsia"/>
      <w:color w:val="2F2F2F"/>
    </w:rPr>
  </w:style>
  <w:style w:type="table" w:customStyle="1" w:styleId="184">
    <w:name w:val="环评"/>
    <w:basedOn w:val="44"/>
    <w:autoRedefine/>
    <w:qFormat/>
    <w:uiPriority w:val="0"/>
    <w:pPr>
      <w:adjustRightInd w:val="0"/>
      <w:snapToGrid w:val="0"/>
    </w:pPr>
  </w:style>
  <w:style w:type="paragraph" w:customStyle="1" w:styleId="185">
    <w:name w:val="Char2"/>
    <w:basedOn w:val="1"/>
    <w:autoRedefine/>
    <w:qFormat/>
    <w:uiPriority w:val="0"/>
    <w:pPr>
      <w:spacing w:line="240" w:lineRule="exact"/>
      <w:ind w:firstLine="200" w:firstLineChars="200"/>
    </w:pPr>
    <w:rPr>
      <w:rFonts w:eastAsiaTheme="minorEastAsia"/>
      <w:sz w:val="28"/>
      <w:szCs w:val="28"/>
    </w:rPr>
  </w:style>
  <w:style w:type="paragraph" w:customStyle="1" w:styleId="186">
    <w:name w:val="样式 首行缩进:  0.85 厘米 行距: 1.5 倍行距"/>
    <w:basedOn w:val="1"/>
    <w:autoRedefine/>
    <w:qFormat/>
    <w:uiPriority w:val="0"/>
    <w:pPr>
      <w:snapToGrid w:val="0"/>
      <w:spacing w:line="360" w:lineRule="auto"/>
      <w:ind w:firstLine="480" w:firstLineChars="200"/>
    </w:pPr>
    <w:rPr>
      <w:rFonts w:cs="Arial" w:eastAsiaTheme="minorEastAsia"/>
      <w:bCs/>
      <w:szCs w:val="20"/>
    </w:rPr>
  </w:style>
  <w:style w:type="paragraph" w:customStyle="1" w:styleId="187">
    <w:name w:val="Char Char Char Char Char Char Char Char Char Char Char Char Char Char Char Char Char Char Char"/>
    <w:basedOn w:val="1"/>
    <w:autoRedefine/>
    <w:uiPriority w:val="0"/>
    <w:rPr>
      <w:rFonts w:eastAsiaTheme="minorEastAsia"/>
      <w:szCs w:val="20"/>
    </w:rPr>
  </w:style>
  <w:style w:type="character" w:customStyle="1" w:styleId="188">
    <w:name w:val="标题 Char1"/>
    <w:qFormat/>
    <w:uiPriority w:val="0"/>
    <w:rPr>
      <w:rFonts w:ascii="等线 Light" w:hAnsi="等线 Light" w:cs="Times New Roman"/>
      <w:b/>
      <w:bCs/>
      <w:kern w:val="2"/>
      <w:sz w:val="32"/>
      <w:szCs w:val="32"/>
    </w:rPr>
  </w:style>
  <w:style w:type="paragraph" w:customStyle="1" w:styleId="189">
    <w:name w:val="表内格式"/>
    <w:basedOn w:val="1"/>
    <w:link w:val="190"/>
    <w:autoRedefine/>
    <w:qFormat/>
    <w:uiPriority w:val="0"/>
    <w:pPr>
      <w:jc w:val="center"/>
    </w:pPr>
    <w:rPr>
      <w:rFonts w:eastAsiaTheme="minorEastAsia"/>
      <w:sz w:val="18"/>
      <w:szCs w:val="20"/>
    </w:rPr>
  </w:style>
  <w:style w:type="character" w:customStyle="1" w:styleId="190">
    <w:name w:val="表内格式 Char1"/>
    <w:link w:val="189"/>
    <w:autoRedefine/>
    <w:qFormat/>
    <w:uiPriority w:val="0"/>
    <w:rPr>
      <w:rFonts w:ascii="Times New Roman" w:hAnsi="Times New Roman" w:cs="宋体"/>
      <w:kern w:val="0"/>
      <w:sz w:val="18"/>
      <w:szCs w:val="20"/>
    </w:rPr>
  </w:style>
  <w:style w:type="paragraph" w:customStyle="1" w:styleId="191">
    <w:name w:val="表格内居中"/>
    <w:basedOn w:val="1"/>
    <w:qFormat/>
    <w:uiPriority w:val="0"/>
    <w:pPr>
      <w:jc w:val="center"/>
    </w:pPr>
    <w:rPr>
      <w:rFonts w:eastAsiaTheme="minorEastAsia"/>
      <w:szCs w:val="20"/>
    </w:rPr>
  </w:style>
  <w:style w:type="paragraph" w:customStyle="1" w:styleId="192">
    <w:name w:val="新格式表"/>
    <w:basedOn w:val="1"/>
    <w:autoRedefine/>
    <w:qFormat/>
    <w:uiPriority w:val="0"/>
    <w:pPr>
      <w:adjustRightInd w:val="0"/>
      <w:snapToGrid w:val="0"/>
      <w:spacing w:line="0" w:lineRule="atLeast"/>
      <w:jc w:val="center"/>
    </w:pPr>
    <w:rPr>
      <w:rFonts w:eastAsiaTheme="minorEastAsia"/>
      <w:color w:val="000000"/>
      <w:sz w:val="30"/>
    </w:rPr>
  </w:style>
  <w:style w:type="paragraph" w:customStyle="1" w:styleId="193">
    <w:name w:val="Char Char1 Char Char Char Char1"/>
    <w:basedOn w:val="1"/>
    <w:autoRedefine/>
    <w:uiPriority w:val="0"/>
    <w:rPr>
      <w:rFonts w:eastAsiaTheme="minorEastAsia"/>
    </w:rPr>
  </w:style>
  <w:style w:type="character" w:customStyle="1" w:styleId="194">
    <w:name w:val="正文缩进 Char"/>
    <w:autoRedefine/>
    <w:qFormat/>
    <w:uiPriority w:val="0"/>
    <w:rPr>
      <w:rFonts w:eastAsia="仿宋_GB2312"/>
      <w:kern w:val="2"/>
      <w:sz w:val="24"/>
      <w:szCs w:val="24"/>
      <w:lang w:val="en-US" w:eastAsia="zh-CN" w:bidi="ar-SA"/>
    </w:rPr>
  </w:style>
  <w:style w:type="character" w:customStyle="1" w:styleId="195">
    <w:name w:val="报告书正文 Char"/>
    <w:link w:val="131"/>
    <w:qFormat/>
    <w:uiPriority w:val="0"/>
    <w:rPr>
      <w:rFonts w:ascii="宋体" w:hAnsi="宋体" w:cs="宋体"/>
      <w:kern w:val="0"/>
      <w:sz w:val="24"/>
      <w:szCs w:val="24"/>
    </w:rPr>
  </w:style>
  <w:style w:type="character" w:customStyle="1" w:styleId="196">
    <w:name w:val="15"/>
    <w:autoRedefine/>
    <w:qFormat/>
    <w:uiPriority w:val="0"/>
    <w:rPr>
      <w:rFonts w:hint="default" w:ascii="Times New Roman" w:hAnsi="Times New Roman" w:cs="Times New Roman"/>
    </w:rPr>
  </w:style>
  <w:style w:type="character" w:customStyle="1" w:styleId="197">
    <w:name w:val="题注 字符"/>
    <w:link w:val="14"/>
    <w:autoRedefine/>
    <w:qFormat/>
    <w:locked/>
    <w:uiPriority w:val="0"/>
    <w:rPr>
      <w:rFonts w:ascii="Arial" w:hAnsi="Arial" w:eastAsia="黑体" w:cs="Arial"/>
      <w:kern w:val="0"/>
      <w:sz w:val="20"/>
      <w:szCs w:val="20"/>
    </w:rPr>
  </w:style>
  <w:style w:type="character" w:customStyle="1" w:styleId="198">
    <w:name w:val="正文11 Char"/>
    <w:link w:val="199"/>
    <w:autoRedefine/>
    <w:qFormat/>
    <w:locked/>
    <w:uiPriority w:val="0"/>
    <w:rPr>
      <w:rFonts w:ascii="宋体" w:hAnsi="宋体" w:cs="宋体"/>
      <w:sz w:val="24"/>
      <w:szCs w:val="24"/>
    </w:rPr>
  </w:style>
  <w:style w:type="paragraph" w:customStyle="1" w:styleId="199">
    <w:name w:val="正文11"/>
    <w:basedOn w:val="1"/>
    <w:link w:val="198"/>
    <w:autoRedefine/>
    <w:qFormat/>
    <w:uiPriority w:val="0"/>
    <w:pPr>
      <w:widowControl/>
      <w:spacing w:line="360" w:lineRule="auto"/>
      <w:ind w:firstLine="200" w:firstLineChars="200"/>
      <w:jc w:val="left"/>
    </w:pPr>
    <w:rPr>
      <w:rFonts w:ascii="宋体" w:hAnsi="宋体" w:eastAsiaTheme="minorEastAsia"/>
      <w:kern w:val="2"/>
    </w:rPr>
  </w:style>
  <w:style w:type="paragraph" w:customStyle="1" w:styleId="200">
    <w:name w:val="lm表格内文字"/>
    <w:basedOn w:val="1"/>
    <w:autoRedefine/>
    <w:qFormat/>
    <w:uiPriority w:val="0"/>
    <w:pPr>
      <w:widowControl/>
      <w:jc w:val="center"/>
    </w:pPr>
    <w:rPr>
      <w:rFonts w:ascii="宋体" w:hAnsi="宋体" w:eastAsiaTheme="minorEastAsia"/>
    </w:rPr>
  </w:style>
  <w:style w:type="character" w:customStyle="1" w:styleId="201">
    <w:name w:val="readmail_locationtip"/>
    <w:autoRedefine/>
    <w:qFormat/>
    <w:uiPriority w:val="0"/>
  </w:style>
  <w:style w:type="character" w:customStyle="1" w:styleId="202">
    <w:name w:val="fontstyle11"/>
    <w:qFormat/>
    <w:uiPriority w:val="0"/>
    <w:rPr>
      <w:rFonts w:ascii="TimesNewRomanPSMT" w:hAnsi="TimesNewRomanPSMT" w:eastAsia="TimesNewRomanPSMT" w:cs="TimesNewRomanPSMT"/>
      <w:color w:val="000000"/>
      <w:kern w:val="0"/>
      <w:sz w:val="24"/>
      <w:szCs w:val="24"/>
      <w:lang w:eastAsia="en-US"/>
    </w:rPr>
  </w:style>
  <w:style w:type="character" w:customStyle="1" w:styleId="203">
    <w:name w:val="未处理的提及1"/>
    <w:semiHidden/>
    <w:unhideWhenUsed/>
    <w:qFormat/>
    <w:uiPriority w:val="99"/>
    <w:rPr>
      <w:color w:val="605E5C"/>
      <w:shd w:val="clear" w:color="auto" w:fill="E1DFDD"/>
    </w:rPr>
  </w:style>
  <w:style w:type="paragraph" w:customStyle="1" w:styleId="204">
    <w:name w:val="表格内容字体"/>
    <w:basedOn w:val="1"/>
    <w:link w:val="205"/>
    <w:autoRedefine/>
    <w:qFormat/>
    <w:uiPriority w:val="0"/>
    <w:pPr>
      <w:jc w:val="center"/>
    </w:pPr>
    <w:rPr>
      <w:rFonts w:eastAsiaTheme="minorEastAsia"/>
      <w:color w:val="000000"/>
    </w:rPr>
  </w:style>
  <w:style w:type="character" w:customStyle="1" w:styleId="205">
    <w:name w:val="表格内容字体 Char"/>
    <w:link w:val="204"/>
    <w:qFormat/>
    <w:uiPriority w:val="0"/>
    <w:rPr>
      <w:rFonts w:ascii="Times New Roman" w:hAnsi="Times New Roman" w:cs="宋体"/>
      <w:color w:val="000000"/>
      <w:kern w:val="0"/>
      <w:sz w:val="24"/>
      <w:szCs w:val="24"/>
    </w:rPr>
  </w:style>
  <w:style w:type="paragraph" w:customStyle="1" w:styleId="206">
    <w:name w:val="表格表头"/>
    <w:next w:val="1"/>
    <w:link w:val="207"/>
    <w:autoRedefine/>
    <w:qFormat/>
    <w:uiPriority w:val="0"/>
    <w:pPr>
      <w:spacing w:line="520" w:lineRule="exact"/>
      <w:ind w:firstLine="200" w:firstLineChars="200"/>
    </w:pPr>
    <w:rPr>
      <w:rFonts w:ascii="Times New Roman" w:hAnsi="Times New Roman" w:eastAsia="黑体" w:cs="Times New Roman"/>
      <w:kern w:val="2"/>
      <w:sz w:val="24"/>
      <w:szCs w:val="21"/>
      <w:lang w:val="en-US" w:eastAsia="zh-CN" w:bidi="ar-SA"/>
    </w:rPr>
  </w:style>
  <w:style w:type="character" w:customStyle="1" w:styleId="207">
    <w:name w:val="表格表头 Char"/>
    <w:link w:val="206"/>
    <w:autoRedefine/>
    <w:uiPriority w:val="0"/>
    <w:rPr>
      <w:rFonts w:ascii="Times New Roman" w:hAnsi="Times New Roman" w:eastAsia="黑体" w:cs="Times New Roman"/>
      <w:sz w:val="24"/>
      <w:szCs w:val="21"/>
    </w:rPr>
  </w:style>
  <w:style w:type="paragraph" w:customStyle="1" w:styleId="208">
    <w:name w:val="表头"/>
    <w:basedOn w:val="144"/>
    <w:qFormat/>
    <w:uiPriority w:val="0"/>
    <w:pPr>
      <w:jc w:val="center"/>
    </w:pPr>
    <w:rPr>
      <w:lang w:eastAsia="zh-CN"/>
    </w:rPr>
  </w:style>
  <w:style w:type="character" w:customStyle="1" w:styleId="209">
    <w:name w:val="表 字符"/>
    <w:autoRedefine/>
    <w:qFormat/>
    <w:uiPriority w:val="0"/>
    <w:rPr>
      <w:rFonts w:ascii="Times New Roman" w:hAnsi="Times New Roman" w:eastAsia="宋体" w:cs="Times New Roman"/>
      <w:color w:val="000000"/>
      <w:kern w:val="0"/>
      <w:szCs w:val="21"/>
    </w:rPr>
  </w:style>
  <w:style w:type="paragraph" w:customStyle="1" w:styleId="210">
    <w:name w:val="山焦报告正文"/>
    <w:basedOn w:val="1"/>
    <w:qFormat/>
    <w:uiPriority w:val="0"/>
    <w:pPr>
      <w:adjustRightInd w:val="0"/>
      <w:snapToGrid w:val="0"/>
      <w:spacing w:beforeLines="25" w:line="440" w:lineRule="exact"/>
      <w:ind w:firstLine="200" w:firstLineChars="200"/>
    </w:pPr>
    <w:rPr>
      <w:rFonts w:eastAsiaTheme="minorEastAsia"/>
      <w:color w:val="000000"/>
    </w:rPr>
  </w:style>
  <w:style w:type="paragraph" w:customStyle="1" w:styleId="211">
    <w:name w:val="表内容1"/>
    <w:basedOn w:val="1"/>
    <w:next w:val="1"/>
    <w:autoRedefine/>
    <w:qFormat/>
    <w:uiPriority w:val="0"/>
    <w:pPr>
      <w:jc w:val="center"/>
    </w:pPr>
    <w:rPr>
      <w:rFonts w:eastAsiaTheme="minorEastAsia"/>
    </w:rPr>
  </w:style>
  <w:style w:type="paragraph" w:customStyle="1" w:styleId="212">
    <w:name w:val="表格表题"/>
    <w:basedOn w:val="1"/>
    <w:next w:val="1"/>
    <w:autoRedefine/>
    <w:qFormat/>
    <w:uiPriority w:val="0"/>
    <w:pPr>
      <w:widowControl/>
      <w:tabs>
        <w:tab w:val="center" w:pos="4560"/>
        <w:tab w:val="right" w:pos="9120"/>
      </w:tabs>
      <w:spacing w:beforeLines="30" w:afterLines="20"/>
      <w:jc w:val="left"/>
    </w:pPr>
    <w:rPr>
      <w:rFonts w:eastAsia="黑体"/>
    </w:rPr>
  </w:style>
  <w:style w:type="paragraph" w:customStyle="1" w:styleId="213">
    <w:name w:val="表后格式"/>
    <w:basedOn w:val="1"/>
    <w:next w:val="1"/>
    <w:link w:val="214"/>
    <w:autoRedefine/>
    <w:qFormat/>
    <w:uiPriority w:val="0"/>
    <w:pPr>
      <w:widowControl/>
      <w:spacing w:beforeLines="50"/>
      <w:jc w:val="left"/>
    </w:pPr>
    <w:rPr>
      <w:rFonts w:ascii="宋体" w:hAnsi="宋体" w:eastAsiaTheme="minorEastAsia"/>
    </w:rPr>
  </w:style>
  <w:style w:type="character" w:customStyle="1" w:styleId="214">
    <w:name w:val="表后格式 字符"/>
    <w:link w:val="213"/>
    <w:autoRedefine/>
    <w:qFormat/>
    <w:uiPriority w:val="0"/>
    <w:rPr>
      <w:rFonts w:ascii="宋体" w:hAnsi="宋体" w:cs="宋体"/>
      <w:kern w:val="0"/>
      <w:sz w:val="24"/>
      <w:szCs w:val="24"/>
    </w:rPr>
  </w:style>
  <w:style w:type="paragraph" w:customStyle="1" w:styleId="215">
    <w:name w:val="样式2"/>
    <w:basedOn w:val="1"/>
    <w:qFormat/>
    <w:uiPriority w:val="0"/>
    <w:pPr>
      <w:adjustRightInd w:val="0"/>
      <w:spacing w:line="410" w:lineRule="atLeast"/>
      <w:jc w:val="left"/>
      <w:textAlignment w:val="baseline"/>
    </w:pPr>
    <w:rPr>
      <w:rFonts w:eastAsiaTheme="minorEastAsia"/>
      <w:szCs w:val="20"/>
    </w:rPr>
  </w:style>
  <w:style w:type="paragraph" w:customStyle="1" w:styleId="216">
    <w:name w:val="修订1"/>
    <w:autoRedefine/>
    <w:hidden/>
    <w:semiHidden/>
    <w:qFormat/>
    <w:uiPriority w:val="99"/>
    <w:rPr>
      <w:rFonts w:ascii="等线" w:hAnsi="等线" w:eastAsia="等线" w:cs="Times New Roman"/>
      <w:kern w:val="2"/>
      <w:sz w:val="21"/>
      <w:szCs w:val="21"/>
      <w:lang w:val="en-US" w:eastAsia="zh-CN" w:bidi="ar-SA"/>
    </w:rPr>
  </w:style>
  <w:style w:type="paragraph" w:customStyle="1" w:styleId="217">
    <w:name w:val="表 头"/>
    <w:basedOn w:val="1"/>
    <w:qFormat/>
    <w:uiPriority w:val="0"/>
    <w:pPr>
      <w:adjustRightInd w:val="0"/>
      <w:spacing w:line="360" w:lineRule="auto"/>
      <w:jc w:val="center"/>
    </w:pPr>
    <w:rPr>
      <w:rFonts w:eastAsia="黑体"/>
    </w:rPr>
  </w:style>
  <w:style w:type="character" w:customStyle="1" w:styleId="218">
    <w:name w:val="表格内的字体 Char"/>
    <w:link w:val="219"/>
    <w:qFormat/>
    <w:uiPriority w:val="0"/>
  </w:style>
  <w:style w:type="paragraph" w:customStyle="1" w:styleId="219">
    <w:name w:val="表格内的字体"/>
    <w:basedOn w:val="1"/>
    <w:link w:val="218"/>
    <w:autoRedefine/>
    <w:qFormat/>
    <w:uiPriority w:val="0"/>
    <w:pPr>
      <w:widowControl/>
      <w:jc w:val="center"/>
    </w:pPr>
    <w:rPr>
      <w:rFonts w:asciiTheme="minorHAnsi" w:hAnsiTheme="minorHAnsi" w:eastAsiaTheme="minorEastAsia" w:cstheme="minorBidi"/>
      <w:kern w:val="2"/>
      <w:sz w:val="21"/>
      <w:szCs w:val="22"/>
    </w:rPr>
  </w:style>
  <w:style w:type="character" w:customStyle="1" w:styleId="220">
    <w:name w:val="font11"/>
    <w:autoRedefine/>
    <w:qFormat/>
    <w:uiPriority w:val="0"/>
    <w:rPr>
      <w:rFonts w:hint="default" w:ascii="Arial Unicode MS" w:hAnsi="Arial Unicode MS" w:eastAsia="Arial Unicode MS" w:cs="Arial Unicode MS"/>
      <w:color w:val="000000"/>
      <w:sz w:val="20"/>
      <w:szCs w:val="20"/>
      <w:u w:val="none"/>
    </w:rPr>
  </w:style>
  <w:style w:type="character" w:customStyle="1" w:styleId="221">
    <w:name w:val="页脚 字符1"/>
    <w:basedOn w:val="46"/>
    <w:autoRedefine/>
    <w:qFormat/>
    <w:uiPriority w:val="99"/>
    <w:rPr>
      <w:kern w:val="2"/>
      <w:sz w:val="18"/>
      <w:szCs w:val="18"/>
    </w:rPr>
  </w:style>
  <w:style w:type="character" w:customStyle="1" w:styleId="222">
    <w:name w:val="页眉 字符1"/>
    <w:basedOn w:val="46"/>
    <w:semiHidden/>
    <w:qFormat/>
    <w:uiPriority w:val="99"/>
    <w:rPr>
      <w:kern w:val="2"/>
      <w:sz w:val="18"/>
      <w:szCs w:val="18"/>
    </w:rPr>
  </w:style>
  <w:style w:type="paragraph" w:customStyle="1" w:styleId="223">
    <w:name w:val="Char3"/>
    <w:basedOn w:val="1"/>
    <w:autoRedefine/>
    <w:qFormat/>
    <w:uiPriority w:val="0"/>
    <w:pPr>
      <w:widowControl/>
      <w:spacing w:after="160" w:line="240" w:lineRule="exact"/>
      <w:jc w:val="left"/>
    </w:pPr>
    <w:rPr>
      <w:rFonts w:ascii="Verdana" w:hAnsi="Verdana" w:eastAsiaTheme="minorEastAsia"/>
      <w:sz w:val="20"/>
      <w:szCs w:val="20"/>
      <w:lang w:eastAsia="en-US"/>
    </w:rPr>
  </w:style>
  <w:style w:type="paragraph" w:customStyle="1" w:styleId="224">
    <w:name w:val="表格内容"/>
    <w:basedOn w:val="1"/>
    <w:autoRedefine/>
    <w:qFormat/>
    <w:uiPriority w:val="0"/>
    <w:pPr>
      <w:adjustRightInd w:val="0"/>
      <w:jc w:val="center"/>
      <w:textAlignment w:val="baseline"/>
    </w:pPr>
    <w:rPr>
      <w:rFonts w:eastAsiaTheme="minorEastAsia"/>
    </w:rPr>
  </w:style>
  <w:style w:type="paragraph" w:customStyle="1" w:styleId="225">
    <w:name w:val="列出段落1"/>
    <w:basedOn w:val="1"/>
    <w:autoRedefine/>
    <w:qFormat/>
    <w:uiPriority w:val="99"/>
    <w:pPr>
      <w:ind w:firstLine="420" w:firstLineChars="200"/>
    </w:pPr>
    <w:rPr>
      <w:rFonts w:eastAsiaTheme="minorEastAsia"/>
    </w:rPr>
  </w:style>
  <w:style w:type="paragraph" w:customStyle="1" w:styleId="226">
    <w:name w:val="样式 正文文本 + 左侧:  2 字符 首行缩进:  2 字符"/>
    <w:basedOn w:val="20"/>
    <w:qFormat/>
    <w:uiPriority w:val="0"/>
    <w:pPr>
      <w:ind w:left="480" w:firstLine="480"/>
      <w:jc w:val="left"/>
    </w:pPr>
    <w:rPr>
      <w:rFonts w:eastAsiaTheme="minorEastAsia"/>
    </w:rPr>
  </w:style>
  <w:style w:type="paragraph" w:customStyle="1" w:styleId="227">
    <w:name w:val="_Style 57"/>
    <w:basedOn w:val="1"/>
    <w:next w:val="35"/>
    <w:qFormat/>
    <w:uiPriority w:val="99"/>
    <w:pPr>
      <w:ind w:firstLine="420" w:firstLineChars="100"/>
    </w:pPr>
    <w:rPr>
      <w:rFonts w:eastAsiaTheme="minorEastAsia"/>
    </w:rPr>
  </w:style>
  <w:style w:type="paragraph" w:customStyle="1" w:styleId="228">
    <w:name w:val="列出段落2"/>
    <w:basedOn w:val="1"/>
    <w:unhideWhenUsed/>
    <w:qFormat/>
    <w:uiPriority w:val="99"/>
    <w:pPr>
      <w:ind w:firstLine="420" w:firstLineChars="200"/>
    </w:pPr>
    <w:rPr>
      <w:rFonts w:eastAsiaTheme="minorEastAsia"/>
    </w:rPr>
  </w:style>
  <w:style w:type="paragraph" w:customStyle="1" w:styleId="229">
    <w:name w:val="_Style 2"/>
    <w:basedOn w:val="1"/>
    <w:autoRedefine/>
    <w:qFormat/>
    <w:uiPriority w:val="99"/>
    <w:pPr>
      <w:ind w:firstLine="420" w:firstLineChars="200"/>
    </w:pPr>
    <w:rPr>
      <w:rFonts w:eastAsiaTheme="minorEastAsia"/>
    </w:rPr>
  </w:style>
  <w:style w:type="paragraph" w:customStyle="1" w:styleId="230">
    <w:name w:val="正文001"/>
    <w:basedOn w:val="1"/>
    <w:autoRedefine/>
    <w:qFormat/>
    <w:uiPriority w:val="0"/>
    <w:pPr>
      <w:spacing w:before="60" w:line="460" w:lineRule="exact"/>
      <w:ind w:firstLine="482"/>
    </w:pPr>
    <w:rPr>
      <w:rFonts w:ascii="Arial" w:hAnsi="Arial" w:eastAsiaTheme="minorEastAsia"/>
    </w:rPr>
  </w:style>
  <w:style w:type="paragraph" w:customStyle="1" w:styleId="231">
    <w:name w:val="Char Char Char Char Char Char Char"/>
    <w:basedOn w:val="1"/>
    <w:autoRedefine/>
    <w:qFormat/>
    <w:uiPriority w:val="0"/>
    <w:rPr>
      <w:rFonts w:eastAsiaTheme="minorEastAsia"/>
    </w:rPr>
  </w:style>
  <w:style w:type="paragraph" w:customStyle="1" w:styleId="232">
    <w:name w:val="A正文1"/>
    <w:basedOn w:val="141"/>
    <w:autoRedefine/>
    <w:qFormat/>
    <w:uiPriority w:val="0"/>
    <w:pPr>
      <w:spacing w:line="360" w:lineRule="auto"/>
      <w:ind w:firstLine="200" w:firstLineChars="200"/>
      <w:jc w:val="left"/>
    </w:pPr>
  </w:style>
  <w:style w:type="paragraph" w:customStyle="1" w:styleId="233">
    <w:name w:val="A表题2"/>
    <w:basedOn w:val="4"/>
    <w:next w:val="78"/>
    <w:link w:val="234"/>
    <w:qFormat/>
    <w:uiPriority w:val="0"/>
    <w:pPr>
      <w:spacing w:line="360" w:lineRule="auto"/>
      <w:ind w:firstLine="200" w:firstLineChars="200"/>
      <w:outlineLvl w:val="1"/>
    </w:pPr>
    <w:rPr>
      <w:sz w:val="24"/>
    </w:rPr>
  </w:style>
  <w:style w:type="character" w:customStyle="1" w:styleId="234">
    <w:name w:val="A表题2 字符"/>
    <w:basedOn w:val="80"/>
    <w:link w:val="233"/>
    <w:autoRedefine/>
    <w:uiPriority w:val="0"/>
    <w:rPr>
      <w:rFonts w:ascii="Times New Roman" w:hAnsi="Times New Roman" w:eastAsia="宋体" w:cs="宋体"/>
      <w:kern w:val="0"/>
      <w:sz w:val="24"/>
      <w:szCs w:val="24"/>
    </w:rPr>
  </w:style>
  <w:style w:type="table" w:customStyle="1" w:styleId="235">
    <w:name w:val="网格表 1 浅色 - 着色 21"/>
    <w:basedOn w:val="43"/>
    <w:autoRedefine/>
    <w:uiPriority w:val="46"/>
    <w:rPr>
      <w:rFonts w:ascii="Times New Roman" w:hAnsi="Times New Roman" w:eastAsia="宋体" w:cs="宋体"/>
      <w:kern w:val="0"/>
      <w:sz w:val="24"/>
      <w:szCs w:val="24"/>
    </w:r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236">
    <w:name w:val="无格式表格 11"/>
    <w:basedOn w:val="43"/>
    <w:autoRedefine/>
    <w:uiPriority w:val="41"/>
    <w:rPr>
      <w:rFonts w:ascii="Times New Roman" w:hAnsi="Times New Roman" w:eastAsia="宋体" w:cs="宋体"/>
      <w:kern w:val="0"/>
      <w:sz w:val="24"/>
      <w:szCs w:val="24"/>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37">
    <w:name w:val="样式5"/>
    <w:basedOn w:val="146"/>
    <w:autoRedefine/>
    <w:qFormat/>
    <w:uiPriority w:val="99"/>
    <w:pPr>
      <w:suppressAutoHyphens/>
      <w:snapToGrid/>
      <w:spacing w:beforeLines="20" w:afterLines="20" w:line="480" w:lineRule="exact"/>
      <w:ind w:firstLine="523" w:firstLineChars="218"/>
      <w:jc w:val="both"/>
    </w:pPr>
    <w:rPr>
      <w:rFonts w:eastAsia="方正楷体简体" w:cs="Times New Roman"/>
      <w:i/>
      <w:iCs/>
      <w:spacing w:val="18"/>
      <w:kern w:val="0"/>
    </w:rPr>
  </w:style>
  <w:style w:type="character" w:customStyle="1" w:styleId="238">
    <w:name w:val="样式A Char"/>
    <w:link w:val="239"/>
    <w:qFormat/>
    <w:uiPriority w:val="0"/>
    <w:rPr>
      <w:rFonts w:eastAsia="幼圆"/>
      <w:sz w:val="26"/>
      <w:szCs w:val="26"/>
    </w:rPr>
  </w:style>
  <w:style w:type="paragraph" w:customStyle="1" w:styleId="239">
    <w:name w:val="样式A"/>
    <w:basedOn w:val="1"/>
    <w:link w:val="238"/>
    <w:autoRedefine/>
    <w:qFormat/>
    <w:uiPriority w:val="0"/>
    <w:pPr>
      <w:topLinePunct/>
      <w:adjustRightInd w:val="0"/>
      <w:spacing w:line="530" w:lineRule="exact"/>
      <w:ind w:firstLine="520" w:firstLineChars="200"/>
      <w:jc w:val="left"/>
      <w:textAlignment w:val="baseline"/>
    </w:pPr>
    <w:rPr>
      <w:rFonts w:eastAsia="幼圆" w:asciiTheme="minorHAnsi" w:hAnsiTheme="minorHAnsi" w:cstheme="minorBidi"/>
      <w:kern w:val="2"/>
      <w:sz w:val="26"/>
      <w:szCs w:val="26"/>
    </w:rPr>
  </w:style>
  <w:style w:type="character" w:customStyle="1" w:styleId="240">
    <w:name w:val="cword09"/>
    <w:basedOn w:val="46"/>
    <w:autoRedefine/>
    <w:uiPriority w:val="0"/>
  </w:style>
  <w:style w:type="character" w:customStyle="1" w:styleId="241">
    <w:name w:val="HTML 预设格式 字符"/>
    <w:link w:val="40"/>
    <w:autoRedefine/>
    <w:qFormat/>
    <w:uiPriority w:val="0"/>
    <w:rPr>
      <w:rFonts w:ascii="黑体" w:hAnsi="Courier New" w:eastAsia="黑体"/>
    </w:rPr>
  </w:style>
  <w:style w:type="character" w:customStyle="1" w:styleId="242">
    <w:name w:val="font51"/>
    <w:qFormat/>
    <w:uiPriority w:val="0"/>
    <w:rPr>
      <w:rFonts w:hint="default" w:ascii="Times New Roman" w:hAnsi="Times New Roman" w:cs="Times New Roman"/>
      <w:color w:val="000000"/>
      <w:sz w:val="21"/>
      <w:szCs w:val="21"/>
      <w:u w:val="none"/>
    </w:rPr>
  </w:style>
  <w:style w:type="character" w:customStyle="1" w:styleId="243">
    <w:name w:val="标题1"/>
    <w:qFormat/>
    <w:uiPriority w:val="0"/>
    <w:rPr>
      <w:rFonts w:ascii="Times New Roman" w:hAnsi="Times New Roman" w:eastAsia="宋体"/>
      <w:b/>
      <w:bCs/>
      <w:sz w:val="36"/>
    </w:rPr>
  </w:style>
  <w:style w:type="character" w:customStyle="1" w:styleId="244">
    <w:name w:val="Char Char2"/>
    <w:link w:val="245"/>
    <w:autoRedefine/>
    <w:qFormat/>
    <w:uiPriority w:val="0"/>
    <w:rPr>
      <w:szCs w:val="21"/>
    </w:rPr>
  </w:style>
  <w:style w:type="paragraph" w:customStyle="1" w:styleId="245">
    <w:name w:val="Char4"/>
    <w:basedOn w:val="1"/>
    <w:link w:val="244"/>
    <w:autoRedefine/>
    <w:qFormat/>
    <w:uiPriority w:val="0"/>
    <w:pPr>
      <w:tabs>
        <w:tab w:val="left" w:pos="0"/>
      </w:tabs>
    </w:pPr>
    <w:rPr>
      <w:rFonts w:asciiTheme="minorHAnsi" w:hAnsiTheme="minorHAnsi" w:eastAsiaTheme="minorEastAsia" w:cstheme="minorBidi"/>
      <w:kern w:val="2"/>
      <w:sz w:val="21"/>
      <w:szCs w:val="21"/>
    </w:rPr>
  </w:style>
  <w:style w:type="character" w:customStyle="1" w:styleId="246">
    <w:name w:val="style21"/>
    <w:autoRedefine/>
    <w:qFormat/>
    <w:uiPriority w:val="0"/>
    <w:rPr>
      <w:color w:val="000000"/>
      <w:sz w:val="18"/>
      <w:szCs w:val="18"/>
    </w:rPr>
  </w:style>
  <w:style w:type="character" w:customStyle="1" w:styleId="247">
    <w:name w:val="称呼 字符"/>
    <w:link w:val="18"/>
    <w:autoRedefine/>
    <w:uiPriority w:val="0"/>
    <w:rPr>
      <w:rFonts w:ascii="宋体"/>
      <w:b/>
      <w:sz w:val="28"/>
    </w:rPr>
  </w:style>
  <w:style w:type="character" w:customStyle="1" w:styleId="248">
    <w:name w:val="正文文本缩进 Char"/>
    <w:qFormat/>
    <w:uiPriority w:val="0"/>
    <w:rPr>
      <w:kern w:val="2"/>
      <w:sz w:val="24"/>
    </w:rPr>
  </w:style>
  <w:style w:type="character" w:customStyle="1" w:styleId="249">
    <w:name w:val="mud1"/>
    <w:qFormat/>
    <w:uiPriority w:val="0"/>
    <w:rPr>
      <w:sz w:val="18"/>
      <w:szCs w:val="18"/>
    </w:rPr>
  </w:style>
  <w:style w:type="character" w:customStyle="1" w:styleId="250">
    <w:name w:val="style51"/>
    <w:autoRedefine/>
    <w:uiPriority w:val="0"/>
    <w:rPr>
      <w:spacing w:val="360"/>
      <w:sz w:val="22"/>
      <w:szCs w:val="22"/>
    </w:rPr>
  </w:style>
  <w:style w:type="character" w:customStyle="1" w:styleId="251">
    <w:name w:val="正文文本 Char"/>
    <w:autoRedefine/>
    <w:uiPriority w:val="0"/>
    <w:rPr>
      <w:spacing w:val="-20"/>
      <w:kern w:val="2"/>
      <w:sz w:val="21"/>
    </w:rPr>
  </w:style>
  <w:style w:type="character" w:customStyle="1" w:styleId="252">
    <w:name w:val="unnamed2"/>
    <w:basedOn w:val="46"/>
    <w:autoRedefine/>
    <w:uiPriority w:val="0"/>
  </w:style>
  <w:style w:type="character" w:customStyle="1" w:styleId="253">
    <w:name w:val="纯文本 Char"/>
    <w:autoRedefine/>
    <w:qFormat/>
    <w:uiPriority w:val="0"/>
    <w:rPr>
      <w:rFonts w:ascii="宋体" w:hAnsi="Courier New" w:cs="Courier New"/>
      <w:kern w:val="2"/>
      <w:sz w:val="21"/>
      <w:szCs w:val="21"/>
    </w:rPr>
  </w:style>
  <w:style w:type="character" w:customStyle="1" w:styleId="254">
    <w:name w:val="称呼 字符1"/>
    <w:basedOn w:val="46"/>
    <w:autoRedefine/>
    <w:semiHidden/>
    <w:uiPriority w:val="99"/>
    <w:rPr>
      <w:rFonts w:ascii="Times New Roman" w:hAnsi="Times New Roman" w:eastAsia="宋体" w:cs="宋体"/>
      <w:kern w:val="0"/>
      <w:sz w:val="24"/>
      <w:szCs w:val="24"/>
    </w:rPr>
  </w:style>
  <w:style w:type="paragraph" w:customStyle="1" w:styleId="255">
    <w:name w:val="五级条标题"/>
    <w:basedOn w:val="256"/>
    <w:next w:val="1"/>
    <w:qFormat/>
    <w:uiPriority w:val="0"/>
    <w:pPr>
      <w:numPr>
        <w:ilvl w:val="6"/>
      </w:numPr>
      <w:tabs>
        <w:tab w:val="left" w:pos="1320"/>
      </w:tabs>
      <w:outlineLvl w:val="6"/>
    </w:pPr>
  </w:style>
  <w:style w:type="paragraph" w:customStyle="1" w:styleId="256">
    <w:name w:val="四级条标题"/>
    <w:basedOn w:val="257"/>
    <w:next w:val="1"/>
    <w:autoRedefine/>
    <w:qFormat/>
    <w:uiPriority w:val="0"/>
    <w:pPr>
      <w:numPr>
        <w:ilvl w:val="5"/>
      </w:numPr>
      <w:tabs>
        <w:tab w:val="left" w:pos="1320"/>
      </w:tabs>
      <w:outlineLvl w:val="5"/>
    </w:pPr>
  </w:style>
  <w:style w:type="paragraph" w:customStyle="1" w:styleId="257">
    <w:name w:val="三级条标题"/>
    <w:basedOn w:val="258"/>
    <w:next w:val="1"/>
    <w:autoRedefine/>
    <w:uiPriority w:val="0"/>
    <w:pPr>
      <w:numPr>
        <w:ilvl w:val="4"/>
      </w:numPr>
      <w:tabs>
        <w:tab w:val="left" w:pos="1320"/>
      </w:tabs>
      <w:outlineLvl w:val="4"/>
    </w:pPr>
  </w:style>
  <w:style w:type="paragraph" w:customStyle="1" w:styleId="258">
    <w:name w:val="二级条标题"/>
    <w:basedOn w:val="259"/>
    <w:next w:val="1"/>
    <w:autoRedefine/>
    <w:uiPriority w:val="0"/>
    <w:pPr>
      <w:numPr>
        <w:ilvl w:val="3"/>
      </w:numPr>
      <w:tabs>
        <w:tab w:val="left" w:pos="1320"/>
      </w:tabs>
      <w:outlineLvl w:val="3"/>
    </w:pPr>
  </w:style>
  <w:style w:type="paragraph" w:customStyle="1" w:styleId="259">
    <w:name w:val="一级条标题"/>
    <w:basedOn w:val="260"/>
    <w:next w:val="1"/>
    <w:qFormat/>
    <w:uiPriority w:val="0"/>
    <w:pPr>
      <w:numPr>
        <w:ilvl w:val="2"/>
      </w:numPr>
      <w:tabs>
        <w:tab w:val="left" w:pos="1320"/>
      </w:tabs>
      <w:spacing w:beforeLines="0" w:afterLines="0"/>
      <w:outlineLvl w:val="2"/>
    </w:pPr>
  </w:style>
  <w:style w:type="paragraph" w:customStyle="1" w:styleId="260">
    <w:name w:val="章标题"/>
    <w:next w:val="1"/>
    <w:autoRedefine/>
    <w:qFormat/>
    <w:uiPriority w:val="0"/>
    <w:pPr>
      <w:numPr>
        <w:ilvl w:val="1"/>
        <w:numId w:val="2"/>
      </w:numPr>
      <w:spacing w:beforeLines="50" w:afterLines="50"/>
      <w:ind w:left="0"/>
      <w:jc w:val="both"/>
      <w:outlineLvl w:val="1"/>
    </w:pPr>
    <w:rPr>
      <w:rFonts w:ascii="黑体" w:hAnsi="Times New Roman" w:eastAsia="黑体" w:cs="Times New Roman"/>
      <w:kern w:val="0"/>
      <w:sz w:val="21"/>
      <w:szCs w:val="24"/>
      <w:lang w:val="en-US" w:eastAsia="zh-CN" w:bidi="ar-SA"/>
    </w:rPr>
  </w:style>
  <w:style w:type="character" w:customStyle="1" w:styleId="261">
    <w:name w:val="HTML 预设格式 字符1"/>
    <w:basedOn w:val="46"/>
    <w:semiHidden/>
    <w:qFormat/>
    <w:uiPriority w:val="99"/>
    <w:rPr>
      <w:rFonts w:ascii="Courier New" w:hAnsi="Courier New" w:eastAsia="宋体" w:cs="Courier New"/>
      <w:kern w:val="0"/>
      <w:sz w:val="20"/>
      <w:szCs w:val="20"/>
    </w:rPr>
  </w:style>
  <w:style w:type="paragraph" w:customStyle="1" w:styleId="262">
    <w:name w:val="Char Char Char Char Char Char Char1"/>
    <w:basedOn w:val="1"/>
    <w:autoRedefine/>
    <w:uiPriority w:val="0"/>
    <w:rPr>
      <w:rFonts w:cs="Times New Roman"/>
    </w:rPr>
  </w:style>
  <w:style w:type="paragraph" w:customStyle="1" w:styleId="263">
    <w:name w:val="样式 cucd-2 + (中文) 宋体"/>
    <w:basedOn w:val="1"/>
    <w:autoRedefine/>
    <w:uiPriority w:val="0"/>
    <w:pPr>
      <w:widowControl/>
      <w:numPr>
        <w:ilvl w:val="1"/>
        <w:numId w:val="3"/>
      </w:numPr>
      <w:adjustRightInd w:val="0"/>
      <w:snapToGrid w:val="0"/>
      <w:spacing w:line="360" w:lineRule="auto"/>
      <w:jc w:val="left"/>
      <w:outlineLvl w:val="1"/>
    </w:pPr>
    <w:rPr>
      <w:rFonts w:cs="Times New Roman"/>
      <w:b/>
    </w:rPr>
  </w:style>
  <w:style w:type="paragraph" w:customStyle="1" w:styleId="264">
    <w:name w:val="表题"/>
    <w:basedOn w:val="1"/>
    <w:autoRedefine/>
    <w:qFormat/>
    <w:uiPriority w:val="0"/>
    <w:pPr>
      <w:autoSpaceDE w:val="0"/>
      <w:autoSpaceDN w:val="0"/>
      <w:adjustRightInd w:val="0"/>
      <w:spacing w:line="480" w:lineRule="atLeast"/>
      <w:jc w:val="center"/>
      <w:textAlignment w:val="baseline"/>
    </w:pPr>
    <w:rPr>
      <w:rFonts w:ascii="黑体" w:eastAsia="黑体" w:cs="Times New Roman"/>
      <w:kern w:val="16"/>
      <w:szCs w:val="20"/>
    </w:rPr>
  </w:style>
  <w:style w:type="paragraph" w:customStyle="1" w:styleId="265">
    <w:name w:val="Char Char Char Char Char Char Char Char Char Char"/>
    <w:basedOn w:val="1"/>
    <w:autoRedefine/>
    <w:semiHidden/>
    <w:qFormat/>
    <w:uiPriority w:val="0"/>
    <w:pPr>
      <w:tabs>
        <w:tab w:val="left" w:pos="432"/>
        <w:tab w:val="left" w:pos="2040"/>
      </w:tabs>
      <w:snapToGrid w:val="0"/>
      <w:spacing w:line="360" w:lineRule="auto"/>
      <w:ind w:left="2040" w:hanging="360"/>
    </w:pPr>
    <w:rPr>
      <w:rFonts w:eastAsia="仿宋_GB2312"/>
    </w:rPr>
  </w:style>
  <w:style w:type="paragraph" w:customStyle="1" w:styleId="266">
    <w:name w:val="常用段落格式"/>
    <w:basedOn w:val="1"/>
    <w:autoRedefine/>
    <w:qFormat/>
    <w:uiPriority w:val="0"/>
    <w:pPr>
      <w:spacing w:line="360" w:lineRule="auto"/>
      <w:ind w:firstLine="480" w:firstLineChars="200"/>
    </w:pPr>
    <w:rPr>
      <w:szCs w:val="20"/>
    </w:rPr>
  </w:style>
  <w:style w:type="paragraph" w:customStyle="1" w:styleId="267">
    <w:name w:val="样式 样式 正文 行距: 固定值 25 磅 + 首行缩进:  2 字符"/>
    <w:basedOn w:val="1"/>
    <w:autoRedefine/>
    <w:uiPriority w:val="0"/>
    <w:pPr>
      <w:adjustRightInd w:val="0"/>
      <w:snapToGrid w:val="0"/>
      <w:spacing w:line="500" w:lineRule="exact"/>
      <w:ind w:firstLine="200" w:firstLineChars="200"/>
    </w:pPr>
    <w:rPr>
      <w:szCs w:val="20"/>
    </w:rPr>
  </w:style>
  <w:style w:type="paragraph" w:customStyle="1" w:styleId="268">
    <w:name w:val="正文3"/>
    <w:basedOn w:val="1"/>
    <w:qFormat/>
    <w:uiPriority w:val="0"/>
    <w:pPr>
      <w:adjustRightInd w:val="0"/>
      <w:spacing w:line="312" w:lineRule="atLeast"/>
      <w:textAlignment w:val="baseline"/>
    </w:pPr>
    <w:rPr>
      <w:rFonts w:cs="Times New Roman"/>
      <w:szCs w:val="20"/>
    </w:rPr>
  </w:style>
  <w:style w:type="paragraph" w:customStyle="1" w:styleId="269">
    <w:name w:val="文本"/>
    <w:autoRedefine/>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70">
    <w:name w:val="小节标题"/>
    <w:basedOn w:val="1"/>
    <w:qFormat/>
    <w:uiPriority w:val="0"/>
    <w:pPr>
      <w:widowControl/>
      <w:spacing w:before="175" w:after="102" w:line="351" w:lineRule="atLeast"/>
      <w:textAlignment w:val="baseline"/>
    </w:pPr>
    <w:rPr>
      <w:rFonts w:eastAsia="黑体" w:cs="Times New Roman"/>
      <w:color w:val="000000"/>
      <w:szCs w:val="20"/>
      <w:u w:color="000000"/>
    </w:rPr>
  </w:style>
  <w:style w:type="paragraph" w:customStyle="1" w:styleId="271">
    <w:name w:val="Char Char1 Char Char Char Char Char Char Char Char Char Char Char Char Char Char Char Char Char Char Char Char1 Char"/>
    <w:basedOn w:val="1"/>
    <w:qFormat/>
    <w:uiPriority w:val="0"/>
    <w:pPr>
      <w:spacing w:line="360" w:lineRule="auto"/>
      <w:ind w:firstLine="200" w:firstLineChars="200"/>
    </w:pPr>
    <w:rPr>
      <w:rFonts w:cs="Times New Roman"/>
    </w:rPr>
  </w:style>
  <w:style w:type="paragraph" w:customStyle="1" w:styleId="272">
    <w:name w:val="Char Char Char Char Char Char Char Char Char Char Char Char Char"/>
    <w:basedOn w:val="1"/>
    <w:autoRedefine/>
    <w:qFormat/>
    <w:uiPriority w:val="0"/>
    <w:rPr>
      <w:rFonts w:cs="Times New Roman"/>
    </w:rPr>
  </w:style>
  <w:style w:type="paragraph" w:customStyle="1" w:styleId="273">
    <w:name w:val="默认段落字体 Para Char"/>
    <w:basedOn w:val="1"/>
    <w:qFormat/>
    <w:uiPriority w:val="0"/>
    <w:pPr>
      <w:spacing w:line="360" w:lineRule="auto"/>
      <w:ind w:firstLine="200" w:firstLineChars="200"/>
    </w:pPr>
    <w:rPr>
      <w:rFonts w:ascii="宋体" w:hAnsi="宋体"/>
    </w:rPr>
  </w:style>
  <w:style w:type="paragraph" w:customStyle="1" w:styleId="274">
    <w:name w:val="表格文字"/>
    <w:basedOn w:val="13"/>
    <w:next w:val="1"/>
    <w:autoRedefine/>
    <w:uiPriority w:val="0"/>
    <w:pPr>
      <w:spacing w:before="30" w:beforeLines="30" w:after="30" w:afterLines="30"/>
      <w:ind w:firstLine="0" w:firstLineChars="0"/>
      <w:jc w:val="center"/>
    </w:pPr>
    <w:rPr>
      <w:rFonts w:eastAsia="宋体" w:cs="Times New Roman"/>
      <w:szCs w:val="20"/>
    </w:rPr>
  </w:style>
  <w:style w:type="paragraph" w:customStyle="1" w:styleId="275">
    <w:name w:val="流程文字"/>
    <w:basedOn w:val="1"/>
    <w:qFormat/>
    <w:uiPriority w:val="0"/>
    <w:pPr>
      <w:tabs>
        <w:tab w:val="left" w:pos="6480"/>
      </w:tabs>
      <w:topLinePunct/>
      <w:adjustRightInd w:val="0"/>
      <w:snapToGrid w:val="0"/>
      <w:jc w:val="center"/>
    </w:pPr>
    <w:rPr>
      <w:rFonts w:eastAsia="仿宋_GB2312" w:cs="Times New Roman"/>
      <w:szCs w:val="20"/>
    </w:rPr>
  </w:style>
  <w:style w:type="paragraph" w:customStyle="1" w:styleId="276">
    <w:name w:val="表样式1"/>
    <w:basedOn w:val="1"/>
    <w:autoRedefine/>
    <w:qFormat/>
    <w:uiPriority w:val="0"/>
    <w:pPr>
      <w:spacing w:line="340" w:lineRule="exact"/>
      <w:ind w:left="-462" w:leftChars="-220" w:right="-275" w:rightChars="-131" w:firstLine="102"/>
      <w:jc w:val="center"/>
    </w:pPr>
    <w:rPr>
      <w:rFonts w:cs="Times New Roman"/>
      <w:kern w:val="28"/>
      <w:szCs w:val="20"/>
    </w:rPr>
  </w:style>
  <w:style w:type="paragraph" w:customStyle="1" w:styleId="277">
    <w:name w:val="前言、引言标题"/>
    <w:next w:val="1"/>
    <w:autoRedefine/>
    <w:qFormat/>
    <w:uiPriority w:val="0"/>
    <w:pPr>
      <w:numPr>
        <w:ilvl w:val="0"/>
        <w:numId w:val="2"/>
      </w:numPr>
      <w:shd w:val="clear" w:color="auto" w:fill="FFFFFF"/>
      <w:spacing w:before="640" w:after="560"/>
      <w:jc w:val="center"/>
      <w:outlineLvl w:val="0"/>
    </w:pPr>
    <w:rPr>
      <w:rFonts w:ascii="黑体" w:hAnsi="Times New Roman" w:eastAsia="黑体" w:cs="Times New Roman"/>
      <w:kern w:val="0"/>
      <w:sz w:val="32"/>
      <w:szCs w:val="24"/>
      <w:lang w:val="en-US" w:eastAsia="zh-CN" w:bidi="ar-SA"/>
    </w:rPr>
  </w:style>
  <w:style w:type="paragraph" w:customStyle="1" w:styleId="278">
    <w:name w:val="简单回函地址"/>
    <w:basedOn w:val="1"/>
    <w:autoRedefine/>
    <w:qFormat/>
    <w:uiPriority w:val="0"/>
    <w:rPr>
      <w:rFonts w:cs="Times New Roman"/>
      <w:szCs w:val="20"/>
    </w:rPr>
  </w:style>
  <w:style w:type="paragraph" w:customStyle="1" w:styleId="279">
    <w:name w:val="表头样式1"/>
    <w:basedOn w:val="1"/>
    <w:autoRedefine/>
    <w:uiPriority w:val="0"/>
    <w:pPr>
      <w:autoSpaceDE w:val="0"/>
      <w:autoSpaceDN w:val="0"/>
      <w:adjustRightInd w:val="0"/>
      <w:spacing w:line="480" w:lineRule="auto"/>
      <w:jc w:val="center"/>
    </w:pPr>
    <w:rPr>
      <w:rFonts w:ascii="黑体" w:eastAsia="黑体" w:cs="Times New Roman"/>
      <w:color w:val="000000"/>
    </w:rPr>
  </w:style>
  <w:style w:type="paragraph" w:customStyle="1" w:styleId="280">
    <w:name w:val="表格正文"/>
    <w:basedOn w:val="1"/>
    <w:autoRedefine/>
    <w:qFormat/>
    <w:uiPriority w:val="0"/>
    <w:pPr>
      <w:keepNext/>
      <w:adjustRightInd w:val="0"/>
      <w:jc w:val="center"/>
      <w:textAlignment w:val="baseline"/>
    </w:pPr>
    <w:rPr>
      <w:rFonts w:cs="Times New Roman"/>
      <w:kern w:val="28"/>
    </w:rPr>
  </w:style>
  <w:style w:type="paragraph" w:customStyle="1" w:styleId="281">
    <w:name w:val="Char Char3"/>
    <w:basedOn w:val="1"/>
    <w:semiHidden/>
    <w:qFormat/>
    <w:uiPriority w:val="0"/>
    <w:pPr>
      <w:tabs>
        <w:tab w:val="left" w:pos="0"/>
      </w:tabs>
    </w:pPr>
    <w:rPr>
      <w:rFonts w:cs="Times New Roman"/>
    </w:rPr>
  </w:style>
  <w:style w:type="paragraph" w:customStyle="1" w:styleId="282">
    <w:name w:val="Char Char Char Char Char Char1 Char Char Char Char Char Char Char"/>
    <w:basedOn w:val="1"/>
    <w:qFormat/>
    <w:uiPriority w:val="0"/>
    <w:rPr>
      <w:rFonts w:cs="Times New Roman"/>
    </w:rPr>
  </w:style>
  <w:style w:type="paragraph" w:customStyle="1" w:styleId="283">
    <w:name w:val="Char Char Char Char"/>
    <w:basedOn w:val="1"/>
    <w:qFormat/>
    <w:uiPriority w:val="0"/>
    <w:rPr>
      <w:rFonts w:cs="Times New Roman"/>
    </w:rPr>
  </w:style>
  <w:style w:type="paragraph" w:customStyle="1" w:styleId="284">
    <w:name w:val="标题4"/>
    <w:basedOn w:val="1"/>
    <w:qFormat/>
    <w:uiPriority w:val="0"/>
    <w:rPr>
      <w:rFonts w:cs="Times New Roman"/>
      <w:b/>
      <w:szCs w:val="20"/>
    </w:rPr>
  </w:style>
  <w:style w:type="paragraph" w:customStyle="1" w:styleId="285">
    <w:name w:val="Char Char1"/>
    <w:basedOn w:val="1"/>
    <w:autoRedefine/>
    <w:uiPriority w:val="0"/>
    <w:rPr>
      <w:rFonts w:cs="Times New Roman"/>
    </w:rPr>
  </w:style>
  <w:style w:type="paragraph" w:customStyle="1" w:styleId="286">
    <w:name w:val="Char2 Char Char Char"/>
    <w:basedOn w:val="1"/>
    <w:autoRedefine/>
    <w:uiPriority w:val="0"/>
    <w:pPr>
      <w:spacing w:line="360" w:lineRule="auto"/>
      <w:ind w:firstLine="200" w:firstLineChars="200"/>
    </w:pPr>
    <w:rPr>
      <w:rFonts w:ascii="宋体" w:hAnsi="宋体"/>
    </w:rPr>
  </w:style>
  <w:style w:type="paragraph" w:customStyle="1" w:styleId="287">
    <w:name w:val="封面标准文稿类别"/>
    <w:autoRedefine/>
    <w:qFormat/>
    <w:uiPriority w:val="0"/>
    <w:pPr>
      <w:spacing w:before="440" w:line="400" w:lineRule="exact"/>
      <w:jc w:val="center"/>
    </w:pPr>
    <w:rPr>
      <w:rFonts w:ascii="宋体" w:hAnsi="Times New Roman" w:eastAsia="宋体" w:cs="Times New Roman"/>
      <w:kern w:val="0"/>
      <w:sz w:val="24"/>
      <w:szCs w:val="24"/>
      <w:lang w:val="en-US" w:eastAsia="zh-CN" w:bidi="ar-SA"/>
    </w:rPr>
  </w:style>
  <w:style w:type="paragraph" w:customStyle="1" w:styleId="288">
    <w:name w:val="Char Char14 Char Char"/>
    <w:basedOn w:val="1"/>
    <w:autoRedefine/>
    <w:qFormat/>
    <w:uiPriority w:val="0"/>
    <w:rPr>
      <w:rFonts w:ascii="Arial" w:hAnsi="Arial" w:cs="Times New Roman"/>
      <w:snapToGrid w:val="0"/>
    </w:rPr>
  </w:style>
  <w:style w:type="paragraph" w:customStyle="1" w:styleId="289">
    <w:name w:val="样式 正文 行距: 固定值 25 磅"/>
    <w:basedOn w:val="1"/>
    <w:qFormat/>
    <w:uiPriority w:val="0"/>
    <w:pPr>
      <w:adjustRightInd w:val="0"/>
      <w:spacing w:line="500" w:lineRule="exact"/>
      <w:ind w:firstLine="200" w:firstLineChars="200"/>
    </w:pPr>
    <w:rPr>
      <w:szCs w:val="20"/>
    </w:rPr>
  </w:style>
  <w:style w:type="paragraph" w:customStyle="1" w:styleId="290">
    <w:name w:val="正文4"/>
    <w:basedOn w:val="1"/>
    <w:autoRedefine/>
    <w:qFormat/>
    <w:uiPriority w:val="0"/>
    <w:pPr>
      <w:widowControl/>
      <w:spacing w:before="120" w:after="120" w:line="480" w:lineRule="exact"/>
      <w:ind w:firstLine="200" w:firstLineChars="200"/>
    </w:pPr>
    <w:rPr>
      <w:rFonts w:cs="Times New Roman"/>
    </w:rPr>
  </w:style>
  <w:style w:type="paragraph" w:customStyle="1" w:styleId="291">
    <w:name w:val="表格编号"/>
    <w:basedOn w:val="1"/>
    <w:next w:val="274"/>
    <w:autoRedefine/>
    <w:qFormat/>
    <w:uiPriority w:val="0"/>
    <w:pPr>
      <w:spacing w:line="60" w:lineRule="atLeast"/>
      <w:jc w:val="left"/>
    </w:pPr>
    <w:rPr>
      <w:rFonts w:cs="Times New Roman"/>
      <w:spacing w:val="10"/>
    </w:rPr>
  </w:style>
  <w:style w:type="paragraph" w:customStyle="1" w:styleId="292">
    <w:name w:val="样式 样式 正文 首行缩进:  2 字符 + (中文) 楷体_GB2312 + 首行缩进:  2 字符"/>
    <w:basedOn w:val="1"/>
    <w:autoRedefine/>
    <w:qFormat/>
    <w:uiPriority w:val="0"/>
    <w:pPr>
      <w:adjustRightInd w:val="0"/>
      <w:snapToGrid w:val="0"/>
      <w:spacing w:line="500" w:lineRule="exact"/>
      <w:ind w:firstLine="480" w:firstLineChars="200"/>
    </w:pPr>
    <w:rPr>
      <w:szCs w:val="20"/>
    </w:rPr>
  </w:style>
  <w:style w:type="paragraph" w:customStyle="1" w:styleId="293">
    <w:name w:val="Char Char Char Char Char Char Char Char Char Char Char Char Char Char Char Char1"/>
    <w:basedOn w:val="1"/>
    <w:qFormat/>
    <w:uiPriority w:val="0"/>
    <w:rPr>
      <w:rFonts w:cs="Times New Roman"/>
    </w:rPr>
  </w:style>
  <w:style w:type="paragraph" w:customStyle="1" w:styleId="294">
    <w:name w:val="菏泽-标题 2"/>
    <w:basedOn w:val="5"/>
    <w:next w:val="1"/>
    <w:autoRedefine/>
    <w:qFormat/>
    <w:uiPriority w:val="0"/>
    <w:pPr>
      <w:shd w:val="clear" w:color="CC9900" w:fill="auto"/>
      <w:tabs>
        <w:tab w:val="left" w:pos="576"/>
      </w:tabs>
      <w:overflowPunct w:val="0"/>
      <w:snapToGrid w:val="0"/>
      <w:spacing w:before="120" w:after="120" w:line="440" w:lineRule="exact"/>
      <w:ind w:firstLine="301" w:firstLineChars="100"/>
    </w:pPr>
    <w:rPr>
      <w:rFonts w:ascii="华文细黑" w:hAnsi="隶书" w:eastAsia="黑体" w:cs="Times New Roman"/>
      <w:kern w:val="44"/>
      <w:sz w:val="30"/>
      <w:szCs w:val="30"/>
    </w:rPr>
  </w:style>
  <w:style w:type="paragraph" w:customStyle="1" w:styleId="295">
    <w:name w:val="正文文本 21"/>
    <w:basedOn w:val="1"/>
    <w:autoRedefine/>
    <w:qFormat/>
    <w:uiPriority w:val="0"/>
    <w:pPr>
      <w:tabs>
        <w:tab w:val="left" w:pos="567"/>
      </w:tabs>
      <w:adjustRightInd w:val="0"/>
      <w:spacing w:line="410" w:lineRule="atLeast"/>
      <w:ind w:firstLine="480"/>
      <w:textAlignment w:val="baseline"/>
    </w:pPr>
    <w:rPr>
      <w:rFonts w:ascii="宋体" w:cs="Times New Roman"/>
      <w:szCs w:val="20"/>
    </w:rPr>
  </w:style>
  <w:style w:type="paragraph" w:customStyle="1" w:styleId="296">
    <w:name w:val="xl26"/>
    <w:basedOn w:val="1"/>
    <w:autoRedefine/>
    <w:qFormat/>
    <w:uiPriority w:val="0"/>
    <w:pPr>
      <w:widowControl/>
      <w:spacing w:before="100" w:after="100"/>
      <w:jc w:val="center"/>
    </w:pPr>
    <w:rPr>
      <w:rFonts w:ascii="宋体" w:hAnsi="宋体" w:cs="Times New Roman"/>
      <w:szCs w:val="20"/>
    </w:rPr>
  </w:style>
  <w:style w:type="paragraph" w:customStyle="1" w:styleId="297">
    <w:name w:val="标题3"/>
    <w:basedOn w:val="1"/>
    <w:autoRedefine/>
    <w:qFormat/>
    <w:uiPriority w:val="0"/>
    <w:pPr>
      <w:spacing w:line="360" w:lineRule="auto"/>
      <w:outlineLvl w:val="2"/>
    </w:pPr>
    <w:rPr>
      <w:b/>
      <w:bCs/>
      <w:szCs w:val="20"/>
    </w:rPr>
  </w:style>
  <w:style w:type="paragraph" w:customStyle="1" w:styleId="298">
    <w:name w:val="2"/>
    <w:basedOn w:val="1"/>
    <w:next w:val="26"/>
    <w:autoRedefine/>
    <w:qFormat/>
    <w:uiPriority w:val="0"/>
    <w:pPr>
      <w:spacing w:line="440" w:lineRule="exact"/>
      <w:ind w:right="-51" w:firstLine="480" w:firstLineChars="200"/>
      <w:jc w:val="left"/>
    </w:pPr>
    <w:rPr>
      <w:rFonts w:cs="Times New Roman"/>
    </w:rPr>
  </w:style>
  <w:style w:type="paragraph" w:customStyle="1" w:styleId="299">
    <w:name w:val="样式 标题 3ReHead 3 WSAh3标题 3 Char标题 32标题 311Re11Head 3 WSA1..."/>
    <w:basedOn w:val="6"/>
    <w:autoRedefine/>
    <w:qFormat/>
    <w:uiPriority w:val="0"/>
    <w:pPr>
      <w:keepNext w:val="0"/>
      <w:keepLines w:val="0"/>
      <w:widowControl/>
      <w:numPr>
        <w:ilvl w:val="2"/>
        <w:numId w:val="3"/>
      </w:numPr>
      <w:tabs>
        <w:tab w:val="left" w:pos="1080"/>
      </w:tabs>
      <w:spacing w:before="50" w:beforeLines="50" w:line="480" w:lineRule="exact"/>
      <w:ind w:firstLine="0" w:firstLineChars="0"/>
      <w:jc w:val="left"/>
    </w:pPr>
    <w:rPr>
      <w:rFonts w:ascii="宋体" w:hAnsi="宋体"/>
      <w:bCs/>
      <w:color w:val="000000"/>
    </w:rPr>
  </w:style>
  <w:style w:type="paragraph" w:customStyle="1" w:styleId="300">
    <w:name w:val="表格样式1"/>
    <w:basedOn w:val="1"/>
    <w:autoRedefine/>
    <w:qFormat/>
    <w:uiPriority w:val="0"/>
    <w:pPr>
      <w:adjustRightInd w:val="0"/>
      <w:spacing w:line="20" w:lineRule="atLeast"/>
      <w:ind w:firstLine="200" w:firstLineChars="200"/>
      <w:jc w:val="center"/>
      <w:textAlignment w:val="baseline"/>
    </w:pPr>
    <w:rPr>
      <w:rFonts w:ascii="宋体" w:eastAsia="仿宋_GB2312" w:cs="Times New Roman"/>
      <w:szCs w:val="20"/>
    </w:rPr>
  </w:style>
  <w:style w:type="paragraph" w:customStyle="1" w:styleId="301">
    <w:name w:val="Default1"/>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02">
    <w:name w:val="表内式样"/>
    <w:autoRedefine/>
    <w:qFormat/>
    <w:uiPriority w:val="0"/>
    <w:pPr>
      <w:widowControl w:val="0"/>
      <w:spacing w:line="460" w:lineRule="exact"/>
      <w:jc w:val="center"/>
    </w:pPr>
    <w:rPr>
      <w:rFonts w:ascii="宋体" w:hAnsi="Times New Roman" w:eastAsia="宋体" w:cs="Times New Roman"/>
      <w:kern w:val="2"/>
      <w:sz w:val="21"/>
      <w:szCs w:val="21"/>
      <w:lang w:val="en-US" w:eastAsia="zh-CN" w:bidi="ar-SA"/>
    </w:rPr>
  </w:style>
  <w:style w:type="table" w:customStyle="1" w:styleId="303">
    <w:name w:val="网格型1"/>
    <w:basedOn w:val="43"/>
    <w:autoRedefine/>
    <w:qFormat/>
    <w:uiPriority w:val="0"/>
    <w:pPr>
      <w:widowControl w:val="0"/>
      <w:jc w:val="both"/>
    </w:pPr>
    <w:rPr>
      <w:rFonts w:ascii="Times New Roman" w:hAnsi="Times New Roman" w:eastAsia="宋体" w:cs="Times New Roman"/>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Char Char Char Char Char Char Char Char Char1 Char Char Char Char"/>
    <w:basedOn w:val="1"/>
    <w:autoRedefine/>
    <w:uiPriority w:val="0"/>
    <w:rPr>
      <w:rFonts w:cs="Times New Roman"/>
    </w:rPr>
  </w:style>
  <w:style w:type="paragraph" w:customStyle="1" w:styleId="305">
    <w:name w:val="Char Char Char1 Char Char Char1 Char Char Char Char Char Char Char Char Char Char Char Char1 Char Char Char Char Char Char Char"/>
    <w:basedOn w:val="1"/>
    <w:qFormat/>
    <w:uiPriority w:val="0"/>
    <w:pPr>
      <w:widowControl/>
      <w:spacing w:after="160" w:line="240" w:lineRule="exact"/>
      <w:jc w:val="left"/>
    </w:pPr>
    <w:rPr>
      <w:rFonts w:ascii="Arial" w:hAnsi="Arial" w:eastAsia="Times New Roman" w:cs="Verdana"/>
      <w:b/>
      <w:szCs w:val="20"/>
      <w:lang w:eastAsia="en-US"/>
    </w:rPr>
  </w:style>
  <w:style w:type="character" w:customStyle="1" w:styleId="306">
    <w:name w:val="未处理的提及2"/>
    <w:basedOn w:val="46"/>
    <w:autoRedefine/>
    <w:semiHidden/>
    <w:unhideWhenUsed/>
    <w:qFormat/>
    <w:uiPriority w:val="99"/>
    <w:rPr>
      <w:color w:val="605E5C"/>
      <w:shd w:val="clear" w:color="auto" w:fill="E1DFDD"/>
    </w:rPr>
  </w:style>
  <w:style w:type="paragraph" w:customStyle="1" w:styleId="307">
    <w:name w:val="YY表头"/>
    <w:basedOn w:val="1"/>
    <w:autoRedefine/>
    <w:qFormat/>
    <w:uiPriority w:val="0"/>
    <w:pPr>
      <w:adjustRightInd w:val="0"/>
      <w:snapToGrid w:val="0"/>
      <w:spacing w:line="324" w:lineRule="auto"/>
      <w:jc w:val="center"/>
    </w:pPr>
    <w:rPr>
      <w:rFonts w:cs="Times New Roman"/>
      <w:b/>
      <w:bCs/>
    </w:rPr>
  </w:style>
  <w:style w:type="paragraph" w:customStyle="1" w:styleId="308">
    <w:name w:val="YY正文"/>
    <w:basedOn w:val="1"/>
    <w:qFormat/>
    <w:uiPriority w:val="0"/>
    <w:pPr>
      <w:adjustRightInd w:val="0"/>
      <w:snapToGrid w:val="0"/>
      <w:spacing w:line="360" w:lineRule="auto"/>
      <w:ind w:firstLine="200" w:firstLineChars="200"/>
    </w:pPr>
    <w:rPr>
      <w:rFonts w:cs="Times New Roman"/>
      <w:lang w:val="zh-CN"/>
    </w:rPr>
  </w:style>
  <w:style w:type="character" w:customStyle="1" w:styleId="309">
    <w:name w:val="YY表格正文 Char"/>
    <w:autoRedefine/>
    <w:qFormat/>
    <w:uiPriority w:val="0"/>
    <w:rPr>
      <w:rFonts w:ascii="Times New Roman" w:hAnsi="Times New Roman" w:eastAsia="宋体" w:cs="Times New Roman"/>
      <w:color w:val="000000"/>
      <w:szCs w:val="21"/>
    </w:rPr>
  </w:style>
  <w:style w:type="paragraph" w:customStyle="1" w:styleId="310">
    <w:name w:val="YY表格正文"/>
    <w:basedOn w:val="126"/>
    <w:autoRedefine/>
    <w:qFormat/>
    <w:uiPriority w:val="0"/>
    <w:pPr>
      <w:widowControl w:val="0"/>
      <w:tabs>
        <w:tab w:val="left" w:pos="0"/>
      </w:tabs>
      <w:adjustRightInd w:val="0"/>
      <w:snapToGrid w:val="0"/>
      <w:jc w:val="center"/>
    </w:pPr>
    <w:rPr>
      <w:rFonts w:ascii="Times New Roman" w:hAnsi="Times New Roman" w:eastAsia="仿宋_GB2312" w:cs="Times New Roman"/>
      <w:color w:val="000000"/>
      <w:kern w:val="2"/>
    </w:rPr>
  </w:style>
  <w:style w:type="paragraph" w:customStyle="1" w:styleId="311">
    <w:name w:val="文本正文"/>
    <w:basedOn w:val="1"/>
    <w:autoRedefine/>
    <w:qFormat/>
    <w:uiPriority w:val="0"/>
    <w:pPr>
      <w:spacing w:line="360" w:lineRule="auto"/>
      <w:ind w:firstLine="480" w:firstLineChars="200"/>
    </w:pPr>
    <w:rPr>
      <w:rFonts w:cs="Times New Roman"/>
    </w:rPr>
  </w:style>
  <w:style w:type="character" w:customStyle="1" w:styleId="312">
    <w:name w:val="表 正文 Char"/>
    <w:link w:val="313"/>
    <w:autoRedefine/>
    <w:uiPriority w:val="0"/>
    <w:rPr>
      <w:rFonts w:eastAsia="宋体"/>
      <w:kern w:val="44"/>
      <w:sz w:val="24"/>
      <w:szCs w:val="24"/>
    </w:rPr>
  </w:style>
  <w:style w:type="paragraph" w:customStyle="1" w:styleId="313">
    <w:name w:val="表 正文"/>
    <w:basedOn w:val="1"/>
    <w:link w:val="312"/>
    <w:qFormat/>
    <w:uiPriority w:val="0"/>
    <w:pPr>
      <w:adjustRightInd w:val="0"/>
      <w:snapToGrid w:val="0"/>
      <w:spacing w:line="360" w:lineRule="auto"/>
      <w:ind w:firstLine="200" w:firstLineChars="200"/>
    </w:pPr>
    <w:rPr>
      <w:rFonts w:asciiTheme="minorHAnsi" w:hAnsiTheme="minorHAnsi" w:cstheme="minorBidi"/>
      <w:kern w:val="44"/>
    </w:rPr>
  </w:style>
  <w:style w:type="paragraph" w:customStyle="1" w:styleId="314">
    <w:name w:val="表二级标题"/>
    <w:basedOn w:val="1"/>
    <w:autoRedefine/>
    <w:uiPriority w:val="0"/>
    <w:pPr>
      <w:adjustRightInd w:val="0"/>
      <w:snapToGrid w:val="0"/>
      <w:spacing w:line="360" w:lineRule="auto"/>
      <w:ind w:firstLine="200" w:firstLineChars="200"/>
    </w:pPr>
    <w:rPr>
      <w:rFonts w:ascii="Calibri" w:hAnsi="Calibri" w:cs="Times New Roman"/>
    </w:rPr>
  </w:style>
  <w:style w:type="table" w:customStyle="1" w:styleId="315">
    <w:name w:val="表格01"/>
    <w:basedOn w:val="43"/>
    <w:qFormat/>
    <w:uiPriority w:val="99"/>
    <w:pPr>
      <w:spacing w:line="245" w:lineRule="auto"/>
      <w:jc w:val="center"/>
    </w:pPr>
    <w:rPr>
      <w:rFonts w:ascii="Times New Roman" w:hAnsi="Times New Roman" w:eastAsia="宋体" w:cs="宋体"/>
      <w:kern w:val="0"/>
      <w:sz w:val="24"/>
      <w:szCs w:val="24"/>
    </w:rPr>
    <w:tblPr>
      <w:tblBorders>
        <w:top w:val="single" w:color="auto" w:sz="4" w:space="0"/>
        <w:bottom w:val="single" w:color="auto" w:sz="4" w:space="0"/>
        <w:insideH w:val="single" w:color="auto" w:sz="4" w:space="0"/>
        <w:insideV w:val="single" w:color="auto" w:sz="4" w:space="0"/>
      </w:tblBorders>
      <w:tblCellMar>
        <w:left w:w="28" w:type="dxa"/>
        <w:right w:w="28" w:type="dxa"/>
      </w:tblCellMar>
    </w:tblPr>
    <w:tcPr>
      <w:vAlign w:val="center"/>
    </w:tcPr>
    <w:tblStylePr w:type="firstRow">
      <w:tcPr>
        <w:tcBorders>
          <w:top w:val="single" w:color="auto" w:sz="4" w:space="0"/>
          <w:left w:val="nil"/>
          <w:bottom w:val="single" w:color="auto" w:sz="4" w:space="0"/>
          <w:right w:val="nil"/>
          <w:insideH w:val="single" w:sz="4" w:space="0"/>
          <w:insideV w:val="single" w:sz="4" w:space="0"/>
          <w:tl2br w:val="nil"/>
          <w:tr2bl w:val="nil"/>
        </w:tcBorders>
        <w:shd w:val="clear" w:color="auto" w:fill="D8D8D8" w:themeFill="background1" w:themeFillShade="D9"/>
      </w:tcPr>
    </w:tblStylePr>
  </w:style>
  <w:style w:type="paragraph" w:customStyle="1" w:styleId="316">
    <w:name w:val="报告正文"/>
    <w:basedOn w:val="1"/>
    <w:qFormat/>
    <w:uiPriority w:val="0"/>
    <w:pPr>
      <w:spacing w:line="360" w:lineRule="auto"/>
      <w:ind w:firstLine="200" w:firstLineChars="200"/>
    </w:pPr>
    <w:rPr>
      <w:rFonts w:ascii="宋体" w:cs="Times New Roman"/>
      <w:kern w:val="16"/>
    </w:rPr>
  </w:style>
  <w:style w:type="table" w:customStyle="1" w:styleId="317">
    <w:name w:val="0表格2"/>
    <w:basedOn w:val="43"/>
    <w:autoRedefine/>
    <w:uiPriority w:val="99"/>
    <w:pPr>
      <w:jc w:val="center"/>
    </w:pPr>
    <w:rPr>
      <w:rFonts w:ascii="Times New Roman" w:hAnsi="Times New Roman" w:eastAsia="宋体" w:cs="宋体"/>
      <w:kern w:val="0"/>
      <w:sz w:val="24"/>
      <w:szCs w:val="21"/>
    </w:rPr>
    <w:tblPr>
      <w:tblBorders>
        <w:top w:val="single" w:color="auto" w:sz="2" w:space="0"/>
        <w:bottom w:val="single" w:color="auto" w:sz="2" w:space="0"/>
        <w:insideH w:val="single" w:color="auto" w:sz="2" w:space="0"/>
        <w:insideV w:val="single" w:color="auto" w:sz="2" w:space="0"/>
      </w:tblBorders>
      <w:tblCellMar>
        <w:left w:w="28" w:type="dxa"/>
        <w:right w:w="28" w:type="dxa"/>
      </w:tblCellMar>
    </w:tblPr>
    <w:tcPr>
      <w:vAlign w:val="center"/>
    </w:tcPr>
    <w:tblStylePr w:type="firstRow">
      <w:pPr>
        <w:wordWrap/>
        <w:spacing w:line="245" w:lineRule="auto"/>
      </w:pPr>
      <w:tcPr>
        <w:tcBorders>
          <w:top w:val="single" w:color="auto" w:sz="2" w:space="0"/>
          <w:left w:val="nil"/>
          <w:bottom w:val="single" w:color="auto" w:sz="2" w:space="0"/>
          <w:right w:val="nil"/>
          <w:insideH w:val="single" w:sz="2" w:space="0"/>
          <w:insideV w:val="single" w:sz="2" w:space="0"/>
          <w:tl2br w:val="nil"/>
          <w:tr2bl w:val="nil"/>
        </w:tcBorders>
        <w:shd w:val="clear" w:color="auto" w:fill="D8D8D8" w:themeFill="background1" w:themeFillShade="D9"/>
      </w:tcPr>
    </w:tblStylePr>
  </w:style>
  <w:style w:type="character" w:styleId="318">
    <w:name w:val="Placeholder Text"/>
    <w:basedOn w:val="46"/>
    <w:autoRedefine/>
    <w:semiHidden/>
    <w:uiPriority w:val="99"/>
    <w:rPr>
      <w:color w:val="808080"/>
    </w:rPr>
  </w:style>
  <w:style w:type="table" w:customStyle="1" w:styleId="319">
    <w:name w:val="表格011"/>
    <w:basedOn w:val="43"/>
    <w:autoRedefine/>
    <w:qFormat/>
    <w:uiPriority w:val="99"/>
    <w:pPr>
      <w:spacing w:line="245" w:lineRule="auto"/>
      <w:jc w:val="center"/>
    </w:pPr>
    <w:rPr>
      <w:rFonts w:ascii="Times New Roman" w:hAnsi="Times New Roman" w:eastAsia="宋体" w:cs="Times New Roman"/>
      <w:kern w:val="0"/>
      <w:sz w:val="24"/>
      <w:szCs w:val="24"/>
    </w:rPr>
    <w:tblPr>
      <w:tblBorders>
        <w:top w:val="single" w:color="auto" w:sz="4" w:space="0"/>
        <w:bottom w:val="single" w:color="auto" w:sz="4" w:space="0"/>
        <w:insideH w:val="single" w:color="auto" w:sz="4" w:space="0"/>
        <w:insideV w:val="single" w:color="auto" w:sz="4" w:space="0"/>
      </w:tblBorders>
      <w:tblCellMar>
        <w:left w:w="28" w:type="dxa"/>
        <w:right w:w="28" w:type="dxa"/>
      </w:tblCellMar>
    </w:tblPr>
    <w:tcPr>
      <w:vAlign w:val="center"/>
    </w:tcPr>
    <w:tblStylePr w:type="firstRow">
      <w:tcPr>
        <w:tcBorders>
          <w:top w:val="single" w:color="auto" w:sz="4" w:space="0"/>
          <w:left w:val="nil"/>
          <w:bottom w:val="single" w:color="auto" w:sz="4" w:space="0"/>
          <w:right w:val="nil"/>
          <w:insideH w:val="single" w:sz="4" w:space="0"/>
          <w:insideV w:val="single" w:sz="4" w:space="0"/>
          <w:tl2br w:val="nil"/>
          <w:tr2bl w:val="nil"/>
        </w:tcBorders>
        <w:shd w:val="clear" w:color="auto" w:fill="D8D8D8" w:themeFill="background1" w:themeFillShade="D9"/>
      </w:tcPr>
    </w:tblStylePr>
  </w:style>
  <w:style w:type="paragraph" w:customStyle="1" w:styleId="320">
    <w:name w:val="1表头"/>
    <w:basedOn w:val="1"/>
    <w:next w:val="1"/>
    <w:autoRedefine/>
    <w:qFormat/>
    <w:uiPriority w:val="0"/>
    <w:pPr>
      <w:keepNext/>
      <w:tabs>
        <w:tab w:val="right" w:pos="13920"/>
      </w:tabs>
      <w:jc w:val="center"/>
    </w:pPr>
    <w:rPr>
      <w:rFonts w:cs="Times New Roman"/>
      <w:bCs/>
      <w:snapToGrid w:val="0"/>
      <w:color w:val="000000" w:themeColor="text1"/>
      <w:kern w:val="2"/>
      <w:szCs w:val="22"/>
      <w14:textFill>
        <w14:solidFill>
          <w14:schemeClr w14:val="tx1"/>
        </w14:solidFill>
      </w14:textFill>
    </w:rPr>
  </w:style>
  <w:style w:type="paragraph" w:customStyle="1" w:styleId="321">
    <w:name w:val="正文_11"/>
    <w:autoRedefine/>
    <w:qFormat/>
    <w:uiPriority w:val="0"/>
    <w:pPr>
      <w:widowControl w:val="0"/>
      <w:jc w:val="both"/>
    </w:pPr>
    <w:rPr>
      <w:rFonts w:ascii="Calibri" w:hAnsi="Calibri" w:eastAsia="宋体" w:cs="Times New Roman"/>
      <w:kern w:val="2"/>
      <w:sz w:val="21"/>
      <w:szCs w:val="24"/>
      <w:lang w:val="en-US" w:eastAsia="zh-CN" w:bidi="ar-SA"/>
    </w:rPr>
  </w:style>
  <w:style w:type="table" w:customStyle="1" w:styleId="322">
    <w:name w:val="网格型c2"/>
    <w:basedOn w:val="43"/>
    <w:autoRedefine/>
    <w:qFormat/>
    <w:uiPriority w:val="59"/>
    <w:pPr>
      <w:widowControl w:val="0"/>
      <w:jc w:val="both"/>
    </w:pPr>
    <w:rPr>
      <w:rFonts w:ascii="Calibri" w:hAnsi="Calibri" w:eastAsia="宋体" w:cs="Times New Roman"/>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c3"/>
    <w:basedOn w:val="43"/>
    <w:qFormat/>
    <w:uiPriority w:val="59"/>
    <w:pPr>
      <w:widowControl w:val="0"/>
      <w:jc w:val="both"/>
    </w:pPr>
    <w:rPr>
      <w:rFonts w:ascii="Calibri" w:hAnsi="Calibri" w:eastAsia="宋体" w:cs="Times New Roman"/>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4">
    <w:name w:val="0正文"/>
    <w:basedOn w:val="13"/>
    <w:autoRedefine/>
    <w:qFormat/>
    <w:uiPriority w:val="0"/>
    <w:pPr>
      <w:widowControl/>
      <w:adjustRightInd w:val="0"/>
      <w:snapToGrid w:val="0"/>
      <w:spacing w:line="360" w:lineRule="auto"/>
      <w:ind w:firstLine="200"/>
      <w:jc w:val="left"/>
    </w:pPr>
    <w:rPr>
      <w:rFonts w:ascii="宋体" w:hAnsi="PMingLiU" w:eastAsia="宋体" w:cs="Times New Roman"/>
      <w:lang w:eastAsia="en-US"/>
    </w:rPr>
  </w:style>
  <w:style w:type="table" w:customStyle="1" w:styleId="325">
    <w:name w:val="网格型c4"/>
    <w:basedOn w:val="43"/>
    <w:qFormat/>
    <w:uiPriority w:val="39"/>
    <w:pPr>
      <w:widowControl w:val="0"/>
      <w:jc w:val="both"/>
    </w:pPr>
    <w:rPr>
      <w:rFonts w:ascii="Calibri" w:hAnsi="Calibri" w:eastAsia="宋体" w:cs="Times New Roman"/>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c5"/>
    <w:basedOn w:val="43"/>
    <w:autoRedefine/>
    <w:qFormat/>
    <w:uiPriority w:val="39"/>
    <w:pPr>
      <w:widowControl w:val="0"/>
      <w:jc w:val="both"/>
    </w:pPr>
    <w:rPr>
      <w:rFonts w:ascii="Calibri" w:hAnsi="Calibri" w:eastAsia="宋体" w:cs="Times New Roman"/>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7">
    <w:name w:val="表格 Char"/>
    <w:link w:val="137"/>
    <w:qFormat/>
    <w:uiPriority w:val="0"/>
    <w:rPr>
      <w:rFonts w:ascii="Times New Roman" w:hAnsi="Times New Roman" w:cs="宋体"/>
      <w:kern w:val="0"/>
      <w:sz w:val="24"/>
      <w:szCs w:val="24"/>
    </w:rPr>
  </w:style>
  <w:style w:type="character" w:customStyle="1" w:styleId="328">
    <w:name w:val="普通(网站) 字符"/>
    <w:link w:val="41"/>
    <w:qFormat/>
    <w:locked/>
    <w:uiPriority w:val="0"/>
    <w:rPr>
      <w:rFonts w:ascii="宋体" w:hAnsi="宋体" w:cs="宋体"/>
      <w:kern w:val="0"/>
      <w:sz w:val="24"/>
      <w:szCs w:val="24"/>
    </w:rPr>
  </w:style>
  <w:style w:type="table" w:customStyle="1" w:styleId="329">
    <w:name w:val="网格型c6"/>
    <w:basedOn w:val="43"/>
    <w:autoRedefine/>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c61"/>
    <w:basedOn w:val="43"/>
    <w:autoRedefine/>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1">
    <w:name w:val="Char2 Char Char Char5"/>
    <w:basedOn w:val="1"/>
    <w:autoRedefine/>
    <w:uiPriority w:val="0"/>
    <w:pPr>
      <w:spacing w:line="360" w:lineRule="auto"/>
      <w:ind w:firstLine="200" w:firstLineChars="200"/>
    </w:pPr>
    <w:rPr>
      <w:rFonts w:ascii="宋体" w:hAnsi="宋体"/>
      <w:kern w:val="2"/>
    </w:rPr>
  </w:style>
  <w:style w:type="paragraph" w:customStyle="1" w:styleId="332">
    <w:name w:val="Char2 Char Char Char4"/>
    <w:basedOn w:val="1"/>
    <w:qFormat/>
    <w:uiPriority w:val="0"/>
    <w:pPr>
      <w:spacing w:line="360" w:lineRule="auto"/>
      <w:ind w:firstLine="200" w:firstLineChars="200"/>
    </w:pPr>
    <w:rPr>
      <w:rFonts w:ascii="宋体" w:hAnsi="宋体"/>
      <w:kern w:val="2"/>
    </w:rPr>
  </w:style>
  <w:style w:type="character" w:customStyle="1" w:styleId="333">
    <w:name w:val="标2"/>
    <w:autoRedefine/>
    <w:qFormat/>
    <w:uiPriority w:val="0"/>
    <w:rPr>
      <w:rFonts w:ascii="Times New Roman" w:hAnsi="Times New Roman" w:eastAsia="宋体"/>
      <w:b/>
      <w:bCs/>
      <w:sz w:val="28"/>
      <w:szCs w:val="28"/>
    </w:rPr>
  </w:style>
  <w:style w:type="paragraph" w:customStyle="1" w:styleId="334">
    <w:name w:val="Char2 Char Char Char3"/>
    <w:basedOn w:val="1"/>
    <w:autoRedefine/>
    <w:qFormat/>
    <w:uiPriority w:val="0"/>
    <w:pPr>
      <w:spacing w:line="360" w:lineRule="auto"/>
      <w:ind w:firstLine="200" w:firstLineChars="200"/>
    </w:pPr>
    <w:rPr>
      <w:rFonts w:ascii="宋体" w:hAnsi="宋体"/>
      <w:kern w:val="2"/>
    </w:rPr>
  </w:style>
  <w:style w:type="paragraph" w:customStyle="1" w:styleId="335">
    <w:name w:val="真·表头"/>
    <w:basedOn w:val="1"/>
    <w:autoRedefine/>
    <w:qFormat/>
    <w:uiPriority w:val="99"/>
    <w:pPr>
      <w:adjustRightInd w:val="0"/>
      <w:snapToGrid w:val="0"/>
      <w:spacing w:beforeLines="50" w:line="360" w:lineRule="auto"/>
      <w:jc w:val="center"/>
    </w:pPr>
    <w:rPr>
      <w:rFonts w:ascii="Calibri" w:hAnsi="Calibri" w:eastAsia="黑体" w:cs="Times New Roman"/>
      <w:kern w:val="2"/>
      <w:szCs w:val="30"/>
    </w:rPr>
  </w:style>
  <w:style w:type="paragraph" w:customStyle="1" w:styleId="336">
    <w:name w:val="Char2 Char Char Char2"/>
    <w:basedOn w:val="1"/>
    <w:autoRedefine/>
    <w:qFormat/>
    <w:uiPriority w:val="0"/>
    <w:pPr>
      <w:spacing w:line="360" w:lineRule="auto"/>
      <w:ind w:firstLine="200" w:firstLineChars="200"/>
    </w:pPr>
    <w:rPr>
      <w:rFonts w:ascii="宋体" w:hAnsi="宋体"/>
      <w:kern w:val="2"/>
    </w:rPr>
  </w:style>
  <w:style w:type="paragraph" w:customStyle="1" w:styleId="337">
    <w:name w:val="Char2 Char Char Char1"/>
    <w:basedOn w:val="1"/>
    <w:autoRedefine/>
    <w:uiPriority w:val="0"/>
    <w:pPr>
      <w:spacing w:line="360" w:lineRule="auto"/>
      <w:ind w:firstLine="200" w:firstLineChars="200"/>
    </w:pPr>
    <w:rPr>
      <w:rFonts w:ascii="宋体" w:hAnsi="宋体"/>
      <w:kern w:val="2"/>
    </w:rPr>
  </w:style>
  <w:style w:type="paragraph" w:customStyle="1" w:styleId="338">
    <w:name w:val="Date1"/>
    <w:basedOn w:val="1"/>
    <w:next w:val="1"/>
    <w:qFormat/>
    <w:uiPriority w:val="99"/>
    <w:rPr>
      <w:rFonts w:cs="Times New Roman"/>
      <w:kern w:val="2"/>
      <w:sz w:val="21"/>
      <w:szCs w:val="20"/>
    </w:rPr>
  </w:style>
  <w:style w:type="paragraph" w:customStyle="1" w:styleId="339">
    <w:name w:val="标题 段落4级"/>
    <w:basedOn w:val="340"/>
    <w:autoRedefine/>
    <w:qFormat/>
    <w:uiPriority w:val="99"/>
    <w:pPr>
      <w:outlineLvl w:val="3"/>
    </w:pPr>
    <w:rPr>
      <w:rFonts w:cs="Calibri"/>
      <w:b/>
      <w:kern w:val="2"/>
    </w:rPr>
  </w:style>
  <w:style w:type="paragraph" w:customStyle="1" w:styleId="340">
    <w:name w:val="正文 文本"/>
    <w:qFormat/>
    <w:uiPriority w:val="99"/>
    <w:pPr>
      <w:widowControl w:val="0"/>
      <w:spacing w:line="500" w:lineRule="exact"/>
      <w:ind w:firstLine="200" w:firstLineChars="200"/>
      <w:jc w:val="both"/>
    </w:pPr>
    <w:rPr>
      <w:rFonts w:ascii="Times New Roman" w:hAnsi="Times New Roman" w:eastAsia="仿宋_GB2312" w:cs="Times New Roman"/>
      <w:kern w:val="0"/>
      <w:sz w:val="28"/>
      <w:szCs w:val="24"/>
      <w:lang w:val="en-US" w:eastAsia="zh-CN" w:bidi="ar-SA"/>
    </w:rPr>
  </w:style>
  <w:style w:type="character" w:customStyle="1" w:styleId="341">
    <w:name w:val="日期 字符1"/>
    <w:basedOn w:val="46"/>
    <w:autoRedefine/>
    <w:qFormat/>
    <w:locked/>
    <w:uiPriority w:val="99"/>
    <w:rPr>
      <w:rFonts w:ascii="Times New Roman" w:hAnsi="Times New Roman" w:eastAsia="宋体"/>
      <w:sz w:val="24"/>
    </w:rPr>
  </w:style>
  <w:style w:type="paragraph" w:customStyle="1" w:styleId="342">
    <w:name w:val="普通(网站)2"/>
    <w:basedOn w:val="1"/>
    <w:qFormat/>
    <w:uiPriority w:val="99"/>
    <w:pPr>
      <w:widowControl/>
      <w:spacing w:before="100" w:beforeAutospacing="1" w:after="100" w:afterAutospacing="1"/>
      <w:jc w:val="left"/>
    </w:pPr>
    <w:rPr>
      <w:rFonts w:ascii="宋体" w:hAnsi="宋体" w:cs="Times New Roman"/>
      <w:kern w:val="2"/>
      <w:szCs w:val="20"/>
    </w:rPr>
  </w:style>
  <w:style w:type="paragraph" w:customStyle="1" w:styleId="343">
    <w:name w:val="页末正文"/>
    <w:basedOn w:val="1"/>
    <w:autoRedefine/>
    <w:qFormat/>
    <w:uiPriority w:val="99"/>
    <w:pPr>
      <w:spacing w:after="240" w:line="480" w:lineRule="exact"/>
      <w:ind w:firstLine="560" w:firstLineChars="200"/>
    </w:pPr>
    <w:rPr>
      <w:rFonts w:eastAsia="楷体_GB2312" w:cs="Times New Roman"/>
      <w:color w:val="000000"/>
      <w:kern w:val="2"/>
      <w:sz w:val="28"/>
    </w:rPr>
  </w:style>
  <w:style w:type="paragraph" w:customStyle="1" w:styleId="344">
    <w:name w:val="正文_1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5">
    <w:name w:val="Body Text Indent1"/>
    <w:basedOn w:val="1"/>
    <w:next w:val="346"/>
    <w:autoRedefine/>
    <w:qFormat/>
    <w:uiPriority w:val="99"/>
    <w:pPr>
      <w:ind w:firstLine="480" w:firstLineChars="200"/>
    </w:pPr>
    <w:rPr>
      <w:rFonts w:cs="Times New Roman"/>
      <w:kern w:val="2"/>
    </w:rPr>
  </w:style>
  <w:style w:type="paragraph" w:customStyle="1" w:styleId="346">
    <w:name w:val="Body Text First Indent1"/>
    <w:basedOn w:val="20"/>
    <w:qFormat/>
    <w:uiPriority w:val="99"/>
    <w:pPr>
      <w:widowControl/>
      <w:snapToGrid w:val="0"/>
      <w:spacing w:before="60" w:line="259" w:lineRule="auto"/>
      <w:ind w:right="113" w:firstLine="420" w:firstLineChars="100"/>
    </w:pPr>
    <w:rPr>
      <w:rFonts w:cs="Times New Roman"/>
      <w:sz w:val="21"/>
      <w:szCs w:val="20"/>
    </w:rPr>
  </w:style>
  <w:style w:type="paragraph" w:customStyle="1" w:styleId="347">
    <w:name w:val="样式 小四 首行缩进:  1.01 厘米 行距: 1.5 倍行距"/>
    <w:basedOn w:val="1"/>
    <w:autoRedefine/>
    <w:qFormat/>
    <w:uiPriority w:val="99"/>
    <w:pPr>
      <w:adjustRightInd w:val="0"/>
      <w:snapToGrid w:val="0"/>
      <w:spacing w:line="360" w:lineRule="auto"/>
      <w:ind w:firstLine="200" w:firstLineChars="200"/>
    </w:pPr>
    <w:rPr>
      <w:rFonts w:cs="Times New Roman"/>
      <w:kern w:val="24"/>
    </w:rPr>
  </w:style>
  <w:style w:type="paragraph" w:customStyle="1" w:styleId="348">
    <w:name w:val="表格 普通文字"/>
    <w:basedOn w:val="340"/>
    <w:autoRedefine/>
    <w:qFormat/>
    <w:uiPriority w:val="99"/>
    <w:pPr>
      <w:jc w:val="center"/>
    </w:pPr>
    <w:rPr>
      <w:rFonts w:ascii="Calibri" w:hAnsi="Calibri"/>
      <w:sz w:val="21"/>
    </w:rPr>
  </w:style>
  <w:style w:type="paragraph" w:customStyle="1" w:styleId="349">
    <w:name w:val="正文文字 3"/>
    <w:basedOn w:val="1"/>
    <w:autoRedefine/>
    <w:semiHidden/>
    <w:qFormat/>
    <w:uiPriority w:val="99"/>
    <w:pPr>
      <w:spacing w:line="280" w:lineRule="exact"/>
      <w:jc w:val="center"/>
    </w:pPr>
    <w:rPr>
      <w:rFonts w:ascii="仿宋_GB2312" w:hAnsi="Arial Black" w:eastAsia="仿宋_GB2312" w:cs="仿宋_GB2312"/>
      <w:kern w:val="2"/>
      <w:sz w:val="21"/>
      <w:szCs w:val="21"/>
    </w:rPr>
  </w:style>
  <w:style w:type="paragraph" w:customStyle="1" w:styleId="350">
    <w:name w:val="标题2"/>
    <w:basedOn w:val="1"/>
    <w:next w:val="1"/>
    <w:autoRedefine/>
    <w:qFormat/>
    <w:uiPriority w:val="99"/>
    <w:pPr>
      <w:autoSpaceDE w:val="0"/>
      <w:autoSpaceDN w:val="0"/>
      <w:snapToGrid w:val="0"/>
      <w:spacing w:line="590" w:lineRule="atLeast"/>
      <w:jc w:val="center"/>
    </w:pPr>
    <w:rPr>
      <w:rFonts w:eastAsia="方正楷体_GBK" w:cs="Times New Roman"/>
      <w:sz w:val="32"/>
    </w:rPr>
  </w:style>
  <w:style w:type="paragraph" w:customStyle="1" w:styleId="351">
    <w:name w:val="表格内文字格式"/>
    <w:basedOn w:val="1"/>
    <w:next w:val="1"/>
    <w:autoRedefine/>
    <w:qFormat/>
    <w:uiPriority w:val="99"/>
    <w:pPr>
      <w:spacing w:line="360" w:lineRule="auto"/>
      <w:ind w:right="-49" w:rightChars="-26" w:firstLine="436" w:firstLineChars="200"/>
      <w:jc w:val="left"/>
    </w:pPr>
    <w:rPr>
      <w:rFonts w:ascii="Arial" w:hAnsi="Arial" w:cs="Arial"/>
      <w:bCs/>
      <w:kern w:val="10"/>
      <w:szCs w:val="21"/>
    </w:rPr>
  </w:style>
  <w:style w:type="paragraph" w:customStyle="1" w:styleId="352">
    <w:name w:val="表格/图表标题"/>
    <w:basedOn w:val="1"/>
    <w:next w:val="1"/>
    <w:autoRedefine/>
    <w:qFormat/>
    <w:uiPriority w:val="99"/>
    <w:pPr>
      <w:spacing w:beforeLines="50"/>
      <w:jc w:val="center"/>
    </w:pPr>
    <w:rPr>
      <w:rFonts w:cs="Times New Roman"/>
      <w:b/>
      <w:bCs/>
      <w:sz w:val="21"/>
    </w:rPr>
  </w:style>
  <w:style w:type="paragraph" w:customStyle="1" w:styleId="353">
    <w:name w:val="111"/>
    <w:basedOn w:val="1"/>
    <w:autoRedefine/>
    <w:qFormat/>
    <w:uiPriority w:val="99"/>
    <w:pPr>
      <w:widowControl/>
      <w:spacing w:before="100" w:beforeAutospacing="1" w:after="100" w:afterAutospacing="1"/>
      <w:jc w:val="left"/>
    </w:pPr>
    <w:rPr>
      <w:rFonts w:ascii="宋体" w:hAnsi="宋体"/>
    </w:rPr>
  </w:style>
  <w:style w:type="paragraph" w:customStyle="1" w:styleId="354">
    <w:name w:val="中文报告书样式"/>
    <w:basedOn w:val="1"/>
    <w:qFormat/>
    <w:uiPriority w:val="99"/>
    <w:pPr>
      <w:adjustRightInd w:val="0"/>
      <w:spacing w:line="480" w:lineRule="atLeast"/>
      <w:ind w:firstLine="482"/>
      <w:textAlignment w:val="baseline"/>
    </w:pPr>
    <w:rPr>
      <w:rFonts w:cs="Times New Roman"/>
      <w:kern w:val="24"/>
      <w:szCs w:val="20"/>
    </w:rPr>
  </w:style>
  <w:style w:type="paragraph" w:customStyle="1" w:styleId="355">
    <w:name w:val="表头图名"/>
    <w:basedOn w:val="1"/>
    <w:qFormat/>
    <w:uiPriority w:val="99"/>
    <w:pPr>
      <w:adjustRightInd w:val="0"/>
      <w:snapToGrid w:val="0"/>
      <w:spacing w:line="240" w:lineRule="atLeast"/>
      <w:jc w:val="center"/>
    </w:pPr>
    <w:rPr>
      <w:rFonts w:cs="Times New Roman"/>
      <w:b/>
      <w:spacing w:val="10"/>
      <w:kern w:val="2"/>
      <w:szCs w:val="28"/>
    </w:rPr>
  </w:style>
  <w:style w:type="paragraph" w:customStyle="1" w:styleId="356">
    <w:name w:val="xl27"/>
    <w:basedOn w:val="1"/>
    <w:autoRedefine/>
    <w:qFormat/>
    <w:uiPriority w:val="99"/>
    <w:pPr>
      <w:widowControl/>
      <w:pBdr>
        <w:bottom w:val="single" w:color="auto" w:sz="12" w:space="0"/>
      </w:pBdr>
      <w:spacing w:before="100" w:after="100"/>
      <w:jc w:val="center"/>
    </w:pPr>
    <w:rPr>
      <w:rFonts w:ascii="宋体" w:hAnsi="宋体" w:cs="Times New Roman"/>
      <w:sz w:val="21"/>
    </w:rPr>
  </w:style>
  <w:style w:type="paragraph" w:customStyle="1" w:styleId="357">
    <w:name w:val="Body Text First Indent 21"/>
    <w:basedOn w:val="345"/>
    <w:next w:val="71"/>
    <w:autoRedefine/>
    <w:qFormat/>
    <w:uiPriority w:val="99"/>
    <w:pPr>
      <w:tabs>
        <w:tab w:val="left" w:pos="6615"/>
      </w:tabs>
      <w:ind w:firstLine="200"/>
    </w:pPr>
  </w:style>
  <w:style w:type="paragraph" w:customStyle="1" w:styleId="358">
    <w:name w:val="表格内容1"/>
    <w:basedOn w:val="340"/>
    <w:autoRedefine/>
    <w:qFormat/>
    <w:uiPriority w:val="99"/>
    <w:pPr>
      <w:jc w:val="center"/>
    </w:pPr>
    <w:rPr>
      <w:rFonts w:eastAsia="宋体"/>
      <w:kern w:val="2"/>
      <w:sz w:val="21"/>
      <w:szCs w:val="21"/>
    </w:rPr>
  </w:style>
  <w:style w:type="paragraph" w:customStyle="1" w:styleId="359">
    <w:name w:val="样式 标题 1一级标题 + 段前: 0.5 行 段后: 0.5 行"/>
    <w:basedOn w:val="4"/>
    <w:autoRedefine/>
    <w:qFormat/>
    <w:uiPriority w:val="99"/>
    <w:pPr>
      <w:overflowPunct w:val="0"/>
      <w:snapToGrid w:val="0"/>
      <w:spacing w:before="120" w:after="160" w:line="320" w:lineRule="exact"/>
      <w:ind w:left="432" w:hanging="432"/>
      <w:jc w:val="both"/>
      <w:outlineLvl w:val="9"/>
    </w:pPr>
    <w:rPr>
      <w:rFonts w:eastAsia="黑体" w:cs="Times New Roman"/>
      <w:bCs/>
      <w:color w:val="000000"/>
      <w:spacing w:val="-6"/>
      <w:kern w:val="44"/>
      <w:sz w:val="21"/>
      <w:szCs w:val="21"/>
    </w:rPr>
  </w:style>
  <w:style w:type="character" w:customStyle="1" w:styleId="360">
    <w:name w:val="10"/>
    <w:basedOn w:val="46"/>
    <w:qFormat/>
    <w:uiPriority w:val="99"/>
    <w:rPr>
      <w:rFonts w:ascii="Times New Roman" w:hAnsi="Times New Roman" w:cs="Times New Roman"/>
    </w:rPr>
  </w:style>
  <w:style w:type="character" w:customStyle="1" w:styleId="361">
    <w:name w:val="批注文字 字符1"/>
    <w:autoRedefine/>
    <w:semiHidden/>
    <w:qFormat/>
    <w:uiPriority w:val="99"/>
    <w:rPr>
      <w:rFonts w:ascii="Times New Roman" w:hAnsi="Times New Roman" w:eastAsia="宋体"/>
      <w:sz w:val="24"/>
    </w:rPr>
  </w:style>
  <w:style w:type="character" w:customStyle="1" w:styleId="362">
    <w:name w:val="font31"/>
    <w:basedOn w:val="46"/>
    <w:autoRedefine/>
    <w:qFormat/>
    <w:uiPriority w:val="99"/>
    <w:rPr>
      <w:rFonts w:ascii="宋体" w:hAnsi="宋体" w:eastAsia="宋体" w:cs="宋体"/>
      <w:color w:val="000000"/>
      <w:sz w:val="21"/>
      <w:szCs w:val="21"/>
      <w:u w:val="none"/>
    </w:rPr>
  </w:style>
  <w:style w:type="character" w:customStyle="1" w:styleId="363">
    <w:name w:val="font41"/>
    <w:basedOn w:val="46"/>
    <w:qFormat/>
    <w:uiPriority w:val="99"/>
    <w:rPr>
      <w:rFonts w:ascii="Times New Roman" w:hAnsi="Times New Roman" w:cs="Times New Roman"/>
      <w:color w:val="000000"/>
      <w:sz w:val="21"/>
      <w:szCs w:val="21"/>
      <w:u w:val="none"/>
      <w:vertAlign w:val="superscript"/>
    </w:rPr>
  </w:style>
  <w:style w:type="table" w:customStyle="1" w:styleId="364">
    <w:name w:val="网格型20"/>
    <w:basedOn w:val="43"/>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5">
    <w:name w:val="Char Char Char"/>
    <w:basedOn w:val="1"/>
    <w:qFormat/>
    <w:uiPriority w:val="0"/>
    <w:rPr>
      <w:rFonts w:cs="Times New Roman"/>
      <w:kern w:val="2"/>
    </w:rPr>
  </w:style>
  <w:style w:type="paragraph" w:customStyle="1" w:styleId="366">
    <w:name w:val="聪表标题"/>
    <w:basedOn w:val="1"/>
    <w:qFormat/>
    <w:uiPriority w:val="0"/>
    <w:pPr>
      <w:widowControl/>
      <w:spacing w:line="360" w:lineRule="auto"/>
      <w:jc w:val="center"/>
    </w:pPr>
    <w:rPr>
      <w:rFonts w:ascii="黑体" w:hAnsi="黑体" w:eastAsia="黑体" w:cs="Times New Roman"/>
      <w:kern w:val="2"/>
    </w:rPr>
  </w:style>
  <w:style w:type="character" w:customStyle="1" w:styleId="367">
    <w:name w:val="Unresolved Mention"/>
    <w:basedOn w:val="46"/>
    <w:autoRedefine/>
    <w:semiHidden/>
    <w:unhideWhenUsed/>
    <w:qFormat/>
    <w:uiPriority w:val="99"/>
    <w:rPr>
      <w:color w:val="605E5C"/>
      <w:shd w:val="clear" w:color="auto" w:fill="E1DFDD"/>
    </w:rPr>
  </w:style>
  <w:style w:type="character" w:customStyle="1" w:styleId="368">
    <w:name w:val="NormalCharacter"/>
    <w:autoRedefine/>
    <w:semiHidden/>
    <w:qFormat/>
    <w:uiPriority w:val="0"/>
  </w:style>
  <w:style w:type="paragraph" w:customStyle="1" w:styleId="369">
    <w:name w:val="表格居中-报告表"/>
    <w:basedOn w:val="1"/>
    <w:qFormat/>
    <w:uiPriority w:val="0"/>
    <w:pPr>
      <w:jc w:val="center"/>
    </w:pPr>
    <w:rPr>
      <w:color w:val="000000"/>
      <w:kern w:val="2"/>
      <w:sz w:val="20"/>
      <w:szCs w:val="20"/>
    </w:rPr>
  </w:style>
  <w:style w:type="table" w:customStyle="1" w:styleId="370">
    <w:name w:val="XXD"/>
    <w:basedOn w:val="43"/>
    <w:autoRedefine/>
    <w:uiPriority w:val="99"/>
    <w:pPr>
      <w:widowControl w:val="0"/>
      <w:adjustRightInd w:val="0"/>
      <w:snapToGrid w:val="0"/>
      <w:jc w:val="center"/>
    </w:pPr>
    <w:rPr>
      <w:rFonts w:ascii="Times New Roman" w:hAnsi="Times New Roman" w:eastAsia="宋体" w:cs="Times New Roman"/>
      <w:snapToGrid w:val="0"/>
      <w:kern w:val="0"/>
      <w:szCs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vAlign w:val="center"/>
    </w:tcPr>
    <w:tblStylePr w:type="firstRow">
      <w:pPr>
        <w:jc w:val="center"/>
      </w:pPr>
      <w:rPr>
        <w:rFonts w:ascii="Times New Roman" w:hAnsi="Times New Roman" w:eastAsia="宋体"/>
        <w:b/>
        <w:sz w:val="21"/>
      </w:rPr>
      <w:tcPr>
        <w:vAlign w:val="center"/>
      </w:tcPr>
    </w:tblStylePr>
  </w:style>
  <w:style w:type="paragraph" w:customStyle="1" w:styleId="371">
    <w:name w:val="环保表内字（五号）"/>
    <w:basedOn w:val="1"/>
    <w:autoRedefine/>
    <w:qFormat/>
    <w:uiPriority w:val="0"/>
    <w:pPr>
      <w:adjustRightInd w:val="0"/>
      <w:snapToGrid w:val="0"/>
      <w:spacing w:line="360" w:lineRule="auto"/>
    </w:pPr>
    <w:rPr>
      <w:rFonts w:cs="Times New Roman"/>
      <w:snapToGrid w:val="0"/>
      <w:sz w:val="21"/>
    </w:rPr>
  </w:style>
  <w:style w:type="character" w:customStyle="1" w:styleId="372">
    <w:name w:val="正文缩进 字符1"/>
    <w:autoRedefine/>
    <w:qFormat/>
    <w:locked/>
    <w:uiPriority w:val="0"/>
    <w:rPr>
      <w:rFonts w:ascii="Calibri" w:hAnsi="Calibri"/>
      <w:kern w:val="2"/>
      <w:sz w:val="21"/>
      <w:szCs w:val="22"/>
    </w:rPr>
  </w:style>
  <w:style w:type="table" w:customStyle="1" w:styleId="373">
    <w:name w:val="网格型c7"/>
    <w:basedOn w:val="43"/>
    <w:autoRedefine/>
    <w:qFormat/>
    <w:uiPriority w:val="0"/>
    <w:rPr>
      <w:rFonts w:ascii="Times New Roman" w:hAnsi="Times New Roman"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A4AE-DEA5-4849-B76E-FCEA81F743E7}">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6099</Words>
  <Characters>34765</Characters>
  <Lines>289</Lines>
  <Paragraphs>81</Paragraphs>
  <TotalTime>2110</TotalTime>
  <ScaleCrop>false</ScaleCrop>
  <LinksUpToDate>false</LinksUpToDate>
  <CharactersWithSpaces>40783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2023-12-05T09:05:00Z</dcterms:created>
  <dc:creator>fengc</dc:creator>
  <cp:lastModifiedBy>周沫</cp:lastModifiedBy>
  <cp:lastPrinted>2023-07-22T02:25:00Z</cp:lastPrinted>
  <dcterms:modified xsi:type="dcterms:W3CDTF">2024-04-16T03:00:10Z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13A28E68716B41CE8AB06388D7ABD043_13</vt:lpwstr>
  </property>
</Properties>
</file>