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楷体_GB2312" w:eastAsia="楷体_GB2312"/>
          <w:spacing w:val="-44"/>
          <w:sz w:val="52"/>
          <w:szCs w:val="52"/>
        </w:rPr>
      </w:pPr>
      <w:bookmarkStart w:id="0" w:name="_Toc488393504"/>
      <w:r>
        <w:rPr>
          <w:rFonts w:hint="eastAsia" w:ascii="楷体_GB2312" w:eastAsia="楷体_GB2312"/>
          <w:spacing w:val="-44"/>
          <w:sz w:val="52"/>
          <w:szCs w:val="52"/>
        </w:rPr>
        <w:t>通</w:t>
      </w:r>
      <w:r>
        <w:rPr>
          <w:rFonts w:ascii="楷体_GB2312" w:eastAsia="楷体_GB2312"/>
          <w:spacing w:val="-44"/>
          <w:sz w:val="52"/>
          <w:szCs w:val="52"/>
        </w:rPr>
        <w:t xml:space="preserve"> </w:t>
      </w:r>
      <w:r>
        <w:rPr>
          <w:rFonts w:hint="eastAsia" w:ascii="楷体_GB2312" w:eastAsia="楷体_GB2312"/>
          <w:spacing w:val="-44"/>
          <w:sz w:val="52"/>
          <w:szCs w:val="52"/>
        </w:rPr>
        <w:t>知</w:t>
      </w:r>
      <w:r>
        <w:rPr>
          <w:rFonts w:ascii="楷体_GB2312" w:eastAsia="楷体_GB2312"/>
          <w:spacing w:val="-44"/>
          <w:sz w:val="52"/>
          <w:szCs w:val="52"/>
        </w:rPr>
        <w:t xml:space="preserve"> </w:t>
      </w:r>
    </w:p>
    <w:p>
      <w:pPr>
        <w:spacing w:line="720" w:lineRule="exact"/>
        <w:jc w:val="center"/>
        <w:rPr>
          <w:rFonts w:ascii="仿宋_GB2312" w:eastAsia="仿宋_GB2312"/>
          <w:sz w:val="32"/>
          <w:szCs w:val="32"/>
        </w:rPr>
      </w:pPr>
    </w:p>
    <w:p>
      <w:pPr>
        <w:spacing w:line="520" w:lineRule="exact"/>
        <w:jc w:val="center"/>
        <w:rPr>
          <w:rFonts w:ascii="仿宋_GB2312" w:eastAsia="仿宋_GB2312"/>
          <w:sz w:val="32"/>
          <w:szCs w:val="32"/>
        </w:rPr>
      </w:pPr>
    </w:p>
    <w:p>
      <w:pPr>
        <w:jc w:val="center"/>
        <w:rPr>
          <w:rFonts w:ascii="仿宋_GB2312" w:eastAsia="仿宋_GB2312"/>
          <w:sz w:val="34"/>
          <w:szCs w:val="34"/>
        </w:rPr>
      </w:pPr>
    </w:p>
    <w:p>
      <w:pPr>
        <w:jc w:val="center"/>
        <w:rPr>
          <w:rFonts w:ascii="仿宋_GB2312" w:eastAsia="仿宋_GB2312"/>
          <w:sz w:val="32"/>
          <w:szCs w:val="32"/>
        </w:rPr>
      </w:pPr>
      <w:r>
        <w:rPr>
          <w:rFonts w:hint="eastAsia" w:ascii="仿宋_GB2312" w:eastAsia="仿宋_GB2312"/>
          <w:sz w:val="34"/>
          <w:szCs w:val="34"/>
        </w:rPr>
        <w:t>山政办字〔</w:t>
      </w:r>
      <w:r>
        <w:rPr>
          <w:rFonts w:ascii="仿宋_GB2312" w:eastAsia="仿宋_GB2312"/>
          <w:sz w:val="34"/>
          <w:szCs w:val="34"/>
        </w:rPr>
        <w:t>2018</w:t>
      </w:r>
      <w:r>
        <w:rPr>
          <w:rFonts w:hint="eastAsia" w:ascii="仿宋_GB2312" w:eastAsia="仿宋_GB2312"/>
          <w:sz w:val="34"/>
          <w:szCs w:val="34"/>
        </w:rPr>
        <w:t>〕</w:t>
      </w:r>
      <w:r>
        <w:rPr>
          <w:rFonts w:hint="eastAsia" w:ascii="仿宋_GB2312" w:eastAsia="仿宋_GB2312"/>
          <w:sz w:val="34"/>
          <w:szCs w:val="34"/>
          <w:lang w:val="en-US" w:eastAsia="zh-CN"/>
        </w:rPr>
        <w:t>68</w:t>
      </w:r>
      <w:r>
        <w:rPr>
          <w:rFonts w:hint="eastAsia" w:ascii="仿宋_GB2312" w:eastAsia="仿宋_GB2312"/>
          <w:sz w:val="34"/>
          <w:szCs w:val="34"/>
        </w:rPr>
        <w:t>号</w:t>
      </w:r>
    </w:p>
    <w:p>
      <w:pPr>
        <w:rPr>
          <w:rFonts w:ascii="仿宋_GB2312" w:eastAsia="仿宋_GB2312"/>
          <w:sz w:val="32"/>
          <w:szCs w:val="32"/>
        </w:rPr>
      </w:pPr>
    </w:p>
    <w:p>
      <w:pPr>
        <w:rPr>
          <w:rFonts w:ascii="仿宋_GB2312" w:eastAsia="仿宋_GB2312"/>
          <w:color w:val="000000"/>
          <w:sz w:val="30"/>
        </w:rPr>
      </w:pPr>
    </w:p>
    <w:p>
      <w:pPr>
        <w:topLinePunct/>
        <w:spacing w:line="592" w:lineRule="exact"/>
        <w:jc w:val="center"/>
        <w:rPr>
          <w:rFonts w:eastAsia="方正小标宋简体"/>
          <w:sz w:val="44"/>
          <w:szCs w:val="44"/>
        </w:rPr>
      </w:pPr>
      <w:r>
        <w:rPr>
          <w:rFonts w:hint="eastAsia" w:eastAsia="方正小标宋简体"/>
          <w:sz w:val="44"/>
          <w:szCs w:val="44"/>
        </w:rPr>
        <w:t>山亭区人民政府办公室</w:t>
      </w:r>
    </w:p>
    <w:p>
      <w:pPr>
        <w:topLinePunct/>
        <w:spacing w:line="592" w:lineRule="exact"/>
        <w:jc w:val="center"/>
        <w:rPr>
          <w:rFonts w:ascii="方正小标宋简体" w:eastAsia="方正小标宋简体"/>
          <w:sz w:val="44"/>
          <w:szCs w:val="44"/>
        </w:rPr>
      </w:pPr>
      <w:r>
        <w:rPr>
          <w:rFonts w:hint="eastAsia" w:ascii="方正小标宋简体" w:eastAsia="方正小标宋简体"/>
          <w:sz w:val="44"/>
          <w:szCs w:val="44"/>
        </w:rPr>
        <w:t>关于印发山亭区重污染天气应急预案</w:t>
      </w:r>
    </w:p>
    <w:p>
      <w:pPr>
        <w:topLinePunct/>
        <w:spacing w:line="592"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ascii="方正小标宋简体" w:eastAsia="方正小标宋简体"/>
          <w:sz w:val="44"/>
          <w:szCs w:val="44"/>
        </w:rPr>
        <w:t>2018</w:t>
      </w:r>
      <w:r>
        <w:rPr>
          <w:rFonts w:hint="eastAsia" w:ascii="方正小标宋简体" w:eastAsia="方正小标宋简体"/>
          <w:sz w:val="44"/>
          <w:szCs w:val="44"/>
        </w:rPr>
        <w:t>年修订）的通知</w:t>
      </w:r>
    </w:p>
    <w:p>
      <w:pPr>
        <w:topLinePunct/>
        <w:spacing w:line="300" w:lineRule="exact"/>
        <w:jc w:val="left"/>
        <w:rPr>
          <w:rFonts w:eastAsia="仿宋"/>
          <w:sz w:val="44"/>
          <w:szCs w:val="44"/>
        </w:rPr>
      </w:pPr>
    </w:p>
    <w:p>
      <w:pPr>
        <w:topLinePunct/>
        <w:spacing w:line="592"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各镇人民政府、山城街道办事处，山亭经济开发区管委会，各有关部门单位，有关企业：</w:t>
      </w:r>
    </w:p>
    <w:p>
      <w:pPr>
        <w:topLinePunct/>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《山亭区重污染天气应急预案（</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年修订》已经区政府同意，现印发给你们，请认真贯彻执行。</w:t>
      </w:r>
    </w:p>
    <w:p>
      <w:pPr>
        <w:topLinePunct/>
        <w:spacing w:line="592"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2018-2019</w:t>
      </w:r>
      <w:r>
        <w:rPr>
          <w:rFonts w:hint="eastAsia" w:ascii="仿宋_GB2312" w:hAnsi="仿宋_GB2312" w:eastAsia="仿宋_GB2312" w:cs="仿宋_GB2312"/>
          <w:sz w:val="32"/>
          <w:szCs w:val="32"/>
        </w:rPr>
        <w:t>年采暖期前，各镇街、开发区管委会根据各自具体情况完成本辖区实施方案的修编工作，并督导辖区内相关企业完成企业操作方案的修编工作；各相关部门要完成本部门专项实施方案修编工作。</w:t>
      </w:r>
    </w:p>
    <w:p>
      <w:pPr>
        <w:topLinePunct/>
        <w:spacing w:line="240" w:lineRule="exact"/>
        <w:ind w:firstLine="4569" w:firstLineChars="1428"/>
        <w:rPr>
          <w:rFonts w:ascii="仿宋_GB2312" w:hAnsi="仿宋_GB2312" w:eastAsia="仿宋_GB2312" w:cs="仿宋_GB2312"/>
          <w:kern w:val="0"/>
          <w:sz w:val="32"/>
          <w:szCs w:val="32"/>
        </w:rPr>
      </w:pPr>
    </w:p>
    <w:p>
      <w:pPr>
        <w:wordWrap w:val="0"/>
        <w:topLinePunct/>
        <w:spacing w:line="592" w:lineRule="exact"/>
        <w:ind w:right="420" w:rightChars="200"/>
        <w:jc w:val="right"/>
        <w:rPr>
          <w:rFonts w:ascii="仿宋_GB2312" w:hAnsi="仿宋_GB2312" w:eastAsia="仿宋_GB2312" w:cs="仿宋_GB2312"/>
          <w:sz w:val="32"/>
          <w:szCs w:val="32"/>
        </w:rPr>
      </w:pPr>
    </w:p>
    <w:p>
      <w:pPr>
        <w:wordWrap w:val="0"/>
        <w:topLinePunct/>
        <w:spacing w:line="592"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山亭区人民政府办公室</w:t>
      </w:r>
      <w:r>
        <w:rPr>
          <w:rFonts w:ascii="仿宋_GB2312" w:hAnsi="仿宋_GB2312" w:eastAsia="仿宋_GB2312" w:cs="仿宋_GB2312"/>
          <w:sz w:val="32"/>
          <w:szCs w:val="32"/>
        </w:rPr>
        <w:t xml:space="preserve"> </w:t>
      </w:r>
    </w:p>
    <w:p>
      <w:pPr>
        <w:wordWrap w:val="0"/>
        <w:topLinePunct/>
        <w:spacing w:line="592" w:lineRule="exact"/>
        <w:ind w:right="420" w:right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topLinePunct/>
        <w:spacing w:line="592" w:lineRule="exact"/>
        <w:ind w:right="420" w:rightChars="200" w:firstLine="4800" w:firstLineChars="1500"/>
        <w:rPr>
          <w:rFonts w:ascii="仿宋_GB2312" w:hAnsi="仿宋_GB2312" w:eastAsia="仿宋_GB2312" w:cs="仿宋_GB2312"/>
          <w:sz w:val="32"/>
          <w:szCs w:val="32"/>
        </w:rPr>
      </w:pPr>
    </w:p>
    <w:p>
      <w:pPr>
        <w:rPr>
          <w:rFonts w:ascii="仿宋_GB2312" w:eastAsia="仿宋_GB2312"/>
          <w:kern w:val="36"/>
          <w:sz w:val="32"/>
          <w:szCs w:val="32"/>
        </w:rPr>
      </w:pPr>
    </w:p>
    <w:p>
      <w:pPr>
        <w:rPr>
          <w:kern w:val="36"/>
        </w:rPr>
      </w:pPr>
    </w:p>
    <w:p>
      <w:pPr>
        <w:rPr>
          <w:kern w:val="36"/>
        </w:rPr>
      </w:pPr>
    </w:p>
    <w:p>
      <w:pPr>
        <w:rPr>
          <w:kern w:val="36"/>
        </w:rPr>
      </w:pPr>
    </w:p>
    <w:p>
      <w:pPr>
        <w:rPr>
          <w:kern w:val="36"/>
        </w:rPr>
      </w:pPr>
    </w:p>
    <w:p>
      <w:pPr>
        <w:rPr>
          <w:kern w:val="36"/>
        </w:rPr>
      </w:pPr>
    </w:p>
    <w:p>
      <w:pPr>
        <w:rPr>
          <w:kern w:val="36"/>
        </w:rPr>
      </w:pPr>
    </w:p>
    <w:p>
      <w:pPr>
        <w:rPr>
          <w:kern w:val="36"/>
        </w:rPr>
      </w:pPr>
    </w:p>
    <w:p>
      <w:pPr>
        <w:rPr>
          <w:kern w:val="36"/>
        </w:rPr>
      </w:pPr>
    </w:p>
    <w:p>
      <w:pPr>
        <w:jc w:val="center"/>
        <w:rPr>
          <w:rFonts w:hAnsi="黑体" w:eastAsia="黑体"/>
          <w:kern w:val="36"/>
          <w:sz w:val="44"/>
          <w:szCs w:val="44"/>
        </w:rPr>
      </w:pPr>
    </w:p>
    <w:p>
      <w:pPr>
        <w:rPr>
          <w:kern w:val="36"/>
        </w:rPr>
      </w:pPr>
    </w:p>
    <w:p>
      <w:pPr>
        <w:rPr>
          <w:kern w:val="36"/>
        </w:rPr>
      </w:pPr>
    </w:p>
    <w:p>
      <w:pPr>
        <w:rPr>
          <w:kern w:val="36"/>
        </w:rPr>
      </w:pPr>
    </w:p>
    <w:p>
      <w:pPr>
        <w:rPr>
          <w:kern w:val="36"/>
        </w:rPr>
      </w:pPr>
    </w:p>
    <w:p>
      <w:pPr>
        <w:rPr>
          <w:kern w:val="36"/>
        </w:rPr>
      </w:pPr>
    </w:p>
    <w:p>
      <w:pPr>
        <w:rPr>
          <w:kern w:val="36"/>
        </w:rPr>
      </w:pPr>
    </w:p>
    <w:p>
      <w:pPr>
        <w:rPr>
          <w:kern w:val="36"/>
        </w:rPr>
      </w:pPr>
    </w:p>
    <w:p>
      <w:pPr>
        <w:rPr>
          <w:kern w:val="36"/>
        </w:rPr>
      </w:pPr>
    </w:p>
    <w:p>
      <w:pPr>
        <w:rPr>
          <w:kern w:val="36"/>
        </w:rPr>
      </w:pPr>
    </w:p>
    <w:p>
      <w:pPr>
        <w:jc w:val="center"/>
        <w:rPr>
          <w:rFonts w:eastAsia="黑体"/>
          <w:kern w:val="36"/>
          <w:sz w:val="44"/>
          <w:szCs w:val="44"/>
        </w:rPr>
      </w:pPr>
      <w:r>
        <w:rPr>
          <w:rFonts w:hint="eastAsia" w:hAnsi="黑体" w:eastAsia="黑体"/>
          <w:kern w:val="36"/>
          <w:sz w:val="44"/>
          <w:szCs w:val="44"/>
        </w:rPr>
        <w:t>山亭区重污染天气应急预案</w:t>
      </w:r>
      <w:bookmarkEnd w:id="0"/>
    </w:p>
    <w:p>
      <w:pPr>
        <w:jc w:val="center"/>
        <w:rPr>
          <w:rFonts w:eastAsia="黑体"/>
          <w:kern w:val="36"/>
          <w:sz w:val="44"/>
          <w:szCs w:val="44"/>
        </w:rPr>
      </w:pPr>
      <w:bookmarkStart w:id="1" w:name="_Toc488393505"/>
      <w:r>
        <w:rPr>
          <w:rFonts w:eastAsia="黑体"/>
          <w:kern w:val="36"/>
          <w:sz w:val="44"/>
          <w:szCs w:val="44"/>
        </w:rPr>
        <w:t>(2018</w:t>
      </w:r>
      <w:r>
        <w:rPr>
          <w:rFonts w:hint="eastAsia" w:hAnsi="黑体" w:eastAsia="黑体"/>
          <w:kern w:val="36"/>
          <w:sz w:val="44"/>
          <w:szCs w:val="44"/>
        </w:rPr>
        <w:t>年修订</w:t>
      </w:r>
      <w:r>
        <w:rPr>
          <w:rFonts w:eastAsia="黑体"/>
          <w:kern w:val="36"/>
          <w:sz w:val="44"/>
          <w:szCs w:val="44"/>
        </w:rPr>
        <w:t>)</w:t>
      </w:r>
      <w:bookmarkEnd w:id="1"/>
    </w:p>
    <w:p>
      <w:pPr>
        <w:jc w:val="center"/>
        <w:rPr>
          <w:rFonts w:eastAsia="黑体"/>
          <w:kern w:val="36"/>
          <w:sz w:val="44"/>
          <w:szCs w:val="44"/>
        </w:rPr>
      </w:pPr>
    </w:p>
    <w:p>
      <w:pPr>
        <w:spacing w:line="276" w:lineRule="auto"/>
        <w:jc w:val="center"/>
        <w:rPr>
          <w:rFonts w:eastAsia="黑体"/>
          <w:bCs/>
          <w:kern w:val="36"/>
          <w:sz w:val="39"/>
          <w:szCs w:val="39"/>
        </w:rPr>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pPr>
    </w:p>
    <w:p>
      <w:pPr>
        <w:pStyle w:val="15"/>
        <w:jc w:val="center"/>
        <w:rPr>
          <w:rFonts w:ascii="Times New Roman"/>
          <w:color w:val="auto"/>
          <w:sz w:val="44"/>
          <w:szCs w:val="44"/>
          <w:lang w:val="zh-CN"/>
        </w:rPr>
      </w:pPr>
      <w:r>
        <w:rPr>
          <w:rFonts w:hint="eastAsia" w:ascii="Times New Roman"/>
          <w:color w:val="auto"/>
          <w:sz w:val="44"/>
          <w:szCs w:val="44"/>
          <w:lang w:val="zh-CN"/>
        </w:rPr>
        <w:t>目</w:t>
      </w:r>
      <w:r>
        <w:rPr>
          <w:rFonts w:ascii="Times New Roman" w:hAnsi="Times New Roman"/>
          <w:color w:val="auto"/>
          <w:sz w:val="44"/>
          <w:szCs w:val="44"/>
          <w:lang w:val="zh-CN"/>
        </w:rPr>
        <w:t xml:space="preserve">    </w:t>
      </w:r>
      <w:r>
        <w:rPr>
          <w:rFonts w:hint="eastAsia" w:ascii="Times New Roman"/>
          <w:color w:val="auto"/>
          <w:sz w:val="44"/>
          <w:szCs w:val="44"/>
          <w:lang w:val="zh-CN"/>
        </w:rPr>
        <w:t>录</w:t>
      </w:r>
    </w:p>
    <w:p>
      <w:pPr>
        <w:rPr>
          <w:lang w:val="zh-CN"/>
        </w:rPr>
      </w:pPr>
    </w:p>
    <w:p>
      <w:pPr>
        <w:rPr>
          <w:lang w:val="zh-CN"/>
        </w:rPr>
      </w:pPr>
    </w:p>
    <w:p>
      <w:pPr>
        <w:pStyle w:val="6"/>
        <w:tabs>
          <w:tab w:val="right" w:leader="dot" w:pos="8296"/>
        </w:tabs>
        <w:spacing w:line="360" w:lineRule="auto"/>
        <w:rPr>
          <w:rFonts w:ascii="Times New Roman" w:hAnsi="Times New Roman" w:eastAsia="宋体"/>
          <w:kern w:val="2"/>
          <w:sz w:val="28"/>
          <w:szCs w:val="24"/>
        </w:rPr>
      </w:pPr>
      <w:r>
        <w:rPr>
          <w:rFonts w:ascii="Times New Roman" w:hAnsi="Times New Roman" w:eastAsia="黑体"/>
          <w:sz w:val="28"/>
          <w:szCs w:val="24"/>
        </w:rPr>
        <w:fldChar w:fldCharType="begin"/>
      </w:r>
      <w:r>
        <w:rPr>
          <w:rFonts w:ascii="Times New Roman" w:hAnsi="Times New Roman" w:eastAsia="黑体"/>
          <w:sz w:val="28"/>
          <w:szCs w:val="24"/>
        </w:rPr>
        <w:instrText xml:space="preserve"> TOC \o "1-3" \h \z \u </w:instrText>
      </w:r>
      <w:r>
        <w:rPr>
          <w:rFonts w:ascii="Times New Roman" w:hAnsi="Times New Roman" w:eastAsia="黑体"/>
          <w:sz w:val="28"/>
          <w:szCs w:val="24"/>
        </w:rPr>
        <w:fldChar w:fldCharType="separate"/>
      </w:r>
      <w:r>
        <w:fldChar w:fldCharType="begin"/>
      </w:r>
      <w:r>
        <w:instrText xml:space="preserve"> HYPERLINK \l "_Toc492562042" </w:instrText>
      </w:r>
      <w:r>
        <w:fldChar w:fldCharType="separate"/>
      </w:r>
      <w:r>
        <w:rPr>
          <w:rStyle w:val="10"/>
          <w:rFonts w:hint="eastAsia" w:ascii="Times New Roman" w:hAnsi="Times New Roman" w:eastAsia="仿宋_GB2312"/>
          <w:color w:val="auto"/>
          <w:sz w:val="28"/>
          <w:szCs w:val="24"/>
        </w:rPr>
        <w:t>一、总则</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_Toc492562042 \h </w:instrText>
      </w:r>
      <w:r>
        <w:rPr>
          <w:rFonts w:ascii="Times New Roman" w:hAnsi="Times New Roman"/>
          <w:sz w:val="28"/>
          <w:szCs w:val="24"/>
        </w:rPr>
        <w:fldChar w:fldCharType="separate"/>
      </w:r>
      <w:r>
        <w:rPr>
          <w:rFonts w:ascii="Times New Roman" w:hAnsi="Times New Roman"/>
          <w:sz w:val="28"/>
          <w:szCs w:val="24"/>
        </w:rPr>
        <w:t>1</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"_Toc492562043" </w:instrText>
      </w:r>
      <w:r>
        <w:fldChar w:fldCharType="separate"/>
      </w:r>
      <w:r>
        <w:rPr>
          <w:rStyle w:val="10"/>
          <w:rFonts w:hint="eastAsia" w:ascii="Times New Roman" w:hAnsi="Times New Roman" w:eastAsia="仿宋_GB2312"/>
          <w:color w:val="auto"/>
          <w:sz w:val="28"/>
          <w:szCs w:val="24"/>
        </w:rPr>
        <w:t>（一）编制目的</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_Toc492562043 \h </w:instrText>
      </w:r>
      <w:r>
        <w:rPr>
          <w:rFonts w:ascii="Times New Roman" w:hAnsi="Times New Roman"/>
          <w:sz w:val="28"/>
          <w:szCs w:val="24"/>
        </w:rPr>
        <w:fldChar w:fldCharType="separate"/>
      </w:r>
      <w:r>
        <w:rPr>
          <w:rFonts w:ascii="Times New Roman" w:hAnsi="Times New Roman"/>
          <w:sz w:val="28"/>
          <w:szCs w:val="24"/>
        </w:rPr>
        <w:t>1</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"_Toc492562044" </w:instrText>
      </w:r>
      <w:r>
        <w:fldChar w:fldCharType="separate"/>
      </w:r>
      <w:r>
        <w:rPr>
          <w:rStyle w:val="10"/>
          <w:rFonts w:hint="eastAsia" w:ascii="Times New Roman" w:hAnsi="Times New Roman" w:eastAsia="仿宋_GB2312"/>
          <w:color w:val="auto"/>
          <w:sz w:val="28"/>
          <w:szCs w:val="24"/>
        </w:rPr>
        <w:t>（二）编制依据</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_Toc492562044 \h </w:instrText>
      </w:r>
      <w:r>
        <w:rPr>
          <w:rFonts w:ascii="Times New Roman" w:hAnsi="Times New Roman"/>
          <w:sz w:val="28"/>
          <w:szCs w:val="24"/>
        </w:rPr>
        <w:fldChar w:fldCharType="separate"/>
      </w:r>
      <w:r>
        <w:rPr>
          <w:rFonts w:ascii="Times New Roman" w:hAnsi="Times New Roman"/>
          <w:sz w:val="28"/>
          <w:szCs w:val="24"/>
        </w:rPr>
        <w:t>1</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"_Toc492562045" </w:instrText>
      </w:r>
      <w:r>
        <w:fldChar w:fldCharType="separate"/>
      </w:r>
      <w:r>
        <w:rPr>
          <w:rStyle w:val="10"/>
          <w:rFonts w:hint="eastAsia" w:ascii="Times New Roman" w:hAnsi="Times New Roman" w:eastAsia="仿宋_GB2312"/>
          <w:color w:val="auto"/>
          <w:sz w:val="28"/>
          <w:szCs w:val="24"/>
        </w:rPr>
        <w:t>（三）适用范围</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_Toc492562045 \h </w:instrText>
      </w:r>
      <w:r>
        <w:rPr>
          <w:rFonts w:ascii="Times New Roman" w:hAnsi="Times New Roman"/>
          <w:sz w:val="28"/>
          <w:szCs w:val="24"/>
        </w:rPr>
        <w:fldChar w:fldCharType="separate"/>
      </w:r>
      <w:r>
        <w:rPr>
          <w:rFonts w:ascii="Times New Roman" w:hAnsi="Times New Roman"/>
          <w:sz w:val="28"/>
          <w:szCs w:val="24"/>
        </w:rPr>
        <w:t>1</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"_Toc492562046" </w:instrText>
      </w:r>
      <w:r>
        <w:fldChar w:fldCharType="separate"/>
      </w:r>
      <w:r>
        <w:rPr>
          <w:rStyle w:val="10"/>
          <w:rFonts w:hint="eastAsia" w:ascii="Times New Roman" w:hAnsi="Times New Roman" w:eastAsia="仿宋_GB2312"/>
          <w:color w:val="auto"/>
          <w:sz w:val="28"/>
          <w:szCs w:val="24"/>
        </w:rPr>
        <w:t>（四）预案体系</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_Toc492562046 \h </w:instrText>
      </w:r>
      <w:r>
        <w:rPr>
          <w:rFonts w:ascii="Times New Roman" w:hAnsi="Times New Roman"/>
          <w:sz w:val="28"/>
          <w:szCs w:val="24"/>
        </w:rPr>
        <w:fldChar w:fldCharType="separate"/>
      </w:r>
      <w:r>
        <w:rPr>
          <w:rFonts w:ascii="Times New Roman" w:hAnsi="Times New Roman"/>
          <w:sz w:val="28"/>
          <w:szCs w:val="24"/>
        </w:rPr>
        <w:t>2</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"_Toc492562047" </w:instrText>
      </w:r>
      <w:r>
        <w:fldChar w:fldCharType="separate"/>
      </w:r>
      <w:r>
        <w:rPr>
          <w:rStyle w:val="10"/>
          <w:rFonts w:hint="eastAsia" w:ascii="Times New Roman" w:hAnsi="Times New Roman" w:eastAsia="仿宋_GB2312"/>
          <w:color w:val="auto"/>
          <w:sz w:val="28"/>
          <w:szCs w:val="24"/>
        </w:rPr>
        <w:t>（五）工作原则</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_Toc492562047 \h </w:instrText>
      </w:r>
      <w:r>
        <w:rPr>
          <w:rFonts w:ascii="Times New Roman" w:hAnsi="Times New Roman"/>
          <w:sz w:val="28"/>
          <w:szCs w:val="24"/>
        </w:rPr>
        <w:fldChar w:fldCharType="separate"/>
      </w:r>
      <w:r>
        <w:rPr>
          <w:rFonts w:ascii="Times New Roman" w:hAnsi="Times New Roman"/>
          <w:sz w:val="28"/>
          <w:szCs w:val="24"/>
        </w:rPr>
        <w:t>2</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"_Toc492562048" </w:instrText>
      </w:r>
      <w:r>
        <w:fldChar w:fldCharType="separate"/>
      </w:r>
      <w:r>
        <w:rPr>
          <w:rStyle w:val="10"/>
          <w:rFonts w:hint="eastAsia" w:ascii="Times New Roman" w:hAnsi="Times New Roman" w:eastAsia="仿宋_GB2312"/>
          <w:color w:val="auto"/>
          <w:sz w:val="28"/>
          <w:szCs w:val="24"/>
        </w:rPr>
        <w:t>二、预警预报</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_Toc492562048 \h </w:instrText>
      </w:r>
      <w:r>
        <w:rPr>
          <w:rFonts w:ascii="Times New Roman" w:hAnsi="Times New Roman"/>
          <w:sz w:val="28"/>
          <w:szCs w:val="24"/>
        </w:rPr>
        <w:fldChar w:fldCharType="separate"/>
      </w:r>
      <w:r>
        <w:rPr>
          <w:rFonts w:ascii="Times New Roman" w:hAnsi="Times New Roman"/>
          <w:sz w:val="28"/>
          <w:szCs w:val="24"/>
        </w:rPr>
        <w:t>2</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"_Toc492562049" </w:instrText>
      </w:r>
      <w:r>
        <w:fldChar w:fldCharType="separate"/>
      </w:r>
      <w:r>
        <w:rPr>
          <w:rStyle w:val="10"/>
          <w:rFonts w:hint="eastAsia" w:ascii="Times New Roman" w:hAnsi="Times New Roman" w:eastAsia="仿宋_GB2312"/>
          <w:color w:val="auto"/>
          <w:sz w:val="28"/>
          <w:szCs w:val="24"/>
        </w:rPr>
        <w:t>（一）预警分级</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_Toc492562049 \h </w:instrText>
      </w:r>
      <w:r>
        <w:rPr>
          <w:rFonts w:ascii="Times New Roman" w:hAnsi="Times New Roman"/>
          <w:sz w:val="28"/>
          <w:szCs w:val="24"/>
        </w:rPr>
        <w:fldChar w:fldCharType="separate"/>
      </w:r>
      <w:r>
        <w:rPr>
          <w:rFonts w:ascii="Times New Roman" w:hAnsi="Times New Roman"/>
          <w:sz w:val="28"/>
          <w:szCs w:val="24"/>
        </w:rPr>
        <w:t>2</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"_Toc492562050" </w:instrText>
      </w:r>
      <w:r>
        <w:fldChar w:fldCharType="separate"/>
      </w:r>
      <w:r>
        <w:rPr>
          <w:rStyle w:val="10"/>
          <w:rFonts w:hint="eastAsia" w:ascii="Times New Roman" w:hAnsi="Times New Roman" w:eastAsia="仿宋_GB2312"/>
          <w:color w:val="auto"/>
          <w:sz w:val="28"/>
          <w:szCs w:val="24"/>
        </w:rPr>
        <w:t>（二）监测预报</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_Toc492562050 \h </w:instrText>
      </w:r>
      <w:r>
        <w:rPr>
          <w:rFonts w:ascii="Times New Roman" w:hAnsi="Times New Roman"/>
          <w:sz w:val="28"/>
          <w:szCs w:val="24"/>
        </w:rPr>
        <w:fldChar w:fldCharType="separate"/>
      </w:r>
      <w:r>
        <w:rPr>
          <w:rFonts w:ascii="Times New Roman" w:hAnsi="Times New Roman"/>
          <w:sz w:val="28"/>
          <w:szCs w:val="24"/>
        </w:rPr>
        <w:t>3</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"_Toc492562051" </w:instrText>
      </w:r>
      <w:r>
        <w:fldChar w:fldCharType="separate"/>
      </w:r>
      <w:r>
        <w:rPr>
          <w:rStyle w:val="10"/>
          <w:rFonts w:hint="eastAsia" w:ascii="Times New Roman" w:hAnsi="Times New Roman" w:eastAsia="仿宋_GB2312"/>
          <w:color w:val="auto"/>
          <w:sz w:val="28"/>
          <w:szCs w:val="24"/>
        </w:rPr>
        <w:t>（三）预警发布</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_Toc492562051 \h </w:instrText>
      </w:r>
      <w:r>
        <w:rPr>
          <w:rFonts w:ascii="Times New Roman" w:hAnsi="Times New Roman"/>
          <w:sz w:val="28"/>
          <w:szCs w:val="24"/>
        </w:rPr>
        <w:fldChar w:fldCharType="separate"/>
      </w:r>
      <w:r>
        <w:rPr>
          <w:rFonts w:ascii="Times New Roman" w:hAnsi="Times New Roman"/>
          <w:sz w:val="28"/>
          <w:szCs w:val="24"/>
        </w:rPr>
        <w:t>3</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"_Toc492562052" </w:instrText>
      </w:r>
      <w:r>
        <w:fldChar w:fldCharType="separate"/>
      </w:r>
      <w:r>
        <w:rPr>
          <w:rStyle w:val="10"/>
          <w:rFonts w:hint="eastAsia" w:ascii="Times New Roman" w:hAnsi="Times New Roman" w:eastAsia="仿宋_GB2312"/>
          <w:color w:val="auto"/>
          <w:sz w:val="28"/>
          <w:szCs w:val="24"/>
        </w:rPr>
        <w:t>（四）预警解除与调整</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_Toc492562052 \h </w:instrText>
      </w:r>
      <w:r>
        <w:rPr>
          <w:rFonts w:ascii="Times New Roman" w:hAnsi="Times New Roman"/>
          <w:sz w:val="28"/>
          <w:szCs w:val="24"/>
        </w:rPr>
        <w:fldChar w:fldCharType="separate"/>
      </w:r>
      <w:r>
        <w:rPr>
          <w:rFonts w:ascii="Times New Roman" w:hAnsi="Times New Roman"/>
          <w:sz w:val="28"/>
          <w:szCs w:val="24"/>
        </w:rPr>
        <w:t>4</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"_Toc492562053" </w:instrText>
      </w:r>
      <w:r>
        <w:fldChar w:fldCharType="separate"/>
      </w:r>
      <w:r>
        <w:rPr>
          <w:rStyle w:val="10"/>
          <w:rFonts w:hint="eastAsia" w:ascii="Times New Roman" w:hAnsi="Times New Roman" w:eastAsia="仿宋_GB2312"/>
          <w:color w:val="auto"/>
          <w:sz w:val="28"/>
          <w:szCs w:val="24"/>
        </w:rPr>
        <w:t>三、应急响应</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_Toc492562053 \h </w:instrText>
      </w:r>
      <w:r>
        <w:rPr>
          <w:rFonts w:ascii="Times New Roman" w:hAnsi="Times New Roman"/>
          <w:sz w:val="28"/>
          <w:szCs w:val="24"/>
        </w:rPr>
        <w:fldChar w:fldCharType="separate"/>
      </w:r>
      <w:r>
        <w:rPr>
          <w:rFonts w:ascii="Times New Roman" w:hAnsi="Times New Roman"/>
          <w:sz w:val="28"/>
          <w:szCs w:val="24"/>
        </w:rPr>
        <w:t>4</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"_Toc492562054" </w:instrText>
      </w:r>
      <w:r>
        <w:fldChar w:fldCharType="separate"/>
      </w:r>
      <w:r>
        <w:rPr>
          <w:rStyle w:val="10"/>
          <w:rFonts w:hint="eastAsia" w:ascii="Times New Roman" w:hAnsi="Times New Roman" w:eastAsia="仿宋_GB2312"/>
          <w:color w:val="auto"/>
          <w:sz w:val="28"/>
          <w:szCs w:val="24"/>
        </w:rPr>
        <w:t>（一）应急响应分级</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_Toc492562054 \h </w:instrText>
      </w:r>
      <w:r>
        <w:rPr>
          <w:rFonts w:ascii="Times New Roman" w:hAnsi="Times New Roman"/>
          <w:sz w:val="28"/>
          <w:szCs w:val="24"/>
        </w:rPr>
        <w:fldChar w:fldCharType="separate"/>
      </w:r>
      <w:r>
        <w:rPr>
          <w:rFonts w:ascii="Times New Roman" w:hAnsi="Times New Roman"/>
          <w:sz w:val="28"/>
          <w:szCs w:val="24"/>
        </w:rPr>
        <w:t>5</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"_Toc492562055" </w:instrText>
      </w:r>
      <w:r>
        <w:fldChar w:fldCharType="separate"/>
      </w:r>
      <w:r>
        <w:rPr>
          <w:rStyle w:val="10"/>
          <w:rFonts w:hint="eastAsia" w:ascii="Times New Roman" w:hAnsi="Times New Roman" w:eastAsia="仿宋_GB2312"/>
          <w:color w:val="auto"/>
          <w:sz w:val="28"/>
          <w:szCs w:val="24"/>
        </w:rPr>
        <w:t>（二）应急响应启动</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_Toc492562055 \h </w:instrText>
      </w:r>
      <w:r>
        <w:rPr>
          <w:rFonts w:ascii="Times New Roman" w:hAnsi="Times New Roman"/>
          <w:sz w:val="28"/>
          <w:szCs w:val="24"/>
        </w:rPr>
        <w:fldChar w:fldCharType="separate"/>
      </w:r>
      <w:r>
        <w:rPr>
          <w:rFonts w:ascii="Times New Roman" w:hAnsi="Times New Roman"/>
          <w:sz w:val="28"/>
          <w:szCs w:val="24"/>
        </w:rPr>
        <w:t>5</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"_Toc492562056" </w:instrText>
      </w:r>
      <w:r>
        <w:fldChar w:fldCharType="separate"/>
      </w:r>
      <w:r>
        <w:rPr>
          <w:rStyle w:val="10"/>
          <w:rFonts w:hint="eastAsia" w:ascii="Times New Roman" w:hAnsi="Times New Roman" w:eastAsia="仿宋_GB2312"/>
          <w:color w:val="auto"/>
          <w:sz w:val="28"/>
          <w:szCs w:val="24"/>
        </w:rPr>
        <w:t>（三）应急响应措施</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_Toc492562056 \h </w:instrText>
      </w:r>
      <w:r>
        <w:rPr>
          <w:rFonts w:ascii="Times New Roman" w:hAnsi="Times New Roman"/>
          <w:sz w:val="28"/>
          <w:szCs w:val="24"/>
        </w:rPr>
        <w:fldChar w:fldCharType="separate"/>
      </w:r>
      <w:r>
        <w:rPr>
          <w:rFonts w:ascii="Times New Roman" w:hAnsi="Times New Roman"/>
          <w:sz w:val="28"/>
          <w:szCs w:val="24"/>
        </w:rPr>
        <w:t>5</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kern w:val="2"/>
          <w:sz w:val="28"/>
          <w:szCs w:val="24"/>
        </w:rPr>
      </w:pPr>
      <w:r>
        <w:fldChar w:fldCharType="begin"/>
      </w:r>
      <w:r>
        <w:instrText xml:space="preserve"> HYPERLINK \l "_Toc492562063" </w:instrText>
      </w:r>
      <w:r>
        <w:fldChar w:fldCharType="separate"/>
      </w:r>
      <w:r>
        <w:rPr>
          <w:rStyle w:val="10"/>
          <w:rFonts w:hint="eastAsia" w:ascii="Times New Roman" w:hAnsi="Times New Roman" w:eastAsia="仿宋_GB2312"/>
          <w:color w:val="auto"/>
          <w:sz w:val="28"/>
          <w:szCs w:val="24"/>
        </w:rPr>
        <w:t>（四）应急响应终止</w:t>
      </w:r>
      <w:r>
        <w:rPr>
          <w:rFonts w:ascii="Times New Roman" w:hAnsi="Times New Roman"/>
          <w:sz w:val="28"/>
          <w:szCs w:val="24"/>
        </w:rPr>
        <w:tab/>
      </w:r>
      <w:r>
        <w:rPr>
          <w:rFonts w:ascii="Times New Roman" w:hAnsi="Times New Roman"/>
          <w:sz w:val="28"/>
          <w:szCs w:val="24"/>
        </w:rPr>
        <w:t>1</w:t>
      </w:r>
      <w:r>
        <w:rPr>
          <w:rFonts w:ascii="Times New Roman" w:hAnsi="Times New Roman"/>
          <w:sz w:val="28"/>
          <w:szCs w:val="24"/>
        </w:rPr>
        <w:fldChar w:fldCharType="end"/>
      </w:r>
      <w:r>
        <w:rPr>
          <w:rFonts w:ascii="Times New Roman" w:hAnsi="Times New Roman"/>
          <w:sz w:val="28"/>
          <w:szCs w:val="24"/>
        </w:rPr>
        <w:t>0</w:t>
      </w:r>
    </w:p>
    <w:p>
      <w:pPr>
        <w:pStyle w:val="7"/>
        <w:ind w:firstLine="31680"/>
        <w:rPr>
          <w:rFonts w:ascii="Times New Roman" w:hAnsi="Times New Roman" w:eastAsia="宋体"/>
          <w:kern w:val="2"/>
          <w:sz w:val="28"/>
          <w:szCs w:val="24"/>
        </w:rPr>
      </w:pPr>
      <w:r>
        <w:fldChar w:fldCharType="begin"/>
      </w:r>
      <w:r>
        <w:instrText xml:space="preserve"> HYPERLINK \l "_Toc492562064" </w:instrText>
      </w:r>
      <w:r>
        <w:fldChar w:fldCharType="separate"/>
      </w:r>
      <w:r>
        <w:rPr>
          <w:rStyle w:val="10"/>
          <w:rFonts w:hint="eastAsia" w:ascii="Times New Roman" w:hAnsi="Times New Roman" w:eastAsia="仿宋_GB2312"/>
          <w:color w:val="auto"/>
          <w:sz w:val="28"/>
          <w:szCs w:val="24"/>
        </w:rPr>
        <w:t>（五）总结评估</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_Toc492562064 \h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"_Toc492562065" </w:instrText>
      </w:r>
      <w:r>
        <w:fldChar w:fldCharType="separate"/>
      </w:r>
      <w:r>
        <w:rPr>
          <w:rStyle w:val="10"/>
          <w:rFonts w:hint="eastAsia" w:ascii="Times New Roman" w:hAnsi="Times New Roman" w:eastAsia="仿宋_GB2312"/>
          <w:color w:val="auto"/>
          <w:sz w:val="28"/>
          <w:szCs w:val="24"/>
        </w:rPr>
        <w:t>四、组织机构及职责</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_Toc492562065 \h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"_Toc492562066" </w:instrText>
      </w:r>
      <w:r>
        <w:fldChar w:fldCharType="separate"/>
      </w:r>
      <w:r>
        <w:rPr>
          <w:rStyle w:val="10"/>
          <w:rFonts w:hint="eastAsia" w:ascii="Times New Roman" w:hAnsi="Times New Roman" w:eastAsia="仿宋_GB2312"/>
          <w:color w:val="auto"/>
          <w:sz w:val="28"/>
          <w:szCs w:val="24"/>
        </w:rPr>
        <w:t>（一）组织机构</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_Toc492562066 \h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Style w:val="10"/>
          <w:rFonts w:ascii="Times New Roman" w:hAnsi="Times New Roman"/>
          <w:color w:val="auto"/>
          <w:sz w:val="28"/>
          <w:szCs w:val="24"/>
        </w:rPr>
      </w:pPr>
      <w:r>
        <w:fldChar w:fldCharType="begin"/>
      </w:r>
      <w:r>
        <w:instrText xml:space="preserve"> HYPERLINK \l "_Toc492562067" </w:instrText>
      </w:r>
      <w:r>
        <w:fldChar w:fldCharType="separate"/>
      </w:r>
      <w:r>
        <w:rPr>
          <w:rStyle w:val="10"/>
          <w:rFonts w:hint="eastAsia" w:ascii="Times New Roman" w:hAnsi="Times New Roman" w:eastAsia="仿宋_GB2312"/>
          <w:color w:val="auto"/>
          <w:sz w:val="28"/>
          <w:szCs w:val="24"/>
        </w:rPr>
        <w:t>（二）机构职责</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_Toc492562067 \h </w:instrText>
      </w:r>
      <w:r>
        <w:rPr>
          <w:rFonts w:ascii="Times New Roman" w:hAnsi="Times New Roman"/>
          <w:sz w:val="28"/>
          <w:szCs w:val="24"/>
        </w:rPr>
        <w:fldChar w:fldCharType="separate"/>
      </w:r>
      <w:r>
        <w:rPr>
          <w:rFonts w:ascii="Times New Roman" w:hAnsi="Times New Roman"/>
          <w:sz w:val="28"/>
          <w:szCs w:val="24"/>
        </w:rPr>
        <w:t>11</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"_Toc492562068" </w:instrText>
      </w:r>
      <w:r>
        <w:fldChar w:fldCharType="separate"/>
      </w:r>
      <w:r>
        <w:rPr>
          <w:rStyle w:val="10"/>
          <w:rFonts w:hint="eastAsia" w:ascii="Times New Roman" w:hAnsi="Times New Roman" w:eastAsia="仿宋_GB2312"/>
          <w:color w:val="auto"/>
          <w:sz w:val="28"/>
          <w:szCs w:val="24"/>
        </w:rPr>
        <w:t>五、保障措施</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_Toc492562068 \h </w:instrText>
      </w:r>
      <w:r>
        <w:rPr>
          <w:rFonts w:ascii="Times New Roman" w:hAnsi="Times New Roman"/>
          <w:sz w:val="28"/>
          <w:szCs w:val="24"/>
        </w:rPr>
        <w:fldChar w:fldCharType="separate"/>
      </w:r>
      <w:r>
        <w:rPr>
          <w:rFonts w:ascii="Times New Roman" w:hAnsi="Times New Roman"/>
          <w:sz w:val="28"/>
          <w:szCs w:val="24"/>
        </w:rPr>
        <w:t>12</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"_Toc492562069" </w:instrText>
      </w:r>
      <w:r>
        <w:fldChar w:fldCharType="separate"/>
      </w:r>
      <w:r>
        <w:rPr>
          <w:rStyle w:val="10"/>
          <w:rFonts w:hint="eastAsia" w:ascii="Times New Roman" w:hAnsi="Times New Roman" w:eastAsia="仿宋_GB2312"/>
          <w:color w:val="auto"/>
          <w:sz w:val="28"/>
          <w:szCs w:val="24"/>
        </w:rPr>
        <w:t>（一）经费保障</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_Toc492562069 \h </w:instrText>
      </w:r>
      <w:r>
        <w:rPr>
          <w:rFonts w:ascii="Times New Roman" w:hAnsi="Times New Roman"/>
          <w:sz w:val="28"/>
          <w:szCs w:val="24"/>
        </w:rPr>
        <w:fldChar w:fldCharType="separate"/>
      </w:r>
      <w:r>
        <w:rPr>
          <w:rFonts w:ascii="Times New Roman" w:hAnsi="Times New Roman"/>
          <w:sz w:val="28"/>
          <w:szCs w:val="24"/>
        </w:rPr>
        <w:t>12</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"_Toc492562070" </w:instrText>
      </w:r>
      <w:r>
        <w:fldChar w:fldCharType="separate"/>
      </w:r>
      <w:r>
        <w:rPr>
          <w:rStyle w:val="10"/>
          <w:rFonts w:hint="eastAsia" w:ascii="Times New Roman" w:hAnsi="Times New Roman" w:eastAsia="仿宋_GB2312"/>
          <w:color w:val="auto"/>
          <w:sz w:val="28"/>
          <w:szCs w:val="24"/>
        </w:rPr>
        <w:t>（二）物资保障</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_Toc492562070 \h </w:instrText>
      </w:r>
      <w:r>
        <w:rPr>
          <w:rFonts w:ascii="Times New Roman" w:hAnsi="Times New Roman"/>
          <w:sz w:val="28"/>
          <w:szCs w:val="24"/>
        </w:rPr>
        <w:fldChar w:fldCharType="separate"/>
      </w:r>
      <w:r>
        <w:rPr>
          <w:rFonts w:ascii="Times New Roman" w:hAnsi="Times New Roman"/>
          <w:sz w:val="28"/>
          <w:szCs w:val="24"/>
        </w:rPr>
        <w:t>12</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"_Toc492562071" </w:instrText>
      </w:r>
      <w:r>
        <w:fldChar w:fldCharType="separate"/>
      </w:r>
      <w:r>
        <w:rPr>
          <w:rStyle w:val="10"/>
          <w:rFonts w:hint="eastAsia" w:ascii="Times New Roman" w:hAnsi="Times New Roman" w:eastAsia="仿宋_GB2312"/>
          <w:color w:val="auto"/>
          <w:sz w:val="28"/>
          <w:szCs w:val="24"/>
        </w:rPr>
        <w:t>（三）预报能力保障</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_Toc492562071 \h </w:instrText>
      </w:r>
      <w:r>
        <w:rPr>
          <w:rFonts w:ascii="Times New Roman" w:hAnsi="Times New Roman"/>
          <w:sz w:val="28"/>
          <w:szCs w:val="24"/>
        </w:rPr>
        <w:fldChar w:fldCharType="separate"/>
      </w:r>
      <w:r>
        <w:rPr>
          <w:rFonts w:ascii="Times New Roman" w:hAnsi="Times New Roman"/>
          <w:sz w:val="28"/>
          <w:szCs w:val="24"/>
        </w:rPr>
        <w:t>12</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"_Toc492562072" </w:instrText>
      </w:r>
      <w:r>
        <w:fldChar w:fldCharType="separate"/>
      </w:r>
      <w:r>
        <w:rPr>
          <w:rStyle w:val="10"/>
          <w:rFonts w:hint="eastAsia" w:ascii="Times New Roman" w:hAnsi="Times New Roman" w:eastAsia="仿宋_GB2312"/>
          <w:color w:val="auto"/>
          <w:sz w:val="28"/>
          <w:szCs w:val="24"/>
        </w:rPr>
        <w:t>（四）通信与信息保障</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_Toc492562072 \h </w:instrText>
      </w:r>
      <w:r>
        <w:rPr>
          <w:rFonts w:ascii="Times New Roman" w:hAnsi="Times New Roman"/>
          <w:sz w:val="28"/>
          <w:szCs w:val="24"/>
        </w:rPr>
        <w:fldChar w:fldCharType="separate"/>
      </w:r>
      <w:r>
        <w:rPr>
          <w:rFonts w:ascii="Times New Roman" w:hAnsi="Times New Roman"/>
          <w:sz w:val="28"/>
          <w:szCs w:val="24"/>
        </w:rPr>
        <w:t>13</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"_Toc492562073" </w:instrText>
      </w:r>
      <w:r>
        <w:fldChar w:fldCharType="separate"/>
      </w:r>
      <w:r>
        <w:rPr>
          <w:rStyle w:val="10"/>
          <w:rFonts w:hint="eastAsia" w:ascii="Times New Roman" w:hAnsi="Times New Roman" w:eastAsia="仿宋_GB2312"/>
          <w:color w:val="auto"/>
          <w:sz w:val="28"/>
          <w:szCs w:val="24"/>
        </w:rPr>
        <w:t>六、信息公开</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_Toc492562073 \h </w:instrText>
      </w:r>
      <w:r>
        <w:rPr>
          <w:rFonts w:ascii="Times New Roman" w:hAnsi="Times New Roman"/>
          <w:sz w:val="28"/>
          <w:szCs w:val="24"/>
        </w:rPr>
        <w:fldChar w:fldCharType="separate"/>
      </w:r>
      <w:r>
        <w:rPr>
          <w:rFonts w:ascii="Times New Roman" w:hAnsi="Times New Roman"/>
          <w:sz w:val="28"/>
          <w:szCs w:val="24"/>
        </w:rPr>
        <w:t>13</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"_Toc492562074" </w:instrText>
      </w:r>
      <w:r>
        <w:fldChar w:fldCharType="separate"/>
      </w:r>
      <w:r>
        <w:rPr>
          <w:rStyle w:val="10"/>
          <w:rFonts w:hint="eastAsia" w:ascii="Times New Roman" w:hAnsi="Times New Roman" w:eastAsia="仿宋_GB2312"/>
          <w:color w:val="auto"/>
          <w:sz w:val="28"/>
          <w:szCs w:val="24"/>
        </w:rPr>
        <w:t>（一）应急预案发布</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_Toc492562074 \h </w:instrText>
      </w:r>
      <w:r>
        <w:rPr>
          <w:rFonts w:ascii="Times New Roman" w:hAnsi="Times New Roman"/>
          <w:sz w:val="28"/>
          <w:szCs w:val="24"/>
        </w:rPr>
        <w:fldChar w:fldCharType="separate"/>
      </w:r>
      <w:r>
        <w:rPr>
          <w:rFonts w:ascii="Times New Roman" w:hAnsi="Times New Roman"/>
          <w:sz w:val="28"/>
          <w:szCs w:val="24"/>
        </w:rPr>
        <w:t>13</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"_Toc492562075" </w:instrText>
      </w:r>
      <w:r>
        <w:fldChar w:fldCharType="separate"/>
      </w:r>
      <w:r>
        <w:rPr>
          <w:rStyle w:val="10"/>
          <w:rFonts w:hint="eastAsia" w:ascii="Times New Roman" w:hAnsi="Times New Roman" w:eastAsia="仿宋_GB2312"/>
          <w:color w:val="auto"/>
          <w:sz w:val="28"/>
          <w:szCs w:val="24"/>
        </w:rPr>
        <w:t>（二）预警信息公开</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_Toc492562075 \h </w:instrText>
      </w:r>
      <w:r>
        <w:rPr>
          <w:rFonts w:ascii="Times New Roman" w:hAnsi="Times New Roman"/>
          <w:sz w:val="28"/>
          <w:szCs w:val="24"/>
        </w:rPr>
        <w:fldChar w:fldCharType="separate"/>
      </w:r>
      <w:r>
        <w:rPr>
          <w:rFonts w:ascii="Times New Roman" w:hAnsi="Times New Roman"/>
          <w:sz w:val="28"/>
          <w:szCs w:val="24"/>
        </w:rPr>
        <w:t>13</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"_Toc492562080" </w:instrText>
      </w:r>
      <w:r>
        <w:fldChar w:fldCharType="separate"/>
      </w:r>
      <w:r>
        <w:rPr>
          <w:rStyle w:val="10"/>
          <w:rFonts w:hint="eastAsia" w:ascii="Times New Roman" w:hAnsi="Times New Roman" w:eastAsia="仿宋_GB2312"/>
          <w:color w:val="auto"/>
          <w:sz w:val="28"/>
          <w:szCs w:val="24"/>
        </w:rPr>
        <w:t>七、应急培训</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_Toc492562080 \h </w:instrText>
      </w:r>
      <w:r>
        <w:rPr>
          <w:rFonts w:ascii="Times New Roman" w:hAnsi="Times New Roman"/>
          <w:sz w:val="28"/>
          <w:szCs w:val="24"/>
        </w:rPr>
        <w:fldChar w:fldCharType="separate"/>
      </w:r>
      <w:r>
        <w:rPr>
          <w:rFonts w:ascii="Times New Roman" w:hAnsi="Times New Roman"/>
          <w:sz w:val="28"/>
          <w:szCs w:val="24"/>
        </w:rPr>
        <w:t>14</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"_Toc492562081" </w:instrText>
      </w:r>
      <w:r>
        <w:fldChar w:fldCharType="separate"/>
      </w:r>
      <w:r>
        <w:rPr>
          <w:rStyle w:val="10"/>
          <w:rFonts w:hint="eastAsia" w:ascii="Times New Roman" w:hAnsi="Times New Roman" w:eastAsia="仿宋_GB2312"/>
          <w:color w:val="auto"/>
          <w:sz w:val="28"/>
          <w:szCs w:val="24"/>
        </w:rPr>
        <w:t>八、应急演练</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_Toc492562081 \h </w:instrText>
      </w:r>
      <w:r>
        <w:rPr>
          <w:rFonts w:ascii="Times New Roman" w:hAnsi="Times New Roman"/>
          <w:sz w:val="28"/>
          <w:szCs w:val="24"/>
        </w:rPr>
        <w:fldChar w:fldCharType="separate"/>
      </w:r>
      <w:r>
        <w:rPr>
          <w:rFonts w:ascii="Times New Roman" w:hAnsi="Times New Roman"/>
          <w:sz w:val="28"/>
          <w:szCs w:val="24"/>
        </w:rPr>
        <w:t>15</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"_Toc492562082" </w:instrText>
      </w:r>
      <w:r>
        <w:fldChar w:fldCharType="separate"/>
      </w:r>
      <w:r>
        <w:rPr>
          <w:rStyle w:val="10"/>
          <w:rFonts w:hint="eastAsia" w:ascii="Times New Roman" w:hAnsi="Times New Roman" w:eastAsia="仿宋_GB2312"/>
          <w:color w:val="auto"/>
          <w:sz w:val="28"/>
          <w:szCs w:val="24"/>
        </w:rPr>
        <w:t>九、应急宣传教育</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_Toc492562082 \h </w:instrText>
      </w:r>
      <w:r>
        <w:rPr>
          <w:rFonts w:ascii="Times New Roman" w:hAnsi="Times New Roman"/>
          <w:sz w:val="28"/>
          <w:szCs w:val="24"/>
        </w:rPr>
        <w:fldChar w:fldCharType="separate"/>
      </w:r>
      <w:r>
        <w:rPr>
          <w:rFonts w:ascii="Times New Roman" w:hAnsi="Times New Roman"/>
          <w:sz w:val="28"/>
          <w:szCs w:val="24"/>
        </w:rPr>
        <w:t>15</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"_Toc492562083" </w:instrText>
      </w:r>
      <w:r>
        <w:fldChar w:fldCharType="separate"/>
      </w:r>
      <w:r>
        <w:rPr>
          <w:rStyle w:val="10"/>
          <w:rFonts w:hint="eastAsia" w:ascii="Times New Roman" w:hAnsi="Times New Roman" w:eastAsia="仿宋_GB2312"/>
          <w:color w:val="auto"/>
          <w:sz w:val="28"/>
          <w:szCs w:val="24"/>
        </w:rPr>
        <w:t>十、责任追究</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_Toc492562083 \h </w:instrText>
      </w:r>
      <w:r>
        <w:rPr>
          <w:rFonts w:ascii="Times New Roman" w:hAnsi="Times New Roman"/>
          <w:sz w:val="28"/>
          <w:szCs w:val="24"/>
        </w:rPr>
        <w:fldChar w:fldCharType="separate"/>
      </w:r>
      <w:r>
        <w:rPr>
          <w:rFonts w:ascii="Times New Roman" w:hAnsi="Times New Roman"/>
          <w:sz w:val="28"/>
          <w:szCs w:val="24"/>
        </w:rPr>
        <w:t>15</w:t>
      </w:r>
      <w:r>
        <w:rPr>
          <w:rFonts w:ascii="Times New Roman" w:hAnsi="Times New Roman"/>
          <w:sz w:val="28"/>
          <w:szCs w:val="24"/>
        </w:rPr>
        <w:fldChar w:fldCharType="end"/>
      </w:r>
      <w:r>
        <w:rPr>
          <w:rFonts w:ascii="Times New Roman" w:hAnsi="Times New Roman"/>
          <w:sz w:val="28"/>
          <w:szCs w:val="24"/>
        </w:rPr>
        <w:fldChar w:fldCharType="end"/>
      </w:r>
    </w:p>
    <w:p>
      <w:pPr>
        <w:pStyle w:val="6"/>
        <w:tabs>
          <w:tab w:val="right" w:leader="dot" w:pos="8296"/>
        </w:tabs>
        <w:spacing w:line="360" w:lineRule="auto"/>
        <w:rPr>
          <w:rFonts w:ascii="Times New Roman" w:hAnsi="Times New Roman" w:eastAsia="宋体"/>
          <w:kern w:val="2"/>
          <w:sz w:val="28"/>
          <w:szCs w:val="24"/>
        </w:rPr>
      </w:pPr>
      <w:r>
        <w:fldChar w:fldCharType="begin"/>
      </w:r>
      <w:r>
        <w:instrText xml:space="preserve"> HYPERLINK \l "_Toc492562084" </w:instrText>
      </w:r>
      <w:r>
        <w:fldChar w:fldCharType="separate"/>
      </w:r>
      <w:r>
        <w:rPr>
          <w:rStyle w:val="10"/>
          <w:rFonts w:hint="eastAsia" w:ascii="Times New Roman" w:hAnsi="Times New Roman" w:eastAsia="仿宋_GB2312"/>
          <w:color w:val="auto"/>
          <w:sz w:val="28"/>
          <w:szCs w:val="24"/>
        </w:rPr>
        <w:t>十一、附则</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_Toc492562084 \h </w:instrText>
      </w:r>
      <w:r>
        <w:rPr>
          <w:rFonts w:ascii="Times New Roman" w:hAnsi="Times New Roman"/>
          <w:sz w:val="28"/>
          <w:szCs w:val="24"/>
        </w:rPr>
        <w:fldChar w:fldCharType="separate"/>
      </w:r>
      <w:r>
        <w:rPr>
          <w:rFonts w:ascii="Times New Roman" w:hAnsi="Times New Roman"/>
          <w:sz w:val="28"/>
          <w:szCs w:val="24"/>
        </w:rPr>
        <w:t>15</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"_Toc492562085" </w:instrText>
      </w:r>
      <w:r>
        <w:fldChar w:fldCharType="separate"/>
      </w:r>
      <w:r>
        <w:rPr>
          <w:rStyle w:val="10"/>
          <w:rFonts w:hint="eastAsia" w:ascii="Times New Roman" w:hAnsi="Times New Roman" w:eastAsia="仿宋_GB2312"/>
          <w:color w:val="auto"/>
          <w:sz w:val="28"/>
          <w:szCs w:val="24"/>
        </w:rPr>
        <w:t>（一）预案的制定和修订</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_Toc492562085 \h </w:instrText>
      </w:r>
      <w:r>
        <w:rPr>
          <w:rFonts w:ascii="Times New Roman" w:hAnsi="Times New Roman"/>
          <w:sz w:val="28"/>
          <w:szCs w:val="24"/>
        </w:rPr>
        <w:fldChar w:fldCharType="separate"/>
      </w:r>
      <w:r>
        <w:rPr>
          <w:rFonts w:ascii="Times New Roman" w:hAnsi="Times New Roman"/>
          <w:sz w:val="28"/>
          <w:szCs w:val="24"/>
        </w:rPr>
        <w:t>16</w:t>
      </w:r>
      <w:r>
        <w:rPr>
          <w:rFonts w:ascii="Times New Roman" w:hAnsi="Times New Roman"/>
          <w:sz w:val="28"/>
          <w:szCs w:val="24"/>
        </w:rPr>
        <w:fldChar w:fldCharType="end"/>
      </w:r>
      <w:r>
        <w:rPr>
          <w:rFonts w:ascii="Times New Roman" w:hAnsi="Times New Roman"/>
          <w:sz w:val="28"/>
          <w:szCs w:val="24"/>
        </w:rPr>
        <w:fldChar w:fldCharType="end"/>
      </w:r>
    </w:p>
    <w:p>
      <w:pPr>
        <w:pStyle w:val="7"/>
        <w:ind w:firstLine="31680"/>
        <w:rPr>
          <w:rFonts w:ascii="Times New Roman" w:hAnsi="Times New Roman" w:eastAsia="宋体"/>
          <w:kern w:val="2"/>
          <w:sz w:val="28"/>
          <w:szCs w:val="24"/>
        </w:rPr>
      </w:pPr>
      <w:r>
        <w:fldChar w:fldCharType="begin"/>
      </w:r>
      <w:r>
        <w:instrText xml:space="preserve"> HYPERLINK \l "_Toc492562086" </w:instrText>
      </w:r>
      <w:r>
        <w:fldChar w:fldCharType="separate"/>
      </w:r>
      <w:r>
        <w:rPr>
          <w:rStyle w:val="10"/>
          <w:rFonts w:hint="eastAsia" w:ascii="Times New Roman" w:hAnsi="Times New Roman" w:eastAsia="仿宋_GB2312"/>
          <w:color w:val="auto"/>
          <w:sz w:val="28"/>
          <w:szCs w:val="24"/>
        </w:rPr>
        <w:t>（二）预案实施</w:t>
      </w:r>
      <w:r>
        <w:rPr>
          <w:rFonts w:ascii="Times New Roman" w:hAnsi="Times New Roman"/>
          <w:sz w:val="28"/>
          <w:szCs w:val="24"/>
        </w:rPr>
        <w:tab/>
      </w:r>
      <w:r>
        <w:rPr>
          <w:rFonts w:ascii="Times New Roman" w:hAnsi="Times New Roman"/>
          <w:sz w:val="28"/>
          <w:szCs w:val="24"/>
        </w:rPr>
        <w:fldChar w:fldCharType="begin"/>
      </w:r>
      <w:r>
        <w:rPr>
          <w:rFonts w:ascii="Times New Roman" w:hAnsi="Times New Roman"/>
          <w:sz w:val="28"/>
          <w:szCs w:val="24"/>
        </w:rPr>
        <w:instrText xml:space="preserve"> PAGEREF _Toc492562086 \h </w:instrText>
      </w:r>
      <w:r>
        <w:rPr>
          <w:rFonts w:ascii="Times New Roman" w:hAnsi="Times New Roman"/>
          <w:sz w:val="28"/>
          <w:szCs w:val="24"/>
        </w:rPr>
        <w:fldChar w:fldCharType="separate"/>
      </w:r>
      <w:r>
        <w:rPr>
          <w:rFonts w:ascii="Times New Roman" w:hAnsi="Times New Roman"/>
          <w:sz w:val="28"/>
          <w:szCs w:val="24"/>
        </w:rPr>
        <w:t>16</w:t>
      </w:r>
      <w:r>
        <w:rPr>
          <w:rFonts w:ascii="Times New Roman" w:hAnsi="Times New Roman"/>
          <w:sz w:val="28"/>
          <w:szCs w:val="24"/>
        </w:rPr>
        <w:fldChar w:fldCharType="end"/>
      </w:r>
      <w:r>
        <w:rPr>
          <w:rFonts w:ascii="Times New Roman" w:hAnsi="Times New Roman"/>
          <w:sz w:val="28"/>
          <w:szCs w:val="24"/>
        </w:rPr>
        <w:fldChar w:fldCharType="end"/>
      </w:r>
    </w:p>
    <w:p>
      <w:pPr>
        <w:widowControl/>
        <w:shd w:val="clear" w:color="auto" w:fill="FFFFFF"/>
        <w:snapToGrid w:val="0"/>
        <w:spacing w:line="360" w:lineRule="auto"/>
        <w:jc w:val="left"/>
        <w:rPr>
          <w:sz w:val="28"/>
          <w:szCs w:val="28"/>
        </w:rPr>
        <w:sectPr>
          <w:pgSz w:w="11906" w:h="16838"/>
          <w:pgMar w:top="1440" w:right="1800" w:bottom="1440" w:left="1800" w:header="851" w:footer="992" w:gutter="0"/>
          <w:pgNumType w:fmt="upperRoman" w:start="1"/>
          <w:cols w:space="720" w:num="1"/>
          <w:docGrid w:type="lines" w:linePitch="312" w:charSpace="0"/>
        </w:sectPr>
      </w:pPr>
      <w:r>
        <w:rPr>
          <w:rFonts w:eastAsia="黑体"/>
          <w:sz w:val="28"/>
          <w:szCs w:val="24"/>
        </w:rPr>
        <w:fldChar w:fldCharType="end"/>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山亭区重污染天气应急预案</w:t>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年修订）</w:t>
      </w:r>
    </w:p>
    <w:p>
      <w:pPr>
        <w:spacing w:line="600" w:lineRule="exact"/>
        <w:ind w:firstLine="640" w:firstLineChars="200"/>
        <w:rPr>
          <w:rFonts w:ascii="黑体" w:hAnsi="黑体" w:eastAsia="黑体" w:cs="黑体"/>
          <w:sz w:val="32"/>
          <w:szCs w:val="32"/>
        </w:rPr>
      </w:pPr>
      <w:bookmarkStart w:id="2" w:name="_Toc492562042"/>
      <w:bookmarkStart w:id="3" w:name="_Toc490837509"/>
      <w:r>
        <w:rPr>
          <w:rFonts w:hint="eastAsia" w:ascii="黑体" w:hAnsi="黑体" w:eastAsia="黑体" w:cs="黑体"/>
          <w:sz w:val="32"/>
          <w:szCs w:val="32"/>
        </w:rPr>
        <w:t>一、总则</w:t>
      </w:r>
      <w:bookmarkEnd w:id="2"/>
      <w:bookmarkEnd w:id="3"/>
    </w:p>
    <w:p>
      <w:pPr>
        <w:spacing w:line="600" w:lineRule="exact"/>
        <w:ind w:firstLine="640" w:firstLineChars="200"/>
        <w:rPr>
          <w:rFonts w:ascii="楷体_GB2312" w:hAnsi="楷体_GB2312" w:eastAsia="楷体_GB2312" w:cs="楷体_GB2312"/>
          <w:sz w:val="32"/>
          <w:szCs w:val="32"/>
        </w:rPr>
      </w:pPr>
      <w:bookmarkStart w:id="4" w:name="_Toc490837510"/>
      <w:bookmarkStart w:id="5" w:name="_Toc492562043"/>
      <w:r>
        <w:rPr>
          <w:rFonts w:hint="eastAsia" w:ascii="楷体_GB2312" w:hAnsi="楷体_GB2312" w:eastAsia="楷体_GB2312" w:cs="楷体_GB2312"/>
          <w:sz w:val="32"/>
          <w:szCs w:val="32"/>
        </w:rPr>
        <w:t>（一）编制目的</w:t>
      </w:r>
      <w:bookmarkEnd w:id="4"/>
      <w:bookmarkEnd w:id="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健全我区重污染天气预警和应急机制，进一步规范重污染天气应急处置，确保应急工作及时、高效、有序进行，减轻重污染天气影响程度，保护公众健康，促进社会全面、协调、可持续发展，依据有关规定，制定本预案。</w:t>
      </w:r>
    </w:p>
    <w:p>
      <w:pPr>
        <w:spacing w:line="600" w:lineRule="exact"/>
        <w:ind w:firstLine="640" w:firstLineChars="200"/>
        <w:rPr>
          <w:rFonts w:ascii="楷体_GB2312" w:hAnsi="楷体_GB2312" w:eastAsia="楷体_GB2312" w:cs="楷体_GB2312"/>
          <w:sz w:val="32"/>
          <w:szCs w:val="32"/>
        </w:rPr>
      </w:pPr>
      <w:bookmarkStart w:id="6" w:name="_Toc490837511"/>
      <w:bookmarkStart w:id="7" w:name="_Toc492562044"/>
      <w:r>
        <w:rPr>
          <w:rFonts w:hint="eastAsia" w:ascii="楷体_GB2312" w:hAnsi="楷体_GB2312" w:eastAsia="楷体_GB2312" w:cs="楷体_GB2312"/>
          <w:sz w:val="32"/>
          <w:szCs w:val="32"/>
        </w:rPr>
        <w:t>（二）编制依据</w:t>
      </w:r>
      <w:bookmarkEnd w:id="6"/>
      <w:bookmarkEnd w:id="7"/>
    </w:p>
    <w:p>
      <w:pPr>
        <w:topLinePunct/>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《中华人民共和国大气污染防治法》《中华人民共和国突发事件应对法》《环境空气质量标准》（</w:t>
      </w:r>
      <w:r>
        <w:rPr>
          <w:rFonts w:ascii="仿宋_GB2312" w:hAnsi="仿宋_GB2312" w:eastAsia="仿宋_GB2312" w:cs="仿宋_GB2312"/>
          <w:sz w:val="32"/>
          <w:szCs w:val="32"/>
        </w:rPr>
        <w:t>GB3095-2012</w:t>
      </w:r>
      <w:r>
        <w:rPr>
          <w:rFonts w:hint="eastAsia" w:ascii="仿宋_GB2312" w:hAnsi="仿宋_GB2312" w:eastAsia="仿宋_GB2312" w:cs="仿宋_GB2312"/>
          <w:sz w:val="32"/>
          <w:szCs w:val="32"/>
        </w:rPr>
        <w:t>）、《环境空气质量指数（</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）技术规定（试行）》（</w:t>
      </w:r>
      <w:r>
        <w:rPr>
          <w:rFonts w:ascii="仿宋_GB2312" w:hAnsi="仿宋_GB2312" w:eastAsia="仿宋_GB2312" w:cs="仿宋_GB2312"/>
          <w:sz w:val="32"/>
          <w:szCs w:val="32"/>
        </w:rPr>
        <w:t>HJ633-2012</w:t>
      </w:r>
      <w:r>
        <w:rPr>
          <w:rFonts w:hint="eastAsia" w:ascii="仿宋_GB2312" w:hAnsi="仿宋_GB2312" w:eastAsia="仿宋_GB2312" w:cs="仿宋_GB2312"/>
          <w:sz w:val="32"/>
          <w:szCs w:val="32"/>
        </w:rPr>
        <w:t>）、《国务院关于印发大气污染防治行动计划的通知》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国发〔</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《京津冀及周边地区</w:t>
      </w:r>
      <w:r>
        <w:rPr>
          <w:rFonts w:ascii="仿宋_GB2312" w:hAnsi="仿宋_GB2312" w:eastAsia="仿宋_GB2312" w:cs="仿宋_GB2312"/>
          <w:sz w:val="32"/>
          <w:szCs w:val="32"/>
        </w:rPr>
        <w:t>2018-2019</w:t>
      </w:r>
      <w:r>
        <w:rPr>
          <w:rFonts w:hint="eastAsia" w:ascii="仿宋_GB2312" w:hAnsi="仿宋_GB2312" w:eastAsia="仿宋_GB2312" w:cs="仿宋_GB2312"/>
          <w:sz w:val="32"/>
          <w:szCs w:val="32"/>
        </w:rPr>
        <w:t>年秋冬季大气污染综合治理攻坚行动方案》《关于印发〈重污染天气预警分级标准和应急减排措施修订工作方案〉的通知》（环大气〔</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86</w:t>
      </w:r>
      <w:r>
        <w:rPr>
          <w:rFonts w:hint="eastAsia" w:ascii="仿宋_GB2312" w:hAnsi="仿宋_GB2312" w:eastAsia="仿宋_GB2312" w:cs="仿宋_GB2312"/>
          <w:sz w:val="32"/>
          <w:szCs w:val="32"/>
        </w:rPr>
        <w:t>号）《关于推进重污染天气应急预案修订工作的指导意见》（环办大气函〔</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875</w:t>
      </w:r>
      <w:r>
        <w:rPr>
          <w:rFonts w:hint="eastAsia" w:ascii="仿宋_GB2312" w:hAnsi="仿宋_GB2312" w:eastAsia="仿宋_GB2312" w:cs="仿宋_GB2312"/>
          <w:sz w:val="32"/>
          <w:szCs w:val="32"/>
        </w:rPr>
        <w:t>号）《山东省重污染天气应急预案修订指导意见》《枣庄市重污染天气应急预案（</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年修订）》等法律、法规和文件规定。</w:t>
      </w:r>
    </w:p>
    <w:p>
      <w:pPr>
        <w:spacing w:line="600" w:lineRule="exact"/>
        <w:ind w:firstLine="640" w:firstLineChars="200"/>
        <w:rPr>
          <w:rFonts w:ascii="楷体_GB2312" w:hAnsi="楷体_GB2312" w:eastAsia="楷体_GB2312" w:cs="楷体_GB2312"/>
          <w:sz w:val="32"/>
          <w:szCs w:val="32"/>
        </w:rPr>
      </w:pPr>
      <w:bookmarkStart w:id="8" w:name="_Toc492562045"/>
      <w:bookmarkStart w:id="9" w:name="_Toc490837512"/>
      <w:r>
        <w:rPr>
          <w:rFonts w:hint="eastAsia" w:ascii="楷体_GB2312" w:hAnsi="楷体_GB2312" w:eastAsia="楷体_GB2312" w:cs="楷体_GB2312"/>
          <w:sz w:val="32"/>
          <w:szCs w:val="32"/>
        </w:rPr>
        <w:t>（三）适用范围</w:t>
      </w:r>
      <w:bookmarkEnd w:id="8"/>
      <w:bookmarkEnd w:id="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本预案适用于发生在山亭区行政区域内重污染天气（不包括因沙尘造成的重污染天气）的应对工作。</w:t>
      </w:r>
    </w:p>
    <w:p>
      <w:pPr>
        <w:spacing w:line="600" w:lineRule="exact"/>
        <w:ind w:firstLine="640" w:firstLineChars="200"/>
        <w:rPr>
          <w:rFonts w:ascii="楷体_GB2312" w:hAnsi="楷体_GB2312" w:eastAsia="楷体_GB2312" w:cs="楷体_GB2312"/>
          <w:sz w:val="32"/>
          <w:szCs w:val="32"/>
        </w:rPr>
      </w:pPr>
      <w:bookmarkStart w:id="10" w:name="_Toc490837513"/>
      <w:bookmarkStart w:id="11" w:name="_Toc492562046"/>
      <w:r>
        <w:rPr>
          <w:rFonts w:hint="eastAsia" w:ascii="楷体_GB2312" w:hAnsi="楷体_GB2312" w:eastAsia="楷体_GB2312" w:cs="楷体_GB2312"/>
          <w:sz w:val="32"/>
          <w:szCs w:val="32"/>
        </w:rPr>
        <w:t>（四）预案体系</w:t>
      </w:r>
      <w:bookmarkEnd w:id="10"/>
      <w:bookmarkEnd w:id="1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本预案包括总则、预警预报、应急响应、组织机构及职责、保障措施、信息公开、应急培训、应急演练、应急宣传教育、责任追究、附则十一部分，明确了重污染天气预警和应急时各部门的职责、应急措施等。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全区重污染天气应急预案体系包括：本预案、各镇（街）重污染天气应急响应实施方案、有关部门重污染天气应急响应专项实施方案及列入限产、停产、错峰生产企业编制的重污染天气应急响应减排操作方案。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开发区管委会依据本预案及市级预案总体要求制定本辖区重污染天气应急响应实施方案，区有关部门制定本部门重污染天气应急响应专项实施方案，各生产企业编制本企业重污染天气应急响应减排操作方案。其中，应急响应实施方案重点在于措施落实，应明确接警、发布预警、启动响应等具体流程，以及辖区内各种污染源管控和应急减排措施；企业操作方案要符合相关减排管控要求，并将减排措施细化到具体的生产线、生产工艺。</w:t>
      </w:r>
    </w:p>
    <w:p>
      <w:pPr>
        <w:spacing w:line="600" w:lineRule="exact"/>
        <w:ind w:firstLine="640" w:firstLineChars="200"/>
        <w:rPr>
          <w:rFonts w:ascii="楷体_GB2312" w:hAnsi="楷体_GB2312" w:eastAsia="楷体_GB2312" w:cs="楷体_GB2312"/>
          <w:sz w:val="32"/>
          <w:szCs w:val="32"/>
        </w:rPr>
      </w:pPr>
      <w:bookmarkStart w:id="12" w:name="_Toc490837514"/>
      <w:bookmarkStart w:id="13" w:name="_Toc492562047"/>
      <w:r>
        <w:rPr>
          <w:rFonts w:hint="eastAsia" w:ascii="楷体_GB2312" w:hAnsi="楷体_GB2312" w:eastAsia="楷体_GB2312" w:cs="楷体_GB2312"/>
          <w:sz w:val="32"/>
          <w:szCs w:val="32"/>
        </w:rPr>
        <w:t>（五）工作原则</w:t>
      </w:r>
      <w:bookmarkEnd w:id="12"/>
      <w:bookmarkEnd w:id="1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以人为本，积极预防；统筹兼顾，区域联动；科学预警，及时响应；明确责任，强化落实；信息公开，社会参与。</w:t>
      </w:r>
    </w:p>
    <w:p>
      <w:pPr>
        <w:spacing w:line="600" w:lineRule="exact"/>
        <w:ind w:firstLine="640" w:firstLineChars="200"/>
        <w:rPr>
          <w:rFonts w:ascii="黑体" w:hAnsi="黑体" w:eastAsia="黑体" w:cs="黑体"/>
          <w:sz w:val="32"/>
          <w:szCs w:val="32"/>
        </w:rPr>
      </w:pPr>
      <w:bookmarkStart w:id="14" w:name="_Toc492562048"/>
      <w:bookmarkStart w:id="15" w:name="_Toc490837515"/>
      <w:r>
        <w:rPr>
          <w:rFonts w:hint="eastAsia" w:ascii="黑体" w:hAnsi="黑体" w:eastAsia="黑体" w:cs="黑体"/>
          <w:sz w:val="32"/>
          <w:szCs w:val="32"/>
        </w:rPr>
        <w:t>二、预警预报</w:t>
      </w:r>
      <w:bookmarkEnd w:id="14"/>
      <w:bookmarkEnd w:id="15"/>
    </w:p>
    <w:p>
      <w:pPr>
        <w:spacing w:line="600" w:lineRule="exact"/>
        <w:ind w:firstLine="640" w:firstLineChars="200"/>
        <w:rPr>
          <w:rFonts w:ascii="楷体_GB2312" w:hAnsi="楷体_GB2312" w:eastAsia="楷体_GB2312" w:cs="楷体_GB2312"/>
          <w:sz w:val="32"/>
          <w:szCs w:val="32"/>
        </w:rPr>
      </w:pPr>
      <w:bookmarkStart w:id="16" w:name="_Toc492562049"/>
      <w:bookmarkStart w:id="17" w:name="_Toc490837516"/>
      <w:r>
        <w:rPr>
          <w:rFonts w:hint="eastAsia" w:ascii="楷体_GB2312" w:hAnsi="楷体_GB2312" w:eastAsia="楷体_GB2312" w:cs="楷体_GB2312"/>
          <w:sz w:val="32"/>
          <w:szCs w:val="32"/>
        </w:rPr>
        <w:t>（一）预警分级</w:t>
      </w:r>
      <w:bookmarkEnd w:id="16"/>
      <w:bookmarkEnd w:id="1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重污染天气预警分级标准统一采用空气质量指数（</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）指标，</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日均值按连续</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小时（可以跨自然日）均值计算。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重污染天气预警级别从低到高分为黄色、橙色和红色预警三级。具体分级标准为：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黄色预警：预测</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日均值＞</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将持续</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小时）及以上，且短时出现重度污染、未达到高级别预警条件。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橙色预警：预测</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日均值＞</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将持续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小时）及以上，且未达到高级别预警条件。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红色预警：预测</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日均值＞</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将持续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小时）及以上，且预测</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日均值＞</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将持续</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小时）及以上；或预测</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日均值达到</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w:t>
      </w:r>
    </w:p>
    <w:p>
      <w:pPr>
        <w:spacing w:line="600" w:lineRule="exact"/>
        <w:ind w:firstLine="640" w:firstLineChars="200"/>
        <w:rPr>
          <w:rFonts w:ascii="楷体_GB2312" w:hAnsi="楷体_GB2312" w:eastAsia="楷体_GB2312" w:cs="楷体_GB2312"/>
          <w:sz w:val="32"/>
          <w:szCs w:val="32"/>
        </w:rPr>
      </w:pPr>
      <w:bookmarkStart w:id="18" w:name="_Toc490837517"/>
      <w:bookmarkStart w:id="19" w:name="_Toc492562050"/>
      <w:r>
        <w:rPr>
          <w:rFonts w:hint="eastAsia" w:ascii="楷体_GB2312" w:hAnsi="楷体_GB2312" w:eastAsia="楷体_GB2312" w:cs="楷体_GB2312"/>
          <w:sz w:val="32"/>
          <w:szCs w:val="32"/>
        </w:rPr>
        <w:t>（二）监测预报</w:t>
      </w:r>
      <w:bookmarkEnd w:id="18"/>
      <w:bookmarkEnd w:id="1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监测。环保、气象部门分别负责环境空气质量监测和气象状况观测，充分共享信息资源，借助省大气污染大数据平台做好数据收集处理、研判等工作，并及时报送有关信息，为预报、会商、预警提供决策依据。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预报。环保、气象部门根据环境空气质量和气象条件变化特征，结合大气污染源排放情况，对未来</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天城区环境空气质量进行预报，对未来</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天环境空气质量变化趋势进行预测。当预测</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日均值＞</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将持续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小时）以上但尚未达到启动预警标准时，应同时发布健康防护提示性信息。</w:t>
      </w:r>
    </w:p>
    <w:p>
      <w:pPr>
        <w:spacing w:line="600" w:lineRule="exact"/>
        <w:ind w:firstLine="640" w:firstLineChars="200"/>
        <w:rPr>
          <w:rFonts w:ascii="楷体_GB2312" w:hAnsi="楷体_GB2312" w:eastAsia="楷体_GB2312" w:cs="楷体_GB2312"/>
          <w:sz w:val="32"/>
          <w:szCs w:val="32"/>
        </w:rPr>
      </w:pPr>
      <w:bookmarkStart w:id="20" w:name="_Toc492562051"/>
      <w:r>
        <w:rPr>
          <w:rFonts w:hint="eastAsia" w:ascii="楷体_GB2312" w:hAnsi="楷体_GB2312" w:eastAsia="楷体_GB2312" w:cs="楷体_GB2312"/>
          <w:sz w:val="32"/>
          <w:szCs w:val="32"/>
        </w:rPr>
        <w:t>（三）预警发布</w:t>
      </w:r>
      <w:bookmarkEnd w:id="2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环境监测站和区广播影视台负责联合开展辖区内重污染天气预报预警工作。经预测，辖区内可能出现重污染天气时，区环保局、区气象局及时组织会商。预测未来将出现重污染天气并达到预警条件时，及时将预警信息报送区应急指挥部，由区应急指挥部统一确认发布预警信息并报省应急工作小组备案。区应急指挥部办公室会同区委宣传部负责通过新闻媒体和手机短信提前</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小时以上发布预警信息。当监测</w:t>
      </w:r>
      <w:r>
        <w:rPr>
          <w:rFonts w:ascii="仿宋_GB2312" w:hAnsi="仿宋_GB2312" w:eastAsia="仿宋_GB2312" w:cs="仿宋_GB2312"/>
          <w:sz w:val="32"/>
          <w:szCs w:val="32"/>
        </w:rPr>
        <w:t>AQI</w:t>
      </w:r>
      <w:r>
        <w:rPr>
          <w:rFonts w:hint="eastAsia" w:ascii="仿宋_GB2312" w:hAnsi="仿宋_GB2312" w:eastAsia="仿宋_GB2312" w:cs="仿宋_GB2312"/>
          <w:sz w:val="32"/>
          <w:szCs w:val="32"/>
        </w:rPr>
        <w:t>达到重度及以上污染级别，并预测未来</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小时内空气质量不会有明显改善时，应根据实际污染情况尽早启动相应级别的预警。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当应急指挥部办公室接到环境保护部和省应急工作小组办公室发布的区域应急联动预警信息后，应按照预警信息要求及时启动相应级别预警，开展区域应急联动。</w:t>
      </w:r>
    </w:p>
    <w:p>
      <w:pPr>
        <w:spacing w:line="600" w:lineRule="exact"/>
        <w:ind w:firstLine="640" w:firstLineChars="200"/>
        <w:rPr>
          <w:rFonts w:ascii="楷体_GB2312" w:hAnsi="楷体_GB2312" w:eastAsia="楷体_GB2312" w:cs="楷体_GB2312"/>
          <w:sz w:val="32"/>
          <w:szCs w:val="32"/>
        </w:rPr>
      </w:pPr>
      <w:bookmarkStart w:id="21" w:name="_Toc490837736"/>
      <w:bookmarkStart w:id="22" w:name="_Toc492562052"/>
      <w:r>
        <w:rPr>
          <w:rFonts w:hint="eastAsia" w:ascii="楷体_GB2312" w:hAnsi="楷体_GB2312" w:eastAsia="楷体_GB2312" w:cs="楷体_GB2312"/>
          <w:sz w:val="32"/>
          <w:szCs w:val="32"/>
        </w:rPr>
        <w:t>（四）预警解除</w:t>
      </w:r>
      <w:bookmarkEnd w:id="21"/>
      <w:r>
        <w:rPr>
          <w:rFonts w:hint="eastAsia" w:ascii="楷体_GB2312" w:hAnsi="楷体_GB2312" w:eastAsia="楷体_GB2312" w:cs="楷体_GB2312"/>
          <w:sz w:val="32"/>
          <w:szCs w:val="32"/>
        </w:rPr>
        <w:t>与调整</w:t>
      </w:r>
      <w:bookmarkEnd w:id="2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预警解除、预警等级的调整与预警发布的主体及程序保持一致。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预警解除。当预测或监测空气质量改善到轻度污染及以下级别，且预测将持续</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小时以上时，可以解除预警，并及时发布解除预警信息。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预警调整。当预测发生前后两次重污染过程，但间隔时间未达到解除预警条件时，应按一次重污染过程从严启动预警。当预测或监测空气质量达到更高级别预警条件时，应尽早采取升级措施。</w:t>
      </w:r>
    </w:p>
    <w:p>
      <w:pPr>
        <w:spacing w:line="600" w:lineRule="exact"/>
        <w:ind w:firstLine="640" w:firstLineChars="200"/>
        <w:rPr>
          <w:rFonts w:ascii="黑体" w:hAnsi="黑体" w:eastAsia="黑体" w:cs="黑体"/>
          <w:sz w:val="32"/>
          <w:szCs w:val="32"/>
        </w:rPr>
      </w:pPr>
      <w:bookmarkStart w:id="23" w:name="_Toc492562053"/>
      <w:bookmarkStart w:id="24" w:name="_Toc490837520"/>
      <w:r>
        <w:rPr>
          <w:rFonts w:hint="eastAsia" w:ascii="黑体" w:hAnsi="黑体" w:eastAsia="黑体" w:cs="黑体"/>
          <w:sz w:val="32"/>
          <w:szCs w:val="32"/>
        </w:rPr>
        <w:t>三、应急响应</w:t>
      </w:r>
      <w:bookmarkEnd w:id="23"/>
      <w:bookmarkEnd w:id="24"/>
    </w:p>
    <w:p>
      <w:pPr>
        <w:spacing w:line="600" w:lineRule="exact"/>
        <w:ind w:firstLine="640" w:firstLineChars="200"/>
        <w:rPr>
          <w:rFonts w:ascii="楷体_GB2312" w:hAnsi="楷体_GB2312" w:eastAsia="楷体_GB2312" w:cs="楷体_GB2312"/>
          <w:sz w:val="32"/>
          <w:szCs w:val="32"/>
        </w:rPr>
      </w:pPr>
      <w:bookmarkStart w:id="25" w:name="_Toc490837521"/>
      <w:bookmarkStart w:id="26" w:name="_Toc492562054"/>
      <w:r>
        <w:rPr>
          <w:rFonts w:hint="eastAsia" w:ascii="楷体_GB2312" w:hAnsi="楷体_GB2312" w:eastAsia="楷体_GB2312" w:cs="楷体_GB2312"/>
          <w:sz w:val="32"/>
          <w:szCs w:val="32"/>
        </w:rPr>
        <w:t>（一）应急响应分级</w:t>
      </w:r>
      <w:bookmarkEnd w:id="25"/>
      <w:bookmarkEnd w:id="2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对应预警等级，实行</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级响应。</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当发布黄色预警时，启动Ⅲ级响应。</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当发布橙色预警时，启动Ⅱ级响应。</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当发布红色预警时，启动</w:t>
      </w:r>
      <w:r>
        <w:rPr>
          <w:rFonts w:ascii="仿宋_GB2312" w:hAnsi="仿宋_GB2312" w:eastAsia="仿宋_GB2312" w:cs="仿宋_GB2312"/>
          <w:sz w:val="32"/>
          <w:szCs w:val="32"/>
        </w:rPr>
        <w:t>I</w:t>
      </w:r>
      <w:r>
        <w:rPr>
          <w:rFonts w:hint="eastAsia" w:ascii="仿宋_GB2312" w:hAnsi="仿宋_GB2312" w:eastAsia="仿宋_GB2312" w:cs="仿宋_GB2312"/>
          <w:sz w:val="32"/>
          <w:szCs w:val="32"/>
        </w:rPr>
        <w:t>级响应。</w:t>
      </w:r>
    </w:p>
    <w:p>
      <w:pPr>
        <w:spacing w:line="600" w:lineRule="exact"/>
        <w:ind w:firstLine="640" w:firstLineChars="200"/>
        <w:rPr>
          <w:rFonts w:ascii="楷体_GB2312" w:hAnsi="楷体_GB2312" w:eastAsia="楷体_GB2312" w:cs="楷体_GB2312"/>
          <w:sz w:val="32"/>
          <w:szCs w:val="32"/>
        </w:rPr>
      </w:pPr>
      <w:bookmarkStart w:id="27" w:name="_Toc490837522"/>
      <w:bookmarkStart w:id="28" w:name="_Toc492562055"/>
      <w:r>
        <w:rPr>
          <w:rFonts w:hint="eastAsia" w:ascii="楷体_GB2312" w:hAnsi="楷体_GB2312" w:eastAsia="楷体_GB2312" w:cs="楷体_GB2312"/>
          <w:sz w:val="32"/>
          <w:szCs w:val="32"/>
        </w:rPr>
        <w:t>（二）</w:t>
      </w:r>
      <w:bookmarkEnd w:id="27"/>
      <w:r>
        <w:rPr>
          <w:rFonts w:hint="eastAsia" w:ascii="楷体_GB2312" w:hAnsi="楷体_GB2312" w:eastAsia="楷体_GB2312" w:cs="楷体_GB2312"/>
          <w:sz w:val="32"/>
          <w:szCs w:val="32"/>
        </w:rPr>
        <w:t>应急响应启动</w:t>
      </w:r>
      <w:bookmarkEnd w:id="2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发布后立即启动应急响应，区应急指挥部成员单位、各镇街立即采取与预警级别对应的应急响应措施，按职责分工落实应急响应措施。区应急指挥部成员单位按照各自职责，联合开展针对工业废气排放、城区建筑扬尘、交通运输扬尘、重型载货车等工作的专项行动，严厉打击污染大气环境的各类违规违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启动Ⅰ级响应时配合市应急工作组办公室派出的现场执法组对应急措施落实情况进行督查。</w:t>
      </w:r>
    </w:p>
    <w:p>
      <w:pPr>
        <w:spacing w:line="600" w:lineRule="exact"/>
        <w:ind w:firstLine="640" w:firstLineChars="200"/>
        <w:rPr>
          <w:rFonts w:ascii="楷体_GB2312" w:hAnsi="楷体_GB2312" w:eastAsia="楷体_GB2312" w:cs="楷体_GB2312"/>
          <w:sz w:val="32"/>
          <w:szCs w:val="32"/>
        </w:rPr>
      </w:pPr>
      <w:bookmarkStart w:id="29" w:name="_Toc490837523"/>
      <w:bookmarkStart w:id="30" w:name="_Toc492562056"/>
      <w:r>
        <w:rPr>
          <w:rFonts w:hint="eastAsia" w:ascii="楷体_GB2312" w:hAnsi="楷体_GB2312" w:eastAsia="楷体_GB2312" w:cs="楷体_GB2312"/>
          <w:sz w:val="32"/>
          <w:szCs w:val="32"/>
        </w:rPr>
        <w:t>（三）应急响应措施</w:t>
      </w:r>
      <w:bookmarkEnd w:id="29"/>
      <w:bookmarkEnd w:id="30"/>
    </w:p>
    <w:p>
      <w:pPr>
        <w:spacing w:line="600" w:lineRule="exact"/>
        <w:ind w:firstLine="640" w:firstLineChars="200"/>
        <w:rPr>
          <w:rFonts w:ascii="楷体_GB2312" w:hAnsi="楷体_GB2312" w:eastAsia="楷体_GB2312" w:cs="楷体_GB2312"/>
          <w:sz w:val="32"/>
          <w:szCs w:val="32"/>
        </w:rPr>
      </w:pPr>
      <w:bookmarkStart w:id="31" w:name="_Toc492562011"/>
      <w:bookmarkStart w:id="32" w:name="_Toc490837742"/>
      <w:bookmarkStart w:id="33" w:name="_Toc492562057"/>
      <w:r>
        <w:rPr>
          <w:rFonts w:ascii="楷体_GB2312" w:hAnsi="楷体_GB2312" w:eastAsia="楷体_GB2312" w:cs="楷体_GB2312"/>
          <w:sz w:val="32"/>
          <w:szCs w:val="32"/>
        </w:rPr>
        <w:t>1.</w:t>
      </w:r>
      <w:r>
        <w:rPr>
          <w:rFonts w:hint="eastAsia" w:ascii="楷体_GB2312" w:hAnsi="楷体_GB2312" w:eastAsia="楷体_GB2312" w:cs="楷体_GB2312"/>
          <w:sz w:val="32"/>
          <w:szCs w:val="32"/>
        </w:rPr>
        <w:t>总体要求</w:t>
      </w:r>
      <w:bookmarkEnd w:id="31"/>
      <w:bookmarkEnd w:id="32"/>
      <w:bookmarkEnd w:id="3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按照市级预案总体要求，通过对工业源、移动源和扬尘源采取有效的应急减排措施，降低全区二氧化硫（</w:t>
      </w:r>
      <w:r>
        <w:rPr>
          <w:rFonts w:ascii="仿宋_GB2312" w:hAnsi="仿宋_GB2312" w:eastAsia="仿宋_GB2312" w:cs="仿宋_GB2312"/>
          <w:sz w:val="32"/>
          <w:szCs w:val="32"/>
        </w:rPr>
        <w:t>SO2</w:t>
      </w:r>
      <w:r>
        <w:rPr>
          <w:rFonts w:hint="eastAsia" w:ascii="仿宋_GB2312" w:hAnsi="仿宋_GB2312" w:eastAsia="仿宋_GB2312" w:cs="仿宋_GB2312"/>
          <w:sz w:val="32"/>
          <w:szCs w:val="32"/>
        </w:rPr>
        <w:t>）、氮氧化物（</w:t>
      </w:r>
      <w:r>
        <w:rPr>
          <w:rFonts w:ascii="仿宋_GB2312" w:hAnsi="仿宋_GB2312" w:eastAsia="仿宋_GB2312" w:cs="仿宋_GB2312"/>
          <w:sz w:val="32"/>
          <w:szCs w:val="32"/>
        </w:rPr>
        <w:t>NOx</w:t>
      </w:r>
      <w:r>
        <w:rPr>
          <w:rFonts w:hint="eastAsia" w:ascii="仿宋_GB2312" w:hAnsi="仿宋_GB2312" w:eastAsia="仿宋_GB2312" w:cs="仿宋_GB2312"/>
          <w:sz w:val="32"/>
          <w:szCs w:val="32"/>
        </w:rPr>
        <w:t>）、颗粒物（</w:t>
      </w:r>
      <w:r>
        <w:rPr>
          <w:rFonts w:ascii="仿宋_GB2312" w:hAnsi="仿宋_GB2312" w:eastAsia="仿宋_GB2312" w:cs="仿宋_GB2312"/>
          <w:sz w:val="32"/>
          <w:szCs w:val="32"/>
        </w:rPr>
        <w:t>PM</w:t>
      </w:r>
      <w:r>
        <w:rPr>
          <w:rFonts w:hint="eastAsia" w:ascii="仿宋_GB2312" w:hAnsi="仿宋_GB2312" w:eastAsia="仿宋_GB2312" w:cs="仿宋_GB2312"/>
          <w:sz w:val="32"/>
          <w:szCs w:val="32"/>
        </w:rPr>
        <w:t>）、挥发性有机物（</w:t>
      </w:r>
      <w:r>
        <w:rPr>
          <w:rFonts w:ascii="仿宋_GB2312" w:hAnsi="仿宋_GB2312" w:eastAsia="仿宋_GB2312" w:cs="仿宋_GB2312"/>
          <w:sz w:val="32"/>
          <w:szCs w:val="32"/>
        </w:rPr>
        <w:t>VOCs</w:t>
      </w:r>
      <w:r>
        <w:rPr>
          <w:rFonts w:hint="eastAsia" w:ascii="仿宋_GB2312" w:hAnsi="仿宋_GB2312" w:eastAsia="仿宋_GB2312" w:cs="仿宋_GB2312"/>
          <w:sz w:val="32"/>
          <w:szCs w:val="32"/>
        </w:rPr>
        <w:t>）排放量，达到降低一级污染程度的目标。本预案要求的停限产措施与其它规范性文件有差别时，应从严落实。</w:t>
      </w:r>
    </w:p>
    <w:p>
      <w:pPr>
        <w:spacing w:line="600" w:lineRule="exact"/>
        <w:ind w:firstLine="640" w:firstLineChars="200"/>
        <w:rPr>
          <w:rFonts w:ascii="楷体_GB2312" w:hAnsi="楷体_GB2312" w:eastAsia="楷体_GB2312" w:cs="楷体_GB2312"/>
          <w:sz w:val="32"/>
          <w:szCs w:val="32"/>
        </w:rPr>
      </w:pPr>
      <w:bookmarkStart w:id="34" w:name="_Toc492562012"/>
      <w:bookmarkStart w:id="35" w:name="_Toc492562058"/>
      <w:bookmarkStart w:id="36" w:name="_Toc490837743"/>
      <w:r>
        <w:rPr>
          <w:rFonts w:ascii="楷体_GB2312" w:hAnsi="楷体_GB2312" w:eastAsia="楷体_GB2312" w:cs="楷体_GB2312"/>
          <w:sz w:val="32"/>
          <w:szCs w:val="32"/>
        </w:rPr>
        <w:t>2.</w:t>
      </w:r>
      <w:r>
        <w:rPr>
          <w:rFonts w:hint="eastAsia" w:ascii="楷体_GB2312" w:hAnsi="楷体_GB2312" w:eastAsia="楷体_GB2312" w:cs="楷体_GB2312"/>
          <w:sz w:val="32"/>
          <w:szCs w:val="32"/>
        </w:rPr>
        <w:t>分级响应措施</w:t>
      </w:r>
      <w:bookmarkEnd w:id="34"/>
      <w:bookmarkEnd w:id="3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措施包括公众防护措施、倡议性污染减排措施和强制性污染减排措施。</w:t>
      </w:r>
    </w:p>
    <w:p>
      <w:pPr>
        <w:spacing w:line="600" w:lineRule="exact"/>
        <w:ind w:firstLine="643" w:firstLineChars="200"/>
        <w:rPr>
          <w:rFonts w:ascii="仿宋_GB2312" w:hAnsi="仿宋_GB2312" w:eastAsia="仿宋_GB2312" w:cs="仿宋_GB2312"/>
          <w:b/>
          <w:bCs/>
          <w:sz w:val="32"/>
          <w:szCs w:val="32"/>
        </w:rPr>
      </w:pPr>
      <w:bookmarkStart w:id="37" w:name="_Toc492562059"/>
      <w:bookmarkStart w:id="38" w:name="_Toc492562013"/>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bookmarkEnd w:id="36"/>
      <w:bookmarkEnd w:id="37"/>
      <w:bookmarkEnd w:id="38"/>
      <w:bookmarkStart w:id="39" w:name="_Toc492562060"/>
      <w:bookmarkStart w:id="40" w:name="_Toc490837744"/>
      <w:bookmarkStart w:id="41" w:name="_Toc492562014"/>
      <w:r>
        <w:rPr>
          <w:rFonts w:hint="eastAsia" w:ascii="仿宋_GB2312" w:hAnsi="仿宋_GB2312" w:eastAsia="仿宋_GB2312" w:cs="仿宋_GB2312"/>
          <w:b/>
          <w:bCs/>
          <w:sz w:val="32"/>
          <w:szCs w:val="32"/>
        </w:rPr>
        <w:t>Ⅲ级响应措施</w:t>
      </w:r>
      <w:bookmarkEnd w:id="39"/>
      <w:bookmarkEnd w:id="40"/>
      <w:bookmarkEnd w:id="4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①公众防护措施。区教育局组织中小学、幼儿园停止室外课程及活动。医疗卫生机构加强对呼吸类疾病患者的就医指导和诊疗保障。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②倡议性减排措施。倡导公众绿色消费，单位和公众尽量减少含挥发性有机物的涂料、油漆、溶剂等原材料及产品的使用。建议燃煤企业使用低硫煤。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③强制性减排措施。城区全社会二氧化硫（</w:t>
      </w:r>
      <w:r>
        <w:rPr>
          <w:rFonts w:ascii="仿宋_GB2312" w:hAnsi="仿宋_GB2312" w:eastAsia="仿宋_GB2312" w:cs="仿宋_GB2312"/>
          <w:sz w:val="32"/>
          <w:szCs w:val="32"/>
        </w:rPr>
        <w:t>SO2</w:t>
      </w:r>
      <w:r>
        <w:rPr>
          <w:rFonts w:hint="eastAsia" w:ascii="仿宋_GB2312" w:hAnsi="仿宋_GB2312" w:eastAsia="仿宋_GB2312" w:cs="仿宋_GB2312"/>
          <w:sz w:val="32"/>
          <w:szCs w:val="32"/>
        </w:rPr>
        <w:t>）、氮氧化物（</w:t>
      </w:r>
      <w:r>
        <w:rPr>
          <w:rFonts w:ascii="仿宋_GB2312" w:hAnsi="仿宋_GB2312" w:eastAsia="仿宋_GB2312" w:cs="仿宋_GB2312"/>
          <w:sz w:val="32"/>
          <w:szCs w:val="32"/>
        </w:rPr>
        <w:t>NOx</w:t>
      </w:r>
      <w:r>
        <w:rPr>
          <w:rFonts w:hint="eastAsia" w:ascii="仿宋_GB2312" w:hAnsi="仿宋_GB2312" w:eastAsia="仿宋_GB2312" w:cs="仿宋_GB2312"/>
          <w:sz w:val="32"/>
          <w:szCs w:val="32"/>
        </w:rPr>
        <w:t>）、颗粒物（</w:t>
      </w:r>
      <w:r>
        <w:rPr>
          <w:rFonts w:ascii="仿宋_GB2312" w:hAnsi="仿宋_GB2312" w:eastAsia="仿宋_GB2312" w:cs="仿宋_GB2312"/>
          <w:sz w:val="32"/>
          <w:szCs w:val="32"/>
        </w:rPr>
        <w:t>PM</w:t>
      </w:r>
      <w:r>
        <w:rPr>
          <w:rFonts w:hint="eastAsia" w:ascii="仿宋_GB2312" w:hAnsi="仿宋_GB2312" w:eastAsia="仿宋_GB2312" w:cs="仿宋_GB2312"/>
          <w:sz w:val="32"/>
          <w:szCs w:val="32"/>
        </w:rPr>
        <w:t>）、挥发性有机物（</w:t>
      </w:r>
      <w:r>
        <w:rPr>
          <w:rFonts w:ascii="仿宋_GB2312" w:hAnsi="仿宋_GB2312" w:eastAsia="仿宋_GB2312" w:cs="仿宋_GB2312"/>
          <w:sz w:val="32"/>
          <w:szCs w:val="32"/>
        </w:rPr>
        <w:t>VOCs</w:t>
      </w:r>
      <w:r>
        <w:rPr>
          <w:rFonts w:hint="eastAsia" w:ascii="仿宋_GB2312" w:hAnsi="仿宋_GB2312" w:eastAsia="仿宋_GB2312" w:cs="仿宋_GB2312"/>
          <w:sz w:val="32"/>
          <w:szCs w:val="32"/>
        </w:rPr>
        <w:t>）等主要污染物减排比例应达到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以上，可内部调整</w:t>
      </w:r>
      <w:r>
        <w:rPr>
          <w:rFonts w:ascii="仿宋_GB2312" w:hAnsi="仿宋_GB2312" w:eastAsia="仿宋_GB2312" w:cs="仿宋_GB2312"/>
          <w:sz w:val="32"/>
          <w:szCs w:val="32"/>
        </w:rPr>
        <w:t>SO2</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NOx</w:t>
      </w:r>
      <w:r>
        <w:rPr>
          <w:rFonts w:hint="eastAsia" w:ascii="仿宋_GB2312" w:hAnsi="仿宋_GB2312" w:eastAsia="仿宋_GB2312" w:cs="仿宋_GB2312"/>
          <w:sz w:val="32"/>
          <w:szCs w:val="32"/>
        </w:rPr>
        <w:t>的减排比例，但二者减排比例之和不应低于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并将污染物减排目标分解，分别落实到工业源、移动源和扬尘源减排措施项目清单中。按照“一厂一策”：完成超低排放的燃煤机组严格执行超低排放限值；水泥生产线、水泥粉磨站、砖瓦企业等行业严格执行区秋冬季大气污染综合治理相关文件要求和区经信、环保部门制定的错峰生产方案，</w:t>
      </w:r>
      <w:r>
        <w:rPr>
          <w:rFonts w:hint="eastAsia" w:ascii="仿宋_GB2312" w:hAnsi="仿宋_GB2312" w:eastAsia="仿宋_GB2312" w:cs="仿宋_GB2312"/>
          <w:color w:val="000000"/>
          <w:sz w:val="32"/>
          <w:szCs w:val="32"/>
        </w:rPr>
        <w:t>非错峰生产期间采取限产、停产措施；</w:t>
      </w:r>
      <w:r>
        <w:rPr>
          <w:rFonts w:hint="eastAsia" w:ascii="仿宋_GB2312" w:hAnsi="仿宋_GB2312" w:eastAsia="仿宋_GB2312" w:cs="仿宋_GB2312"/>
          <w:sz w:val="32"/>
          <w:szCs w:val="32"/>
        </w:rPr>
        <w:t>未完成超低排放的燃煤机组和燃煤锅炉、承担保民生任务的水泥生产线、钢铁、焦化、平板玻璃、橡胶、工业窑炉、化工、工业涂装等行业大气污染物排放单位采取限产、限排措施。在常规作业基础上，对城区主干道每日增加</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清扫保洁作业；严格施工工地、道路扬尘和堆场扬尘监督管理，停止土石方、室外喷涂、粉刷、切割、护坡喷浆作业等施工环节，停止堆场物料装卸。城区建成区内禁行渣土砂石运输车，停止低速载货汽车运输。火电、焦化等涉及大宗原材料及产品运输的企业，运输车辆对次减半。</w:t>
      </w:r>
    </w:p>
    <w:p>
      <w:pPr>
        <w:spacing w:line="600" w:lineRule="exact"/>
        <w:ind w:firstLine="643" w:firstLineChars="200"/>
        <w:rPr>
          <w:rFonts w:ascii="仿宋_GB2312" w:hAnsi="仿宋_GB2312" w:eastAsia="仿宋_GB2312" w:cs="仿宋_GB2312"/>
          <w:b/>
          <w:bCs/>
          <w:sz w:val="32"/>
          <w:szCs w:val="32"/>
        </w:rPr>
      </w:pPr>
      <w:bookmarkStart w:id="42" w:name="_Toc492562015"/>
      <w:bookmarkStart w:id="43" w:name="_Toc492562061"/>
      <w:bookmarkStart w:id="44" w:name="_Toc490837745"/>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）Ⅱ级响应措施</w:t>
      </w:r>
      <w:bookmarkEnd w:id="42"/>
      <w:bookmarkEnd w:id="43"/>
      <w:bookmarkEnd w:id="4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①公众防护措施。区教育局指导中小学、幼儿园可采取弹性教学，停止室外课程及活动。停止举办大型群众性户外活动。医疗卫生机构加强对呼吸类疾病患者的就医指导和诊疗保障。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倡议性减排措施。倡导公众绿色消费，单位和公众尽量减少含挥发性有机物的涂料、油漆、溶剂等原材料及产品的使用。建议燃煤企业使用低硫煤。倡导企事业单位可根据空气质量情况采取调休、错峰上下班、远程办公等弹性工作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③强制性减排措施。城区全社会二氧化硫（</w:t>
      </w:r>
      <w:r>
        <w:rPr>
          <w:rFonts w:ascii="仿宋_GB2312" w:hAnsi="仿宋_GB2312" w:eastAsia="仿宋_GB2312" w:cs="仿宋_GB2312"/>
          <w:sz w:val="32"/>
          <w:szCs w:val="32"/>
        </w:rPr>
        <w:t>SO2</w:t>
      </w:r>
      <w:r>
        <w:rPr>
          <w:rFonts w:hint="eastAsia" w:ascii="仿宋_GB2312" w:hAnsi="仿宋_GB2312" w:eastAsia="仿宋_GB2312" w:cs="仿宋_GB2312"/>
          <w:sz w:val="32"/>
          <w:szCs w:val="32"/>
        </w:rPr>
        <w:t>）、氮氧化物（</w:t>
      </w:r>
      <w:r>
        <w:rPr>
          <w:rFonts w:ascii="仿宋_GB2312" w:hAnsi="仿宋_GB2312" w:eastAsia="仿宋_GB2312" w:cs="仿宋_GB2312"/>
          <w:sz w:val="32"/>
          <w:szCs w:val="32"/>
        </w:rPr>
        <w:t>NOx</w:t>
      </w:r>
      <w:r>
        <w:rPr>
          <w:rFonts w:hint="eastAsia" w:ascii="仿宋_GB2312" w:hAnsi="仿宋_GB2312" w:eastAsia="仿宋_GB2312" w:cs="仿宋_GB2312"/>
          <w:sz w:val="32"/>
          <w:szCs w:val="32"/>
        </w:rPr>
        <w:t>）、颗粒物（</w:t>
      </w:r>
      <w:r>
        <w:rPr>
          <w:rFonts w:ascii="仿宋_GB2312" w:hAnsi="仿宋_GB2312" w:eastAsia="仿宋_GB2312" w:cs="仿宋_GB2312"/>
          <w:sz w:val="32"/>
          <w:szCs w:val="32"/>
        </w:rPr>
        <w:t>PM</w:t>
      </w:r>
      <w:r>
        <w:rPr>
          <w:rFonts w:hint="eastAsia" w:ascii="仿宋_GB2312" w:hAnsi="仿宋_GB2312" w:eastAsia="仿宋_GB2312" w:cs="仿宋_GB2312"/>
          <w:sz w:val="32"/>
          <w:szCs w:val="32"/>
        </w:rPr>
        <w:t>）等主要污染物减排比例应达到</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以上，挥发性有机物（</w:t>
      </w:r>
      <w:r>
        <w:rPr>
          <w:rFonts w:ascii="仿宋_GB2312" w:hAnsi="仿宋_GB2312" w:eastAsia="仿宋_GB2312" w:cs="仿宋_GB2312"/>
          <w:sz w:val="32"/>
          <w:szCs w:val="32"/>
        </w:rPr>
        <w:t>VOCs</w:t>
      </w:r>
      <w:r>
        <w:rPr>
          <w:rFonts w:hint="eastAsia" w:ascii="仿宋_GB2312" w:hAnsi="仿宋_GB2312" w:eastAsia="仿宋_GB2312" w:cs="仿宋_GB2312"/>
          <w:sz w:val="32"/>
          <w:szCs w:val="32"/>
        </w:rPr>
        <w:t>）减排比例应达到</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以上，可内部调整</w:t>
      </w:r>
      <w:r>
        <w:rPr>
          <w:rFonts w:ascii="仿宋_GB2312" w:hAnsi="仿宋_GB2312" w:eastAsia="仿宋_GB2312" w:cs="仿宋_GB2312"/>
          <w:sz w:val="32"/>
          <w:szCs w:val="32"/>
        </w:rPr>
        <w:t>SO2</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NOx</w:t>
      </w:r>
      <w:r>
        <w:rPr>
          <w:rFonts w:hint="eastAsia" w:ascii="仿宋_GB2312" w:hAnsi="仿宋_GB2312" w:eastAsia="仿宋_GB2312" w:cs="仿宋_GB2312"/>
          <w:sz w:val="32"/>
          <w:szCs w:val="32"/>
        </w:rPr>
        <w:t>的减排比例，但二者减排比例之和不应低于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并将污染物减排目标分解，分别落实到工业源、移动源和扬尘源减排措施项目清单中。按照“一厂一策”：完成超低排放的燃煤机组严格执行超低排放限值；水泥生产线、水泥粉磨站、砖瓦企业等行业严格执行区秋冬季大气污染综合治理相关文件要求和区经信、环保部门制定的错峰生产方案，</w:t>
      </w:r>
      <w:r>
        <w:rPr>
          <w:rFonts w:hint="eastAsia" w:ascii="仿宋_GB2312" w:hAnsi="仿宋_GB2312" w:eastAsia="仿宋_GB2312" w:cs="仿宋_GB2312"/>
          <w:color w:val="000000"/>
          <w:sz w:val="32"/>
          <w:szCs w:val="32"/>
        </w:rPr>
        <w:t>非错峰生产期间采取限产、停产措施；</w:t>
      </w:r>
      <w:r>
        <w:rPr>
          <w:rFonts w:hint="eastAsia" w:ascii="仿宋_GB2312" w:hAnsi="仿宋_GB2312" w:eastAsia="仿宋_GB2312" w:cs="仿宋_GB2312"/>
          <w:sz w:val="32"/>
          <w:szCs w:val="32"/>
        </w:rPr>
        <w:t>未完成超低排放的燃煤机组和燃煤锅炉、承担保民生任务的水泥生产线、钢铁、焦化、平板玻璃、橡胶、工业窑炉、化工、工业涂装等行业大气污染物排放单位采取限产、限排措施。在常规作业基础上，对城区主干道每日增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清扫保洁作业。严格堆场扬尘监督管理，停止堆场物料装卸。城区建成区内，以柴油为燃料的重型货车以及非道路工程机械（含挖掘机、装载机、平地机、铺路机、压路机、叉车等）等停止使用。除应急抢险外停止所有施工工地或者建筑工地作业（塔吊和地下施工等不宜采取停工措施的除外）。钢铁、建材、焦化、有色、化工、矿山等涉及大宗原材料及产品运输的企业以及港口码头停止重型柴油货车运输（新能源汽车、达到国五及以上排放标准的车辆除外）。</w:t>
      </w:r>
    </w:p>
    <w:p>
      <w:pPr>
        <w:spacing w:line="600" w:lineRule="exact"/>
        <w:ind w:firstLine="643" w:firstLineChars="200"/>
        <w:rPr>
          <w:rFonts w:ascii="仿宋_GB2312" w:hAnsi="仿宋_GB2312" w:eastAsia="仿宋_GB2312" w:cs="仿宋_GB2312"/>
          <w:b/>
          <w:bCs/>
          <w:sz w:val="32"/>
          <w:szCs w:val="32"/>
        </w:rPr>
      </w:pPr>
      <w:bookmarkStart w:id="45" w:name="_Toc492562062"/>
      <w:bookmarkStart w:id="46" w:name="_Toc492562016"/>
      <w:bookmarkStart w:id="47" w:name="_Toc490837746"/>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）Ⅰ级响应措施</w:t>
      </w:r>
      <w:bookmarkEnd w:id="45"/>
      <w:bookmarkEnd w:id="46"/>
      <w:bookmarkEnd w:id="4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众防护措施。区教育局指导中小学、幼儿园可采取弹性教学，停止室外课程及活动，有条件的学校可采取停课措施。停止举办大型群众性户外活动。医疗卫生机构加强对呼吸类疾病患者的就医指导和诊疗保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倡议性减排措施。倡导公众绿色消费，单位和公众尽量减少含挥发性有机物的涂料、油漆、溶剂等原材料及产品的使用。建议燃煤企业使用低硫煤。倡导企事业单位可根据空气质量情况采取调休、错峰上下班、远程办公等弹性工作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③强制性减排措施。城区全社会二氧化硫（</w:t>
      </w:r>
      <w:r>
        <w:rPr>
          <w:rFonts w:ascii="仿宋_GB2312" w:hAnsi="仿宋_GB2312" w:eastAsia="仿宋_GB2312" w:cs="仿宋_GB2312"/>
          <w:sz w:val="32"/>
          <w:szCs w:val="32"/>
        </w:rPr>
        <w:t>SO2</w:t>
      </w:r>
      <w:r>
        <w:rPr>
          <w:rFonts w:hint="eastAsia" w:ascii="仿宋_GB2312" w:hAnsi="仿宋_GB2312" w:eastAsia="仿宋_GB2312" w:cs="仿宋_GB2312"/>
          <w:sz w:val="32"/>
          <w:szCs w:val="32"/>
        </w:rPr>
        <w:t>）、氮氧化物（</w:t>
      </w:r>
      <w:r>
        <w:rPr>
          <w:rFonts w:ascii="仿宋_GB2312" w:hAnsi="仿宋_GB2312" w:eastAsia="仿宋_GB2312" w:cs="仿宋_GB2312"/>
          <w:sz w:val="32"/>
          <w:szCs w:val="32"/>
        </w:rPr>
        <w:t>NOx</w:t>
      </w:r>
      <w:r>
        <w:rPr>
          <w:rFonts w:hint="eastAsia" w:ascii="仿宋_GB2312" w:hAnsi="仿宋_GB2312" w:eastAsia="仿宋_GB2312" w:cs="仿宋_GB2312"/>
          <w:sz w:val="32"/>
          <w:szCs w:val="32"/>
        </w:rPr>
        <w:t>）、颗粒物（</w:t>
      </w:r>
      <w:r>
        <w:rPr>
          <w:rFonts w:ascii="仿宋_GB2312" w:hAnsi="仿宋_GB2312" w:eastAsia="仿宋_GB2312" w:cs="仿宋_GB2312"/>
          <w:sz w:val="32"/>
          <w:szCs w:val="32"/>
        </w:rPr>
        <w:t>PM</w:t>
      </w:r>
      <w:r>
        <w:rPr>
          <w:rFonts w:hint="eastAsia" w:ascii="仿宋_GB2312" w:hAnsi="仿宋_GB2312" w:eastAsia="仿宋_GB2312" w:cs="仿宋_GB2312"/>
          <w:sz w:val="32"/>
          <w:szCs w:val="32"/>
        </w:rPr>
        <w:t>）等主要污染物减排比例应达到</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以上，挥发性有机物（</w:t>
      </w:r>
      <w:r>
        <w:rPr>
          <w:rFonts w:ascii="仿宋_GB2312" w:hAnsi="仿宋_GB2312" w:eastAsia="仿宋_GB2312" w:cs="仿宋_GB2312"/>
          <w:sz w:val="32"/>
          <w:szCs w:val="32"/>
        </w:rPr>
        <w:t>VOCs</w:t>
      </w:r>
      <w:r>
        <w:rPr>
          <w:rFonts w:hint="eastAsia" w:ascii="仿宋_GB2312" w:hAnsi="仿宋_GB2312" w:eastAsia="仿宋_GB2312" w:cs="仿宋_GB2312"/>
          <w:sz w:val="32"/>
          <w:szCs w:val="32"/>
        </w:rPr>
        <w:t>）减排比例应达到</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以上，可内部调整</w:t>
      </w:r>
      <w:r>
        <w:rPr>
          <w:rFonts w:ascii="仿宋_GB2312" w:hAnsi="仿宋_GB2312" w:eastAsia="仿宋_GB2312" w:cs="仿宋_GB2312"/>
          <w:sz w:val="32"/>
          <w:szCs w:val="32"/>
        </w:rPr>
        <w:t>SO2</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NOx</w:t>
      </w:r>
      <w:r>
        <w:rPr>
          <w:rFonts w:hint="eastAsia" w:ascii="仿宋_GB2312" w:hAnsi="仿宋_GB2312" w:eastAsia="仿宋_GB2312" w:cs="仿宋_GB2312"/>
          <w:sz w:val="32"/>
          <w:szCs w:val="32"/>
        </w:rPr>
        <w:t>的减排比例，但二者减排比例之和不应低于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。并将污染物减排目标分解，分别落实到工业源、移动源和扬尘源减排措施项目清单中。</w:t>
      </w:r>
      <w:bookmarkStart w:id="48" w:name="_Toc490837524"/>
      <w:bookmarkStart w:id="49" w:name="_Toc492562063"/>
      <w:r>
        <w:rPr>
          <w:rFonts w:hint="eastAsia" w:ascii="仿宋_GB2312" w:hAnsi="仿宋_GB2312" w:eastAsia="仿宋_GB2312" w:cs="仿宋_GB2312"/>
          <w:sz w:val="32"/>
          <w:szCs w:val="32"/>
        </w:rPr>
        <w:t>按照“一厂一策”：完成超低排放的燃煤机组严格执行超低排放限值；水泥生产线、水泥粉磨站、砖瓦企业等行业严格执行区秋冬季大气污染综合治理相关文件要求和区经信、环保部门制定的错峰生产方案，</w:t>
      </w:r>
      <w:r>
        <w:rPr>
          <w:rFonts w:hint="eastAsia" w:ascii="仿宋_GB2312" w:hAnsi="仿宋_GB2312" w:eastAsia="仿宋_GB2312" w:cs="仿宋_GB2312"/>
          <w:color w:val="000000"/>
          <w:sz w:val="32"/>
          <w:szCs w:val="32"/>
        </w:rPr>
        <w:t>非错峰生产期间采取限产、停产措施；</w:t>
      </w:r>
      <w:r>
        <w:rPr>
          <w:rFonts w:hint="eastAsia" w:ascii="仿宋_GB2312" w:hAnsi="仿宋_GB2312" w:eastAsia="仿宋_GB2312" w:cs="仿宋_GB2312"/>
          <w:sz w:val="32"/>
          <w:szCs w:val="32"/>
        </w:rPr>
        <w:t>未完成超低排放的燃煤机组和燃煤锅炉、承担保民生任务的水泥生产线、钢铁、焦化、平板玻璃、橡胶、工业窑炉、化工、工业涂装等行业大气污染物排放单位采取限产、限排措施。在常规作业基础上，对城区主干道每日增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清扫保洁作业。严格堆场扬尘监督管理，停止堆场物料装卸。城区建成区内，以柴油为燃料的重型货车以及非道路工程机械（含挖掘机、装载机、平地机、铺路机、压路机、叉车等）等停止使用。除应急抢险外停止所有施工工地或者建筑工地作业（塔吊和地下施工等不宜采取停工措施的除外）。钢铁、建材、焦化、有色、化工、矿山等涉及大宗原材料及产品运输的企业以及港口码头停止重型柴油货车运输（新能源汽车、达到国五及以上排放标准的车辆除外）。</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（四）应急响应终止</w:t>
      </w:r>
      <w:bookmarkEnd w:id="48"/>
      <w:bookmarkEnd w:id="4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预警解除后，自然终止应急响应。</w:t>
      </w:r>
    </w:p>
    <w:p>
      <w:pPr>
        <w:spacing w:line="600" w:lineRule="exact"/>
        <w:ind w:firstLine="640" w:firstLineChars="200"/>
        <w:rPr>
          <w:rFonts w:ascii="楷体_GB2312" w:hAnsi="楷体_GB2312" w:eastAsia="楷体_GB2312" w:cs="楷体_GB2312"/>
          <w:sz w:val="32"/>
          <w:szCs w:val="32"/>
        </w:rPr>
      </w:pPr>
      <w:bookmarkStart w:id="50" w:name="_Toc490837525"/>
      <w:bookmarkStart w:id="51" w:name="_Toc492562064"/>
      <w:r>
        <w:rPr>
          <w:rFonts w:hint="eastAsia" w:ascii="楷体_GB2312" w:hAnsi="楷体_GB2312" w:eastAsia="楷体_GB2312" w:cs="楷体_GB2312"/>
          <w:sz w:val="32"/>
          <w:szCs w:val="32"/>
        </w:rPr>
        <w:t>（五）总结评估</w:t>
      </w:r>
      <w:bookmarkEnd w:id="50"/>
      <w:bookmarkEnd w:id="5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区应急指挥部成员单位、各镇街负责组织对每次重污染天气应急情况进行总结、评估。应急响应终止</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将应急响应情况报送区应急指挥部；评估报告应包括重污染天气应急响应采取的措施、取得的成效、发现的问题以及改进措施与建议等。应急指挥部根据评估结果，及时完善重污染天气应急工作机制，强化监督管理措施，保证各项应急措施落实到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各镇街、开发区管委会和指挥部办公室于每年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月底前组织有关部门和专家开展前</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的重污染天气应急评估工作，重点评估应急预案实施情况、应急措施环境效益、社会效益以及经济成本，以及预案内容的完整性、预警规定的详实性、响应措施的针对性和可操作性、专项实施方案的完备性，评估结果应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日前函告指挥部。</w:t>
      </w:r>
    </w:p>
    <w:p>
      <w:pPr>
        <w:spacing w:line="600" w:lineRule="exact"/>
        <w:ind w:firstLine="640" w:firstLineChars="200"/>
        <w:rPr>
          <w:rFonts w:ascii="黑体" w:hAnsi="黑体" w:eastAsia="黑体" w:cs="黑体"/>
          <w:sz w:val="32"/>
          <w:szCs w:val="32"/>
        </w:rPr>
      </w:pPr>
      <w:bookmarkStart w:id="52" w:name="_Toc490837526"/>
      <w:bookmarkStart w:id="53" w:name="_Toc492562065"/>
      <w:r>
        <w:rPr>
          <w:rFonts w:hint="eastAsia" w:ascii="黑体" w:hAnsi="黑体" w:eastAsia="黑体" w:cs="黑体"/>
          <w:sz w:val="32"/>
          <w:szCs w:val="32"/>
        </w:rPr>
        <w:t>四、组织</w:t>
      </w:r>
      <w:bookmarkEnd w:id="52"/>
      <w:r>
        <w:rPr>
          <w:rFonts w:hint="eastAsia" w:ascii="黑体" w:hAnsi="黑体" w:eastAsia="黑体" w:cs="黑体"/>
          <w:sz w:val="32"/>
          <w:szCs w:val="32"/>
        </w:rPr>
        <w:t>机构及职责</w:t>
      </w:r>
      <w:bookmarkEnd w:id="53"/>
    </w:p>
    <w:p>
      <w:pPr>
        <w:spacing w:line="600" w:lineRule="exact"/>
        <w:ind w:firstLine="640" w:firstLineChars="200"/>
        <w:rPr>
          <w:rFonts w:ascii="楷体_GB2312" w:hAnsi="楷体_GB2312" w:eastAsia="楷体_GB2312" w:cs="楷体_GB2312"/>
          <w:sz w:val="32"/>
          <w:szCs w:val="32"/>
        </w:rPr>
      </w:pPr>
      <w:bookmarkStart w:id="54" w:name="_Toc492562066"/>
      <w:bookmarkStart w:id="55" w:name="_Toc490837527"/>
      <w:r>
        <w:rPr>
          <w:rFonts w:hint="eastAsia" w:ascii="楷体_GB2312" w:hAnsi="楷体_GB2312" w:eastAsia="楷体_GB2312" w:cs="楷体_GB2312"/>
          <w:sz w:val="32"/>
          <w:szCs w:val="32"/>
        </w:rPr>
        <w:t>（一）组织机构</w:t>
      </w:r>
      <w:bookmarkEnd w:id="54"/>
      <w:bookmarkEnd w:id="5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区政府设立区重污染天气应急指挥部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以下简称应急指挥部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急指挥部指挥由区长担任，副组长由区政府分管环保工作的副区长担任，成员由区委宣传部、区发改局、区经信局、区教育局、区公安分局、区住建局、区交运局、区卫计局、区环保局、区气象局、区煤炭局、区城管局、区文广新局、区供电部、区联通公司、区移动通信公司、区电信公司等有关部门和各镇街负责同志组成。应急指挥部下设办公室、预报预警组、应急处置组、信息公开和宣传组、专家咨询组、督导考核组。办公室设在区环保局，区环保局局长兼任办公室主任。各镇街、开发区管委会要成立本辖区应急指挥部。</w:t>
      </w:r>
    </w:p>
    <w:p>
      <w:pPr>
        <w:spacing w:line="600" w:lineRule="exact"/>
        <w:ind w:firstLine="640" w:firstLineChars="200"/>
        <w:rPr>
          <w:rFonts w:ascii="楷体_GB2312" w:hAnsi="楷体_GB2312" w:eastAsia="楷体_GB2312" w:cs="楷体_GB2312"/>
          <w:sz w:val="32"/>
          <w:szCs w:val="32"/>
        </w:rPr>
      </w:pPr>
      <w:bookmarkStart w:id="56" w:name="_Toc492562067"/>
      <w:bookmarkStart w:id="57" w:name="_Toc490837528"/>
      <w:r>
        <w:rPr>
          <w:rFonts w:hint="eastAsia" w:ascii="楷体_GB2312" w:hAnsi="楷体_GB2312" w:eastAsia="楷体_GB2312" w:cs="楷体_GB2312"/>
          <w:sz w:val="32"/>
          <w:szCs w:val="32"/>
        </w:rPr>
        <w:t>（二）机构职责</w:t>
      </w:r>
      <w:bookmarkEnd w:id="56"/>
      <w:bookmarkEnd w:id="5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指挥部承担全区重污染天气应急领导工作和市应急工作小组交办的其他工作。制定和完善区级重污染天气应急预案，负责预警的发布与解除、应急响应的启动和终止等重污染天气应急相关工作，负责全区重污染天气检查评估及责任追究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室负责组织落实区应急指挥部决定；制定和完善区级重污染天气应急预案，负责区级预警信息的发布与解除、应急响应的启动和终止、信息公开落实等工作；协调和督导各成员单位开展重污染天气应急管理工作；组织区预报预警组、专家咨询组对重污染天气研判；组织各成员单位对重污染天气应对工作进行分析、总结；承担区应急工作小组交办的其他工作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预报预警组由区环保局、区气象局组成，负责根据空气质量和气象观测数据，对全区大气环境质量进行监测预报，确定重污染天气的预报预警信息，并及时上报区应急指挥部。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处置组由区环保局、区发改局、区经信局、区公安分局、区住建局、区城管局、区交运局、区供电部组成，负责按照职责分工启动和落实应急处置工作，并对各镇街、开发区管委会应急预案的启动和落实情况进行督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信息公开和宣传组由区委宣传部、区环保局、区气象局、区文广新局、联通公司、移动公司、电信公司组成，负责重污染天气发生时的信息发布、新闻宣传和舆情引导。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专家咨询组由区环保局、区气象局聘请相关专家组建，负责重污染天气发生时提供技术支持和对策建议。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督导考核组由各成员单位相关负责人组成，负责对各镇街及成员单位重污染天气应急职责落实情况进行监督考核，及时反馈有关情况，并对履职不到位的提出问责处理意见。</w:t>
      </w:r>
    </w:p>
    <w:p>
      <w:pPr>
        <w:spacing w:line="600" w:lineRule="exact"/>
        <w:ind w:firstLine="640" w:firstLineChars="200"/>
        <w:rPr>
          <w:rFonts w:ascii="黑体" w:hAnsi="黑体" w:eastAsia="黑体" w:cs="黑体"/>
          <w:sz w:val="32"/>
          <w:szCs w:val="32"/>
        </w:rPr>
      </w:pPr>
      <w:bookmarkStart w:id="58" w:name="_Toc490837529"/>
      <w:bookmarkStart w:id="59" w:name="_Toc492562068"/>
      <w:r>
        <w:rPr>
          <w:rFonts w:hint="eastAsia" w:ascii="黑体" w:hAnsi="黑体" w:eastAsia="黑体" w:cs="黑体"/>
          <w:sz w:val="32"/>
          <w:szCs w:val="32"/>
        </w:rPr>
        <w:t>五、保障措施</w:t>
      </w:r>
      <w:bookmarkEnd w:id="58"/>
      <w:bookmarkEnd w:id="59"/>
    </w:p>
    <w:p>
      <w:pPr>
        <w:spacing w:line="600" w:lineRule="exact"/>
        <w:ind w:firstLine="640" w:firstLineChars="200"/>
        <w:rPr>
          <w:rFonts w:ascii="楷体_GB2312" w:hAnsi="楷体_GB2312" w:eastAsia="楷体_GB2312" w:cs="楷体_GB2312"/>
          <w:sz w:val="32"/>
          <w:szCs w:val="32"/>
        </w:rPr>
      </w:pPr>
      <w:bookmarkStart w:id="60" w:name="_Toc490837530"/>
      <w:bookmarkStart w:id="61" w:name="_Toc492562069"/>
      <w:r>
        <w:rPr>
          <w:rFonts w:hint="eastAsia" w:ascii="楷体_GB2312" w:hAnsi="楷体_GB2312" w:eastAsia="楷体_GB2312" w:cs="楷体_GB2312"/>
          <w:sz w:val="32"/>
          <w:szCs w:val="32"/>
        </w:rPr>
        <w:t>（一）经费保障</w:t>
      </w:r>
      <w:bookmarkEnd w:id="60"/>
      <w:bookmarkEnd w:id="6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各镇街应加大重污染天气应对资金投入力度，将执行本预案所需资金在本级财政中足额安排。</w:t>
      </w:r>
    </w:p>
    <w:p>
      <w:pPr>
        <w:spacing w:line="600" w:lineRule="exact"/>
        <w:ind w:firstLine="640" w:firstLineChars="200"/>
        <w:rPr>
          <w:rFonts w:ascii="楷体_GB2312" w:hAnsi="楷体_GB2312" w:eastAsia="楷体_GB2312" w:cs="楷体_GB2312"/>
          <w:sz w:val="32"/>
          <w:szCs w:val="32"/>
        </w:rPr>
      </w:pPr>
      <w:bookmarkStart w:id="62" w:name="_Toc490837533"/>
      <w:bookmarkStart w:id="63" w:name="_Toc492562070"/>
      <w:bookmarkStart w:id="64" w:name="_Toc490837532"/>
      <w:r>
        <w:rPr>
          <w:rFonts w:hint="eastAsia" w:ascii="楷体_GB2312" w:hAnsi="楷体_GB2312" w:eastAsia="楷体_GB2312" w:cs="楷体_GB2312"/>
          <w:sz w:val="32"/>
          <w:szCs w:val="32"/>
        </w:rPr>
        <w:t>（二）物资保障</w:t>
      </w:r>
      <w:bookmarkEnd w:id="62"/>
      <w:bookmarkEnd w:id="6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指挥部要制定应急期间应急仪器、车辆、人员防护装备调配计划，明确各项应急物资的储备维护主体、种类与数量。各有关部门应根据各自职能分工，配备种类齐全、数量充足的应急仪器、车辆和防护器材等硬件装备，做好日常管理和维护保养，确保重污染天气应对工作顺利开展。</w:t>
      </w:r>
    </w:p>
    <w:p>
      <w:pPr>
        <w:spacing w:line="600" w:lineRule="exact"/>
        <w:ind w:firstLine="640" w:firstLineChars="200"/>
        <w:rPr>
          <w:rFonts w:ascii="楷体_GB2312" w:hAnsi="楷体_GB2312" w:eastAsia="楷体_GB2312" w:cs="楷体_GB2312"/>
          <w:sz w:val="32"/>
          <w:szCs w:val="32"/>
        </w:rPr>
      </w:pPr>
      <w:bookmarkStart w:id="65" w:name="_Toc492562071"/>
      <w:r>
        <w:rPr>
          <w:rFonts w:hint="eastAsia" w:ascii="楷体_GB2312" w:hAnsi="楷体_GB2312" w:eastAsia="楷体_GB2312" w:cs="楷体_GB2312"/>
          <w:sz w:val="32"/>
          <w:szCs w:val="32"/>
        </w:rPr>
        <w:t>（三）预报能力保障</w:t>
      </w:r>
      <w:bookmarkEnd w:id="64"/>
      <w:bookmarkEnd w:id="6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加强环境空气质量预报预警能力建设，完善环境空气质量模拟、预报预警模型等软硬件设施，配备一定比例的专职预报员，建设具备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天精细化预报和</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天潜势预报能力平台，强化与市级预报预警平台信息共享和交流合作。</w:t>
      </w:r>
    </w:p>
    <w:p>
      <w:pPr>
        <w:spacing w:line="600" w:lineRule="exact"/>
        <w:ind w:firstLine="640" w:firstLineChars="200"/>
        <w:rPr>
          <w:rFonts w:ascii="楷体_GB2312" w:hAnsi="楷体_GB2312" w:eastAsia="楷体_GB2312" w:cs="楷体_GB2312"/>
          <w:sz w:val="32"/>
          <w:szCs w:val="32"/>
        </w:rPr>
      </w:pPr>
      <w:bookmarkStart w:id="66" w:name="_Toc492562072"/>
      <w:bookmarkStart w:id="67" w:name="_Toc490837534"/>
      <w:r>
        <w:rPr>
          <w:rFonts w:hint="eastAsia" w:ascii="楷体_GB2312" w:hAnsi="楷体_GB2312" w:eastAsia="楷体_GB2312" w:cs="楷体_GB2312"/>
          <w:sz w:val="32"/>
          <w:szCs w:val="32"/>
        </w:rPr>
        <w:t>（四）通信与信息保障</w:t>
      </w:r>
      <w:bookmarkEnd w:id="66"/>
      <w:bookmarkEnd w:id="6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各镇街及有关部门应建立重污染天气应急值守制度，健全通信和信息保障机制，明确重污染天气应急负责人和联络员，并保持</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小时通信畅通，保证应急信息和指令的及时有效传达。</w:t>
      </w:r>
    </w:p>
    <w:p>
      <w:pPr>
        <w:spacing w:line="600" w:lineRule="exact"/>
        <w:ind w:firstLine="640" w:firstLineChars="200"/>
        <w:rPr>
          <w:rFonts w:ascii="黑体" w:hAnsi="黑体" w:eastAsia="黑体" w:cs="黑体"/>
          <w:sz w:val="32"/>
          <w:szCs w:val="32"/>
        </w:rPr>
      </w:pPr>
      <w:bookmarkStart w:id="68" w:name="_Toc492562073"/>
      <w:bookmarkStart w:id="69" w:name="_Toc490837535"/>
      <w:r>
        <w:rPr>
          <w:rFonts w:hint="eastAsia" w:ascii="黑体" w:hAnsi="黑体" w:eastAsia="黑体" w:cs="黑体"/>
          <w:sz w:val="32"/>
          <w:szCs w:val="32"/>
        </w:rPr>
        <w:t>六、信息公开</w:t>
      </w:r>
      <w:bookmarkEnd w:id="68"/>
      <w:bookmarkEnd w:id="69"/>
    </w:p>
    <w:p>
      <w:pPr>
        <w:spacing w:line="600" w:lineRule="exact"/>
        <w:ind w:firstLine="640" w:firstLineChars="200"/>
        <w:rPr>
          <w:rFonts w:ascii="楷体_GB2312" w:hAnsi="楷体_GB2312" w:eastAsia="楷体_GB2312" w:cs="楷体_GB2312"/>
          <w:sz w:val="32"/>
          <w:szCs w:val="32"/>
        </w:rPr>
      </w:pPr>
      <w:bookmarkStart w:id="70" w:name="_Toc492562074"/>
      <w:r>
        <w:rPr>
          <w:rFonts w:hint="eastAsia" w:ascii="楷体_GB2312" w:hAnsi="楷体_GB2312" w:eastAsia="楷体_GB2312" w:cs="楷体_GB2312"/>
          <w:sz w:val="32"/>
          <w:szCs w:val="32"/>
        </w:rPr>
        <w:t>（一）应急预案发布</w:t>
      </w:r>
      <w:bookmarkEnd w:id="7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应急预案进行修订或预案清单进行调整的，在每年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月底之前发布。</w:t>
      </w:r>
    </w:p>
    <w:p>
      <w:pPr>
        <w:spacing w:line="600" w:lineRule="exact"/>
        <w:ind w:firstLine="640" w:firstLineChars="200"/>
        <w:rPr>
          <w:rFonts w:ascii="楷体_GB2312" w:hAnsi="楷体_GB2312" w:eastAsia="楷体_GB2312" w:cs="楷体_GB2312"/>
          <w:sz w:val="32"/>
          <w:szCs w:val="32"/>
        </w:rPr>
      </w:pPr>
      <w:bookmarkStart w:id="71" w:name="_Toc492562075"/>
      <w:r>
        <w:rPr>
          <w:rFonts w:hint="eastAsia" w:ascii="楷体_GB2312" w:hAnsi="楷体_GB2312" w:eastAsia="楷体_GB2312" w:cs="楷体_GB2312"/>
          <w:sz w:val="32"/>
          <w:szCs w:val="32"/>
        </w:rPr>
        <w:t>（二）预警信息公开</w:t>
      </w:r>
      <w:bookmarkEnd w:id="71"/>
    </w:p>
    <w:p>
      <w:pPr>
        <w:spacing w:line="600" w:lineRule="exact"/>
        <w:ind w:firstLine="640" w:firstLineChars="200"/>
        <w:rPr>
          <w:rFonts w:ascii="仿宋_GB2312" w:hAnsi="仿宋_GB2312" w:eastAsia="仿宋_GB2312" w:cs="仿宋_GB2312"/>
          <w:sz w:val="32"/>
          <w:szCs w:val="32"/>
        </w:rPr>
      </w:pPr>
      <w:bookmarkStart w:id="72" w:name="_Toc492562030"/>
      <w:bookmarkStart w:id="73" w:name="_Toc492562076"/>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公开的内容</w:t>
      </w:r>
      <w:bookmarkEnd w:id="72"/>
      <w:bookmarkEnd w:id="7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信息公开的内容包括环境空气质量监测数据、重污染天气可能持续的时间、污染程度、潜在的危害及防范建议、应急工作进展情况等。</w:t>
      </w:r>
    </w:p>
    <w:p>
      <w:pPr>
        <w:spacing w:line="600" w:lineRule="exact"/>
        <w:ind w:firstLine="640" w:firstLineChars="200"/>
        <w:rPr>
          <w:rFonts w:ascii="仿宋_GB2312" w:hAnsi="仿宋_GB2312" w:eastAsia="仿宋_GB2312" w:cs="仿宋_GB2312"/>
          <w:sz w:val="32"/>
          <w:szCs w:val="32"/>
        </w:rPr>
      </w:pPr>
      <w:bookmarkStart w:id="74" w:name="_Toc492562077"/>
      <w:bookmarkStart w:id="75" w:name="_Toc490837537"/>
      <w:bookmarkStart w:id="76" w:name="_Toc492562031"/>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公开的形式</w:t>
      </w:r>
      <w:bookmarkEnd w:id="74"/>
      <w:bookmarkEnd w:id="75"/>
      <w:bookmarkEnd w:id="76"/>
    </w:p>
    <w:p>
      <w:pPr>
        <w:spacing w:line="600" w:lineRule="exact"/>
        <w:ind w:firstLine="640" w:firstLineChars="200"/>
        <w:rPr>
          <w:rFonts w:ascii="仿宋_GB2312" w:hAnsi="仿宋_GB2312" w:eastAsia="仿宋_GB2312" w:cs="仿宋_GB2312"/>
          <w:sz w:val="32"/>
          <w:szCs w:val="32"/>
        </w:rPr>
      </w:pPr>
      <w:bookmarkStart w:id="77" w:name="_Toc492562032"/>
      <w:bookmarkStart w:id="78" w:name="_Toc490837538"/>
      <w:bookmarkStart w:id="79" w:name="_Toc492562078"/>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）政府门户网站及各部门相关门户网站在应急响应期间始终连续发布相关信息。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）公安交警交通诱导屏、出租车广告屏、公交车广告屏等，在预警期间滚动发布提示信息。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）区广播影视台在预警期间播报或插播相关信息。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）移动、联通、电信等通信运行商手机短信，区气象局短信平台，各部门官方微博、微信公众号等，在接到区政府预警发布指令后，及时发布（一次性）相关信息。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）山亭周讯立即发布详细预警信息，包括：健康防护引导措施，倡议性污染减排措施和强制性减排措施等，特殊情况当日不能发布的，于次日上午及时发布；预警期间每日在固定版面刊登。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）公安交警部门在限行区域内主要道路口设置机动车限行信息提示牌，及时公开限行信息。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）各村（社区）等基层组织在预警期间，利用各类宣传载体，进行持续宣传动员。</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信息公开的组织</w:t>
      </w:r>
      <w:bookmarkEnd w:id="77"/>
      <w:bookmarkEnd w:id="78"/>
      <w:bookmarkEnd w:id="7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区应急指挥部负责重污染天气应急信息公开，宣传部门负责新闻宣传和舆情引导处置。</w:t>
      </w:r>
    </w:p>
    <w:p>
      <w:pPr>
        <w:spacing w:line="600" w:lineRule="exact"/>
        <w:ind w:firstLine="640" w:firstLineChars="200"/>
        <w:rPr>
          <w:rFonts w:ascii="仿宋_GB2312" w:hAnsi="仿宋_GB2312" w:eastAsia="仿宋_GB2312" w:cs="仿宋_GB2312"/>
          <w:sz w:val="32"/>
          <w:szCs w:val="32"/>
        </w:rPr>
      </w:pPr>
      <w:bookmarkStart w:id="80" w:name="_Toc490837539"/>
      <w:bookmarkStart w:id="81" w:name="_Toc492562033"/>
      <w:bookmarkStart w:id="82" w:name="_Toc492562079"/>
      <w:r>
        <w:rPr>
          <w:rFonts w:ascii="仿宋_GB2312" w:hAnsi="仿宋_GB2312" w:eastAsia="仿宋_GB2312" w:cs="仿宋_GB2312"/>
          <w:sz w:val="32"/>
          <w:szCs w:val="32"/>
        </w:rPr>
        <w:t>4.</w:t>
      </w:r>
      <w:r>
        <w:rPr>
          <w:rFonts w:hint="eastAsia" w:ascii="仿宋_GB2312" w:hAnsi="仿宋_GB2312" w:eastAsia="仿宋_GB2312" w:cs="仿宋_GB2312"/>
          <w:sz w:val="32"/>
          <w:szCs w:val="32"/>
        </w:rPr>
        <w:t>信息公开的时间</w:t>
      </w:r>
      <w:bookmarkEnd w:id="80"/>
      <w:bookmarkEnd w:id="81"/>
      <w:bookmarkEnd w:id="8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在重污染应急启动期间，信息公开和宣传组应适时公开环境空气质量状况、应急工作进展情况等信息，通过各种媒体平台及时发布。</w:t>
      </w:r>
    </w:p>
    <w:p>
      <w:pPr>
        <w:spacing w:line="600" w:lineRule="exact"/>
        <w:ind w:firstLine="640" w:firstLineChars="200"/>
        <w:rPr>
          <w:rFonts w:ascii="黑体" w:hAnsi="黑体" w:eastAsia="黑体" w:cs="黑体"/>
          <w:sz w:val="32"/>
          <w:szCs w:val="32"/>
        </w:rPr>
      </w:pPr>
      <w:bookmarkStart w:id="83" w:name="_Toc492562080"/>
      <w:bookmarkStart w:id="84" w:name="_Toc490837540"/>
      <w:r>
        <w:rPr>
          <w:rFonts w:hint="eastAsia" w:ascii="黑体" w:hAnsi="黑体" w:eastAsia="黑体" w:cs="黑体"/>
          <w:sz w:val="32"/>
          <w:szCs w:val="32"/>
        </w:rPr>
        <w:t>七、应急培训</w:t>
      </w:r>
      <w:bookmarkEnd w:id="83"/>
      <w:bookmarkEnd w:id="8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要根据应急预案职责分工开展培训；应急指挥部成员单位对各自职责的落实和监管方式进行培训，确保应急时监督执法到位；相关企事业单位对各自所需落实的应急措施进行技术培训，确保各项应急措施安全、有效、全面落实。</w:t>
      </w:r>
    </w:p>
    <w:p>
      <w:pPr>
        <w:spacing w:line="600" w:lineRule="exact"/>
        <w:ind w:firstLine="640" w:firstLineChars="200"/>
        <w:rPr>
          <w:rFonts w:ascii="黑体" w:hAnsi="黑体" w:eastAsia="黑体" w:cs="黑体"/>
          <w:sz w:val="32"/>
          <w:szCs w:val="32"/>
        </w:rPr>
      </w:pPr>
      <w:bookmarkStart w:id="85" w:name="_Toc490837541"/>
      <w:bookmarkStart w:id="86" w:name="_Toc492562081"/>
      <w:r>
        <w:rPr>
          <w:rFonts w:hint="eastAsia" w:ascii="黑体" w:hAnsi="黑体" w:eastAsia="黑体" w:cs="黑体"/>
          <w:sz w:val="32"/>
          <w:szCs w:val="32"/>
        </w:rPr>
        <w:t>八、应急演练</w:t>
      </w:r>
      <w:bookmarkEnd w:id="85"/>
      <w:bookmarkEnd w:id="8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应定期组织预案演练，编制演练方案，明确演练目的、方式、参与人员、内容、规则以及场景等，重点检验重污染天气预警信息发布、应急响应措施落实、监督检查执行等情况，演练后应及时进行总结评估，提出改进建议，完善应急预案。各镇街要在每年采暖季之前开展一次应急演练。</w:t>
      </w:r>
    </w:p>
    <w:p>
      <w:pPr>
        <w:spacing w:line="600" w:lineRule="exact"/>
        <w:ind w:firstLine="640" w:firstLineChars="200"/>
        <w:rPr>
          <w:rFonts w:ascii="黑体" w:hAnsi="黑体" w:eastAsia="黑体" w:cs="黑体"/>
          <w:sz w:val="32"/>
          <w:szCs w:val="32"/>
        </w:rPr>
      </w:pPr>
      <w:bookmarkStart w:id="87" w:name="_Toc492562082"/>
      <w:bookmarkStart w:id="88" w:name="_Toc490837542"/>
      <w:r>
        <w:rPr>
          <w:rFonts w:hint="eastAsia" w:ascii="黑体" w:hAnsi="黑体" w:eastAsia="黑体" w:cs="黑体"/>
          <w:sz w:val="32"/>
          <w:szCs w:val="32"/>
        </w:rPr>
        <w:t>九、应急宣传教育</w:t>
      </w:r>
      <w:bookmarkEnd w:id="8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部门负责预警条件下应急宣传、组织相关单位及媒体依据应急预案开展重污染天气预警的信息发布、响应工作宣传。全面宣传重污染天气预警信息和应急响应措施，密切关注舆论，及时积极正面引导舆论，回应社会关切，动员社会参与，为重污染天气应急响应工作营造良好舆论氛围。</w:t>
      </w:r>
    </w:p>
    <w:bookmarkEnd w:id="88"/>
    <w:p>
      <w:pPr>
        <w:spacing w:line="600" w:lineRule="exact"/>
        <w:ind w:firstLine="640" w:firstLineChars="200"/>
        <w:rPr>
          <w:rFonts w:ascii="黑体" w:hAnsi="黑体" w:eastAsia="黑体" w:cs="黑体"/>
          <w:sz w:val="32"/>
          <w:szCs w:val="32"/>
        </w:rPr>
      </w:pPr>
      <w:bookmarkStart w:id="89" w:name="_Toc492562083"/>
      <w:r>
        <w:rPr>
          <w:rFonts w:hint="eastAsia" w:ascii="黑体" w:hAnsi="黑体" w:eastAsia="黑体" w:cs="黑体"/>
          <w:sz w:val="32"/>
          <w:szCs w:val="32"/>
        </w:rPr>
        <w:t>十、责任追究</w:t>
      </w:r>
      <w:bookmarkEnd w:id="8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职能部门要加大重污染天气应急期间工业源、移动源和扬尘源减排措施的监管力度，区纪委加大对区应急工作小组成员单位应对重污染天气履职情况的监督，对因工作不力、效率低下、履职缺位等问题导致应急措施未有效落实的，依据相关规定追究有关单位和人员的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加强对企事业单位应急措施落实情况的监督检查力度，对应急响应期间偷排偷放、屡查屡犯的企业，依法责令其停止生产，除予以经济处罚外，依法追究法律责任。</w:t>
      </w:r>
    </w:p>
    <w:p>
      <w:pPr>
        <w:spacing w:line="600" w:lineRule="exact"/>
        <w:ind w:firstLine="640" w:firstLineChars="200"/>
        <w:rPr>
          <w:rFonts w:ascii="黑体" w:hAnsi="黑体" w:eastAsia="黑体" w:cs="黑体"/>
          <w:sz w:val="32"/>
          <w:szCs w:val="32"/>
        </w:rPr>
      </w:pPr>
      <w:bookmarkStart w:id="90" w:name="_Toc490837543"/>
      <w:bookmarkStart w:id="91" w:name="_Toc492562084"/>
      <w:r>
        <w:rPr>
          <w:rFonts w:hint="eastAsia" w:ascii="黑体" w:hAnsi="黑体" w:eastAsia="黑体" w:cs="黑体"/>
          <w:sz w:val="32"/>
          <w:szCs w:val="32"/>
        </w:rPr>
        <w:t>十一、附则</w:t>
      </w:r>
      <w:bookmarkEnd w:id="90"/>
      <w:bookmarkEnd w:id="91"/>
    </w:p>
    <w:p>
      <w:pPr>
        <w:spacing w:line="600" w:lineRule="exact"/>
        <w:ind w:firstLine="640" w:firstLineChars="200"/>
        <w:rPr>
          <w:rFonts w:ascii="楷体_GB2312" w:hAnsi="楷体_GB2312" w:eastAsia="楷体_GB2312" w:cs="楷体_GB2312"/>
          <w:sz w:val="32"/>
          <w:szCs w:val="32"/>
        </w:rPr>
      </w:pPr>
      <w:bookmarkStart w:id="92" w:name="_Toc490837544"/>
      <w:bookmarkStart w:id="93" w:name="_Toc492562085"/>
      <w:r>
        <w:rPr>
          <w:rFonts w:hint="eastAsia" w:ascii="楷体_GB2312" w:hAnsi="楷体_GB2312" w:eastAsia="楷体_GB2312" w:cs="楷体_GB2312"/>
          <w:sz w:val="32"/>
          <w:szCs w:val="32"/>
        </w:rPr>
        <w:t>（一）预案的制定和修订</w:t>
      </w:r>
      <w:bookmarkEnd w:id="92"/>
      <w:bookmarkEnd w:id="9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根据省、市重污染天气应急工作布置和本预案实施过程中发现的问题等情况，区应急指挥部办公室负责对本预案适时进行修订完善，并经区政府批准后执行。</w:t>
      </w:r>
    </w:p>
    <w:p>
      <w:pPr>
        <w:spacing w:line="600" w:lineRule="exact"/>
        <w:ind w:firstLine="640" w:firstLineChars="200"/>
        <w:rPr>
          <w:rFonts w:ascii="楷体_GB2312" w:hAnsi="楷体_GB2312" w:eastAsia="楷体_GB2312" w:cs="楷体_GB2312"/>
          <w:sz w:val="32"/>
          <w:szCs w:val="32"/>
        </w:rPr>
      </w:pPr>
      <w:bookmarkStart w:id="94" w:name="_Toc490837545"/>
      <w:bookmarkStart w:id="95" w:name="_Toc492562086"/>
      <w:r>
        <w:rPr>
          <w:rFonts w:hint="eastAsia" w:ascii="楷体_GB2312" w:hAnsi="楷体_GB2312" w:eastAsia="楷体_GB2312" w:cs="楷体_GB2312"/>
          <w:sz w:val="32"/>
          <w:szCs w:val="32"/>
        </w:rPr>
        <w:t>（二）预案实施</w:t>
      </w:r>
      <w:bookmarkEnd w:id="94"/>
      <w:bookmarkEnd w:id="9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应急指挥部各成员单位职责分工表</w:t>
      </w:r>
    </w:p>
    <w:p>
      <w:pPr>
        <w:autoSpaceDE w:val="0"/>
        <w:autoSpaceDN w:val="0"/>
        <w:adjustRightInd w:val="0"/>
        <w:snapToGrid w:val="0"/>
        <w:spacing w:line="360" w:lineRule="auto"/>
        <w:ind w:firstLine="640" w:firstLineChars="200"/>
        <w:rPr>
          <w:rFonts w:ascii="仿宋_GB2312" w:hAnsi="宋体" w:eastAsia="仿宋_GB2312"/>
          <w:kern w:val="0"/>
          <w:sz w:val="32"/>
          <w:szCs w:val="32"/>
        </w:rPr>
      </w:pPr>
      <w:r>
        <w:rPr>
          <w:rFonts w:ascii="仿宋_GB2312" w:hAnsi="宋体" w:eastAsia="仿宋_GB2312"/>
          <w:kern w:val="0"/>
          <w:sz w:val="32"/>
          <w:szCs w:val="32"/>
        </w:rPr>
        <w:t xml:space="preserve">     </w:t>
      </w:r>
    </w:p>
    <w:p>
      <w:pPr>
        <w:spacing w:beforeLines="50" w:line="360" w:lineRule="auto"/>
        <w:rPr>
          <w:rFonts w:ascii="宋体"/>
          <w:b/>
          <w:sz w:val="28"/>
          <w:szCs w:val="30"/>
        </w:rPr>
      </w:pPr>
      <w:r>
        <w:rPr>
          <w:rFonts w:ascii="仿宋_GB2312" w:hAnsi="宋体" w:eastAsia="仿宋_GB2312"/>
          <w:kern w:val="0"/>
          <w:sz w:val="32"/>
          <w:szCs w:val="32"/>
        </w:rPr>
        <w:br w:type="page"/>
      </w:r>
      <w:r>
        <w:rPr>
          <w:rFonts w:hint="eastAsia" w:ascii="宋体" w:hAnsi="宋体"/>
          <w:b/>
          <w:sz w:val="28"/>
          <w:szCs w:val="30"/>
        </w:rPr>
        <w:t>附件</w:t>
      </w:r>
      <w:r>
        <w:rPr>
          <w:rFonts w:ascii="宋体" w:hAnsi="宋体"/>
          <w:b/>
          <w:sz w:val="28"/>
          <w:szCs w:val="30"/>
        </w:rPr>
        <w:t>:</w:t>
      </w:r>
    </w:p>
    <w:p>
      <w:pPr>
        <w:spacing w:beforeLines="50" w:afterLines="100" w:line="360" w:lineRule="auto"/>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应急指挥部各成员单位职责分工表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2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序号</w:t>
            </w:r>
          </w:p>
        </w:tc>
        <w:tc>
          <w:tcPr>
            <w:tcW w:w="1701" w:type="dxa"/>
            <w:vAlign w:val="center"/>
          </w:tcPr>
          <w:p>
            <w:pPr>
              <w:spacing w:line="52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成员单位</w:t>
            </w:r>
          </w:p>
        </w:tc>
        <w:tc>
          <w:tcPr>
            <w:tcW w:w="6004" w:type="dxa"/>
            <w:vAlign w:val="center"/>
          </w:tcPr>
          <w:p>
            <w:pPr>
              <w:spacing w:line="52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职</w:t>
            </w:r>
            <w:r>
              <w:rPr>
                <w:rFonts w:ascii="仿宋_GB2312" w:hAnsi="宋体" w:eastAsia="仿宋_GB2312"/>
                <w:b/>
                <w:kern w:val="0"/>
                <w:sz w:val="28"/>
                <w:szCs w:val="28"/>
              </w:rPr>
              <w:t xml:space="preserve">   </w:t>
            </w:r>
            <w:r>
              <w:rPr>
                <w:rFonts w:hint="eastAsia" w:ascii="仿宋_GB2312" w:hAnsi="宋体" w:eastAsia="仿宋_GB2312"/>
                <w:b/>
                <w:kern w:val="0"/>
                <w:sz w:val="28"/>
                <w:szCs w:val="28"/>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区委宣传部</w:t>
            </w:r>
          </w:p>
        </w:tc>
        <w:tc>
          <w:tcPr>
            <w:tcW w:w="6004"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负责牵头协调新闻宣传和舆情处置工作、会同区应急指挥部办公室适时组织召开新闻发布会或通气会，正面引导舆论。</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2</w:t>
            </w:r>
          </w:p>
        </w:tc>
        <w:tc>
          <w:tcPr>
            <w:tcW w:w="1701"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区发改局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3</w:t>
            </w:r>
          </w:p>
        </w:tc>
        <w:tc>
          <w:tcPr>
            <w:tcW w:w="1701"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区经信局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会同环保局督促落实重点行业错峰生产工作。</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4</w:t>
            </w:r>
          </w:p>
        </w:tc>
        <w:tc>
          <w:tcPr>
            <w:tcW w:w="1701"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区教育局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负责指导和督促各级各类教育机构做好健康防护工作。</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5</w:t>
            </w:r>
          </w:p>
        </w:tc>
        <w:tc>
          <w:tcPr>
            <w:tcW w:w="1701"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区公安分局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负责制定高排放车辆临时禁、限行方案，督查限行执行情况。</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6</w:t>
            </w:r>
          </w:p>
        </w:tc>
        <w:tc>
          <w:tcPr>
            <w:tcW w:w="1701"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区住建局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rPr>
                <w:rFonts w:ascii="仿宋_GB2312" w:hAnsi="宋体" w:eastAsia="仿宋_GB2312"/>
                <w:kern w:val="0"/>
                <w:sz w:val="28"/>
                <w:szCs w:val="28"/>
              </w:rPr>
            </w:pPr>
            <w:r>
              <w:rPr>
                <w:rFonts w:hint="eastAsia" w:ascii="仿宋_GB2312" w:hAnsi="宋体" w:eastAsia="仿宋_GB2312"/>
                <w:kern w:val="0"/>
                <w:sz w:val="28"/>
                <w:szCs w:val="28"/>
              </w:rPr>
              <w:t>负责监督和指导落实房屋拆迁及建筑施工工地等扬尘污染防治措施。</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7</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区城管局</w:t>
            </w:r>
          </w:p>
        </w:tc>
        <w:tc>
          <w:tcPr>
            <w:tcW w:w="6004"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rPr>
                <w:rFonts w:ascii="仿宋_GB2312" w:hAnsi="宋体" w:eastAsia="仿宋_GB2312"/>
                <w:kern w:val="0"/>
                <w:sz w:val="28"/>
                <w:szCs w:val="28"/>
              </w:rPr>
            </w:pPr>
            <w:r>
              <w:rPr>
                <w:rFonts w:hint="eastAsia" w:ascii="仿宋_GB2312" w:hAnsi="宋体" w:eastAsia="仿宋_GB2312"/>
                <w:kern w:val="0"/>
                <w:sz w:val="28"/>
                <w:szCs w:val="28"/>
              </w:rPr>
              <w:t>负责监督和指导落实城建工地扬尘污染防治措施和城区道路保洁措施。</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完成是应急指挥部交办的其他事项。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8</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区交运局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指导和督促公交企业加大公共交通保障力度。</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9</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区卫计局</w:t>
            </w:r>
          </w:p>
        </w:tc>
        <w:tc>
          <w:tcPr>
            <w:tcW w:w="6004"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组织医疗机构有针对性做好相关医疗救治工作。</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10</w:t>
            </w:r>
          </w:p>
        </w:tc>
        <w:tc>
          <w:tcPr>
            <w:tcW w:w="1701"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区环保局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负责联合气象部门开展重污染天气会商，提出预警建议；开展重污染天气空气质量监测、预测和预报，检查相关企业污染治理设施运行情况；监督落实企业停产、限产的应急响应措施；配合区公安分局指导和监督高排放机动车控制措施。</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11</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区文广新局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负责督导有关新闻单位及区（区）新闻出版广电部门实时公开环境空气质量监测数据、重污染天气可能持续的时间、污染程度、潜在的危害及防范建议及应急工作进展情况等信息。</w:t>
            </w:r>
          </w:p>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12</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区气象局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负责空气污染气象条件等级预报；联合区环保局组织开展城区空气质量预报和重污染天气监测预警工作。</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13</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区煤炭局</w:t>
            </w:r>
          </w:p>
        </w:tc>
        <w:tc>
          <w:tcPr>
            <w:tcW w:w="6004" w:type="dxa"/>
            <w:vAlign w:val="center"/>
          </w:tcPr>
          <w:p>
            <w:pPr>
              <w:spacing w:line="520" w:lineRule="exact"/>
              <w:rPr>
                <w:rFonts w:ascii="仿宋_GB2312" w:hAnsi="宋体" w:eastAsia="仿宋_GB2312"/>
                <w:kern w:val="0"/>
                <w:sz w:val="28"/>
                <w:szCs w:val="28"/>
              </w:rPr>
            </w:pPr>
            <w:r>
              <w:rPr>
                <w:rFonts w:hint="eastAsia" w:ascii="仿宋_GB2312" w:hAnsi="宋体" w:eastAsia="仿宋_GB2312"/>
                <w:kern w:val="0"/>
                <w:sz w:val="28"/>
                <w:szCs w:val="28"/>
              </w:rPr>
              <w:t>编制本部门重污染天气应急响应专项实施方案。</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14</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区供电部</w:t>
            </w:r>
          </w:p>
        </w:tc>
        <w:tc>
          <w:tcPr>
            <w:tcW w:w="6004"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负责落实重污染天气应急响应时对停、限产企业采取相应的电力分配措施。</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15</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联通公司</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移动公司</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电信公司</w:t>
            </w:r>
          </w:p>
        </w:tc>
        <w:tc>
          <w:tcPr>
            <w:tcW w:w="6004"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保障通信畅通，及时向居民通告大气重污染应急信息。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widowControl/>
              <w:jc w:val="center"/>
              <w:textAlignment w:val="center"/>
              <w:rPr>
                <w:rFonts w:ascii="仿宋_GB2312" w:hAnsi="宋体" w:eastAsia="仿宋_GB2312"/>
                <w:kern w:val="0"/>
                <w:sz w:val="28"/>
                <w:szCs w:val="28"/>
              </w:rPr>
            </w:pPr>
            <w:r>
              <w:rPr>
                <w:rFonts w:ascii="仿宋_GB2312" w:hAnsi="宋体" w:eastAsia="仿宋_GB2312" w:cs="仿宋_GB2312"/>
                <w:kern w:val="0"/>
                <w:sz w:val="28"/>
                <w:szCs w:val="28"/>
              </w:rPr>
              <w:t>16</w:t>
            </w:r>
          </w:p>
        </w:tc>
        <w:tc>
          <w:tcPr>
            <w:tcW w:w="1701"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各镇（街），开发区管委会</w:t>
            </w:r>
          </w:p>
        </w:tc>
        <w:tc>
          <w:tcPr>
            <w:tcW w:w="6004" w:type="dxa"/>
            <w:vAlign w:val="center"/>
          </w:tcPr>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制定和完善本辖区重污染天气应急响应实施方案，指导企业编制相应的重污染天气应急减排操作方案。</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负责本辖区重污染天气应急相关工作。</w:t>
            </w:r>
          </w:p>
          <w:p>
            <w:pPr>
              <w:spacing w:line="460" w:lineRule="exact"/>
              <w:rPr>
                <w:rFonts w:ascii="仿宋_GB2312" w:hAnsi="宋体" w:eastAsia="仿宋_GB2312"/>
                <w:kern w:val="0"/>
                <w:sz w:val="28"/>
                <w:szCs w:val="28"/>
              </w:rPr>
            </w:pPr>
            <w:r>
              <w:rPr>
                <w:rFonts w:hint="eastAsia" w:ascii="仿宋_GB2312" w:hAnsi="宋体" w:eastAsia="仿宋_GB2312"/>
                <w:kern w:val="0"/>
                <w:sz w:val="28"/>
                <w:szCs w:val="28"/>
              </w:rPr>
              <w:t>完成区应急指挥部交办的其他事项。</w:t>
            </w:r>
          </w:p>
        </w:tc>
      </w:tr>
    </w:tbl>
    <w:p>
      <w:pPr>
        <w:rPr>
          <w:rFonts w:ascii="宋体"/>
          <w:b/>
          <w:sz w:val="28"/>
          <w:szCs w:val="30"/>
        </w:rPr>
      </w:pPr>
    </w:p>
    <w:p>
      <w:pPr>
        <w:rPr>
          <w:rFonts w:ascii="宋体"/>
          <w:b/>
          <w:sz w:val="36"/>
          <w:szCs w:val="36"/>
        </w:rPr>
      </w:pPr>
      <w:r>
        <w:rPr>
          <w:rFonts w:ascii="宋体" w:hAnsi="宋体"/>
          <w:b/>
          <w:sz w:val="36"/>
          <w:szCs w:val="36"/>
        </w:rPr>
        <w:t xml:space="preserve"> </w:t>
      </w:r>
    </w:p>
    <w:p/>
    <w:p/>
    <w:p/>
    <w:p/>
    <w:p/>
    <w:p/>
    <w:p/>
    <w:p/>
    <w:p/>
    <w:p/>
    <w:p/>
    <w:p/>
    <w:p/>
    <w:p/>
    <w:p/>
    <w:p/>
    <w:p/>
    <w:p/>
    <w:p/>
    <w:p/>
    <w:p>
      <w:pPr>
        <w:pBdr>
          <w:top w:val="single" w:color="auto" w:sz="4" w:space="1"/>
          <w:bottom w:val="single" w:color="auto" w:sz="4" w:space="1"/>
        </w:pBdr>
        <w:spacing w:line="520" w:lineRule="exact"/>
        <w:rPr>
          <w:rFonts w:ascii="仿宋_GB2312" w:eastAsia="仿宋_GB2312"/>
          <w:sz w:val="32"/>
          <w:szCs w:val="32"/>
        </w:rPr>
      </w:pPr>
      <w:r>
        <w:rPr>
          <w:rFonts w:hint="eastAsia" w:ascii="仿宋_GB2312" w:eastAsia="仿宋_GB2312"/>
          <w:sz w:val="32"/>
          <w:szCs w:val="32"/>
        </w:rPr>
        <w:t>山亭区人民政府办公室</w:t>
      </w:r>
      <w:r>
        <w:rPr>
          <w:rFonts w:ascii="仿宋_GB2312" w:eastAsia="仿宋_GB2312"/>
          <w:sz w:val="32"/>
          <w:szCs w:val="32"/>
        </w:rPr>
        <w:t xml:space="preserve">              </w:t>
      </w:r>
      <w:bookmarkStart w:id="96" w:name="_GoBack"/>
      <w:bookmarkEnd w:id="96"/>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日印</w:t>
      </w:r>
    </w:p>
    <w:p/>
    <w:sectPr>
      <w:pgSz w:w="11906" w:h="16838"/>
      <w:pgMar w:top="1440" w:right="1800" w:bottom="1440" w:left="1800"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19</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11D"/>
    <w:rsid w:val="0009524C"/>
    <w:rsid w:val="00173E08"/>
    <w:rsid w:val="00217813"/>
    <w:rsid w:val="00393886"/>
    <w:rsid w:val="004B6BC6"/>
    <w:rsid w:val="004E7135"/>
    <w:rsid w:val="004F79D6"/>
    <w:rsid w:val="005066D0"/>
    <w:rsid w:val="00543960"/>
    <w:rsid w:val="00600DC0"/>
    <w:rsid w:val="00646305"/>
    <w:rsid w:val="008D20D9"/>
    <w:rsid w:val="009423D8"/>
    <w:rsid w:val="009555B1"/>
    <w:rsid w:val="009659FD"/>
    <w:rsid w:val="00A702BF"/>
    <w:rsid w:val="00B45558"/>
    <w:rsid w:val="00B8368B"/>
    <w:rsid w:val="00C40B6E"/>
    <w:rsid w:val="00E930C0"/>
    <w:rsid w:val="00F9111D"/>
    <w:rsid w:val="04A44D69"/>
    <w:rsid w:val="0ABB4EDE"/>
    <w:rsid w:val="0E177D4B"/>
    <w:rsid w:val="0F96722D"/>
    <w:rsid w:val="14DF31AC"/>
    <w:rsid w:val="23B1464D"/>
    <w:rsid w:val="23EC732D"/>
    <w:rsid w:val="28483E6E"/>
    <w:rsid w:val="28EB0E59"/>
    <w:rsid w:val="2B7F48C6"/>
    <w:rsid w:val="2E953C14"/>
    <w:rsid w:val="339C4C86"/>
    <w:rsid w:val="33A21DDB"/>
    <w:rsid w:val="37AA6046"/>
    <w:rsid w:val="382158D2"/>
    <w:rsid w:val="394B4B11"/>
    <w:rsid w:val="3B510A6E"/>
    <w:rsid w:val="3F7F1C58"/>
    <w:rsid w:val="46D26338"/>
    <w:rsid w:val="477005EB"/>
    <w:rsid w:val="4C050A0A"/>
    <w:rsid w:val="51A26BF5"/>
    <w:rsid w:val="54EE4350"/>
    <w:rsid w:val="56BB6736"/>
    <w:rsid w:val="5B290955"/>
    <w:rsid w:val="5BE05C40"/>
    <w:rsid w:val="5BFD20FF"/>
    <w:rsid w:val="5C4514D4"/>
    <w:rsid w:val="5F252F2F"/>
    <w:rsid w:val="623358E7"/>
    <w:rsid w:val="66331461"/>
    <w:rsid w:val="66B00A27"/>
    <w:rsid w:val="67202895"/>
    <w:rsid w:val="68245007"/>
    <w:rsid w:val="6AC5258E"/>
    <w:rsid w:val="73564827"/>
    <w:rsid w:val="73BA353C"/>
    <w:rsid w:val="74F76068"/>
    <w:rsid w:val="7FD049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qFormat/>
    <w:uiPriority w:val="99"/>
    <w:rPr>
      <w:sz w:val="18"/>
      <w:szCs w:val="18"/>
    </w:rPr>
  </w:style>
  <w:style w:type="paragraph" w:styleId="4">
    <w:name w:val="footer"/>
    <w:basedOn w:val="1"/>
    <w:link w:val="13"/>
    <w:uiPriority w:val="99"/>
    <w:pPr>
      <w:tabs>
        <w:tab w:val="center" w:pos="4153"/>
        <w:tab w:val="right" w:pos="8306"/>
      </w:tabs>
      <w:snapToGrid w:val="0"/>
      <w:jc w:val="left"/>
    </w:pPr>
    <w:rPr>
      <w:kern w:val="0"/>
      <w:sz w:val="18"/>
      <w:szCs w:val="18"/>
    </w:rPr>
  </w:style>
  <w:style w:type="paragraph" w:styleId="5">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99"/>
    <w:pPr>
      <w:widowControl/>
      <w:adjustRightInd w:val="0"/>
      <w:snapToGrid w:val="0"/>
      <w:jc w:val="left"/>
    </w:pPr>
    <w:rPr>
      <w:rFonts w:ascii="Tahoma" w:hAnsi="Tahoma" w:eastAsia="微软雅黑"/>
      <w:kern w:val="0"/>
      <w:sz w:val="22"/>
    </w:rPr>
  </w:style>
  <w:style w:type="paragraph" w:styleId="7">
    <w:name w:val="toc 2"/>
    <w:basedOn w:val="1"/>
    <w:next w:val="1"/>
    <w:qFormat/>
    <w:uiPriority w:val="99"/>
    <w:pPr>
      <w:widowControl/>
      <w:tabs>
        <w:tab w:val="right" w:leader="dot" w:pos="8296"/>
      </w:tabs>
      <w:adjustRightInd w:val="0"/>
      <w:snapToGrid w:val="0"/>
      <w:spacing w:line="360" w:lineRule="auto"/>
      <w:ind w:firstLine="560" w:firstLineChars="200"/>
      <w:jc w:val="left"/>
    </w:pPr>
    <w:rPr>
      <w:rFonts w:ascii="Tahoma" w:hAnsi="Tahoma" w:eastAsia="微软雅黑"/>
      <w:kern w:val="0"/>
      <w:sz w:val="22"/>
    </w:rPr>
  </w:style>
  <w:style w:type="character" w:styleId="9">
    <w:name w:val="page number"/>
    <w:basedOn w:val="8"/>
    <w:qFormat/>
    <w:uiPriority w:val="99"/>
    <w:rPr>
      <w:rFonts w:cs="Times New Roman"/>
    </w:rPr>
  </w:style>
  <w:style w:type="character" w:styleId="10">
    <w:name w:val="Hyperlink"/>
    <w:basedOn w:val="8"/>
    <w:uiPriority w:val="99"/>
    <w:rPr>
      <w:rFonts w:cs="Times New Roman"/>
      <w:color w:val="0000FF"/>
      <w:u w:val="single"/>
    </w:rPr>
  </w:style>
  <w:style w:type="character" w:customStyle="1" w:styleId="12">
    <w:name w:val="Heading 1 Char"/>
    <w:basedOn w:val="8"/>
    <w:link w:val="2"/>
    <w:locked/>
    <w:uiPriority w:val="99"/>
    <w:rPr>
      <w:rFonts w:ascii="Times New Roman" w:hAnsi="Times New Roman" w:eastAsia="宋体" w:cs="Times New Roman"/>
      <w:b/>
      <w:bCs/>
      <w:kern w:val="44"/>
      <w:sz w:val="44"/>
      <w:szCs w:val="44"/>
    </w:rPr>
  </w:style>
  <w:style w:type="character" w:customStyle="1" w:styleId="13">
    <w:name w:val="Footer Char"/>
    <w:basedOn w:val="8"/>
    <w:link w:val="4"/>
    <w:semiHidden/>
    <w:qFormat/>
    <w:locked/>
    <w:uiPriority w:val="99"/>
    <w:rPr>
      <w:rFonts w:ascii="Times New Roman" w:hAnsi="Times New Roman" w:eastAsia="宋体" w:cs="Times New Roman"/>
      <w:sz w:val="18"/>
      <w:szCs w:val="18"/>
    </w:rPr>
  </w:style>
  <w:style w:type="character" w:customStyle="1" w:styleId="14">
    <w:name w:val="页脚 Char"/>
    <w:uiPriority w:val="99"/>
    <w:rPr>
      <w:sz w:val="18"/>
    </w:rPr>
  </w:style>
  <w:style w:type="paragraph" w:customStyle="1" w:styleId="15">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16">
    <w:name w:val="Balloon Text Char"/>
    <w:basedOn w:val="8"/>
    <w:link w:val="3"/>
    <w:semiHidden/>
    <w:qFormat/>
    <w:locked/>
    <w:uiPriority w:val="99"/>
    <w:rPr>
      <w:rFonts w:cs="Times New Roman"/>
      <w:sz w:val="2"/>
    </w:rPr>
  </w:style>
  <w:style w:type="character" w:customStyle="1" w:styleId="17">
    <w:name w:val="Header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23</Pages>
  <Words>1769</Words>
  <Characters>10086</Characters>
  <Lines>0</Lines>
  <Paragraphs>0</Paragraphs>
  <TotalTime>28</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2018-11-08T09:22:00Z</dcterms:created>
  <dc:creator>dreamsummit</dc:creator>
  <cp:lastModifiedBy>man</cp:lastModifiedBy>
  <cp:lastPrinted>2018-11-09T06:08:00Z</cp:lastPrinted>
  <dcterms:modified xsi:type="dcterms:W3CDTF">2018-11-14T07:23:35Z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