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left="865" w:leftChars="418"/>
        <w:jc w:val="center"/>
        <w:rPr>
          <w:rFonts w:ascii="方正小标宋简体" w:hAnsi="方正小标宋简体" w:eastAsia="方正小标宋简体" w:cs="方正小标宋简体"/>
          <w:color w:val="000000"/>
          <w:sz w:val="44"/>
          <w:szCs w:val="44"/>
        </w:rPr>
      </w:pPr>
    </w:p>
    <w:p>
      <w:pPr>
        <w:spacing w:line="560" w:lineRule="exact"/>
        <w:ind w:left="865" w:leftChars="418"/>
        <w:jc w:val="center"/>
        <w:rPr>
          <w:rFonts w:ascii="方正小标宋简体" w:hAnsi="方正小标宋简体" w:eastAsia="方正小标宋简体" w:cs="方正小标宋简体"/>
          <w:color w:val="000000"/>
          <w:sz w:val="44"/>
          <w:szCs w:val="44"/>
        </w:rPr>
      </w:pPr>
    </w:p>
    <w:p>
      <w:pPr>
        <w:spacing w:line="560" w:lineRule="exact"/>
        <w:ind w:left="865" w:leftChars="418"/>
        <w:jc w:val="center"/>
        <w:rPr>
          <w:rFonts w:ascii="方正小标宋简体" w:hAnsi="方正小标宋简体" w:eastAsia="方正小标宋简体" w:cs="方正小标宋简体"/>
          <w:color w:val="000000"/>
          <w:sz w:val="44"/>
          <w:szCs w:val="44"/>
        </w:rPr>
      </w:pPr>
    </w:p>
    <w:p>
      <w:pPr>
        <w:spacing w:line="560" w:lineRule="exact"/>
        <w:ind w:left="865" w:leftChars="418"/>
        <w:jc w:val="center"/>
        <w:rPr>
          <w:rFonts w:ascii="方正小标宋简体" w:hAnsi="方正小标宋简体" w:eastAsia="方正小标宋简体" w:cs="方正小标宋简体"/>
          <w:color w:val="000000"/>
          <w:sz w:val="44"/>
          <w:szCs w:val="44"/>
        </w:rPr>
      </w:pPr>
    </w:p>
    <w:p>
      <w:pPr>
        <w:spacing w:line="560" w:lineRule="exact"/>
        <w:ind w:left="865" w:leftChars="418"/>
        <w:jc w:val="center"/>
        <w:rPr>
          <w:rFonts w:ascii="方正小标宋简体" w:hAnsi="方正小标宋简体" w:eastAsia="方正小标宋简体" w:cs="方正小标宋简体"/>
          <w:color w:val="000000"/>
          <w:sz w:val="44"/>
          <w:szCs w:val="44"/>
        </w:rPr>
      </w:pPr>
    </w:p>
    <w:p>
      <w:pPr>
        <w:spacing w:line="560" w:lineRule="exact"/>
        <w:jc w:val="center"/>
        <w:rPr>
          <w:rFonts w:hint="eastAsia" w:ascii="仿宋_GB2312" w:hAnsi="楷体_GB2312" w:eastAsia="仿宋_GB2312" w:cs="楷体_GB2312"/>
          <w:color w:val="000000"/>
          <w:sz w:val="32"/>
          <w:szCs w:val="32"/>
        </w:rPr>
      </w:pPr>
      <w:r>
        <w:rPr>
          <w:rFonts w:hint="eastAsia" w:ascii="仿宋_GB2312" w:hAnsi="楷体_GB2312" w:eastAsia="仿宋_GB2312" w:cs="楷体_GB2312"/>
          <w:color w:val="000000"/>
          <w:sz w:val="32"/>
          <w:szCs w:val="32"/>
        </w:rPr>
        <w:t>山政办字〔2019〕</w:t>
      </w:r>
      <w:r>
        <w:rPr>
          <w:rFonts w:hint="eastAsia" w:ascii="仿宋_GB2312" w:hAnsi="楷体_GB2312" w:eastAsia="仿宋_GB2312" w:cs="楷体_GB2312"/>
          <w:color w:val="000000"/>
          <w:sz w:val="32"/>
          <w:szCs w:val="32"/>
          <w:lang w:val="en-US" w:eastAsia="zh-CN"/>
        </w:rPr>
        <w:t>40</w:t>
      </w:r>
      <w:r>
        <w:rPr>
          <w:rFonts w:hint="eastAsia" w:ascii="仿宋_GB2312" w:hAnsi="楷体_GB2312" w:eastAsia="仿宋_GB2312" w:cs="楷体_GB2312"/>
          <w:color w:val="000000"/>
          <w:sz w:val="32"/>
          <w:szCs w:val="32"/>
        </w:rPr>
        <w:t>号</w:t>
      </w:r>
    </w:p>
    <w:p>
      <w:pPr>
        <w:spacing w:line="560" w:lineRule="exact"/>
        <w:ind w:left="865" w:leftChars="418"/>
        <w:jc w:val="center"/>
        <w:rPr>
          <w:rFonts w:hint="eastAsia" w:ascii="方正小标宋简体" w:hAnsi="方正小标宋简体" w:eastAsia="方正小标宋简体" w:cs="方正小标宋简体"/>
          <w:color w:val="000000"/>
          <w:sz w:val="44"/>
          <w:szCs w:val="44"/>
        </w:rPr>
      </w:pPr>
    </w:p>
    <w:p>
      <w:pPr>
        <w:spacing w:line="560" w:lineRule="exact"/>
        <w:jc w:val="center"/>
        <w:rPr>
          <w:rFonts w:hint="eastAsia" w:ascii="方正小标宋简体" w:hAnsi="方正小标宋简体" w:eastAsia="方正小标宋简体" w:cs="方正小标宋简体"/>
          <w:color w:val="000000"/>
          <w:sz w:val="44"/>
          <w:szCs w:val="44"/>
          <w:lang w:eastAsia="zh-CN"/>
        </w:rPr>
      </w:pPr>
      <w:r>
        <w:rPr>
          <w:rFonts w:hint="eastAsia" w:ascii="方正小标宋简体" w:hAnsi="方正小标宋简体" w:eastAsia="方正小标宋简体" w:cs="方正小标宋简体"/>
          <w:color w:val="000000"/>
          <w:sz w:val="44"/>
          <w:szCs w:val="44"/>
          <w:lang w:eastAsia="zh-CN"/>
        </w:rPr>
        <w:t>山亭区人民政府办公室</w:t>
      </w:r>
    </w:p>
    <w:p>
      <w:pPr>
        <w:spacing w:line="560" w:lineRule="exact"/>
        <w:jc w:val="center"/>
        <w:rPr>
          <w:rFonts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关于印发山亭区建设国家健康城市实施方案的通  知</w:t>
      </w:r>
      <w:r>
        <w:rPr>
          <w:rFonts w:hint="eastAsia" w:ascii="方正小标宋简体" w:hAnsi="方正小标宋简体" w:eastAsia="方正小标宋简体" w:cs="方正小标宋简体"/>
          <w:color w:val="000000"/>
          <w:sz w:val="44"/>
          <w:szCs w:val="44"/>
        </w:rPr>
        <w:br w:type="textWrapping"/>
      </w:r>
    </w:p>
    <w:p>
      <w:pPr>
        <w:rPr>
          <w:rFonts w:ascii="仿宋_GB2312" w:eastAsia="仿宋_GB2312"/>
          <w:sz w:val="32"/>
          <w:szCs w:val="32"/>
        </w:rPr>
      </w:pPr>
      <w:r>
        <w:rPr>
          <w:rFonts w:hint="eastAsia" w:ascii="仿宋_GB2312" w:eastAsia="仿宋_GB2312"/>
          <w:sz w:val="32"/>
          <w:szCs w:val="32"/>
        </w:rPr>
        <w:t>各镇人民政府、山城街道办事处，山亭经济开发区管委会，区政府各部门，各企事业单位：</w:t>
      </w:r>
    </w:p>
    <w:p>
      <w:pPr>
        <w:spacing w:line="560" w:lineRule="exact"/>
        <w:jc w:val="lef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w:t>
      </w:r>
      <w:r>
        <w:rPr>
          <w:rFonts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rPr>
        <w:t>山亭区</w:t>
      </w:r>
      <w:r>
        <w:rPr>
          <w:rFonts w:ascii="仿宋_GB2312" w:hAnsi="仿宋_GB2312" w:eastAsia="仿宋_GB2312" w:cs="仿宋_GB2312"/>
          <w:color w:val="000000"/>
          <w:sz w:val="32"/>
          <w:szCs w:val="32"/>
        </w:rPr>
        <w:t>建设国家健康城市实施方案》已经</w:t>
      </w:r>
      <w:r>
        <w:rPr>
          <w:rFonts w:hint="eastAsia" w:ascii="仿宋_GB2312" w:hAnsi="仿宋_GB2312" w:eastAsia="仿宋_GB2312" w:cs="仿宋_GB2312"/>
          <w:color w:val="000000"/>
          <w:sz w:val="32"/>
          <w:szCs w:val="32"/>
        </w:rPr>
        <w:t>区</w:t>
      </w:r>
      <w:r>
        <w:rPr>
          <w:rFonts w:ascii="仿宋_GB2312" w:hAnsi="仿宋_GB2312" w:eastAsia="仿宋_GB2312" w:cs="仿宋_GB2312"/>
          <w:color w:val="000000"/>
          <w:sz w:val="32"/>
          <w:szCs w:val="32"/>
        </w:rPr>
        <w:t>政府同意，现印发给你们，请认真贯彻执行。</w:t>
      </w:r>
      <w:r>
        <w:rPr>
          <w:rFonts w:ascii="仿宋_GB2312" w:hAnsi="仿宋_GB2312" w:eastAsia="仿宋_GB2312" w:cs="仿宋_GB2312"/>
          <w:color w:val="000000"/>
          <w:sz w:val="32"/>
          <w:szCs w:val="32"/>
        </w:rPr>
        <w:br w:type="textWrapping"/>
      </w:r>
    </w:p>
    <w:p>
      <w:pPr>
        <w:spacing w:line="560" w:lineRule="exact"/>
        <w:jc w:val="right"/>
        <w:rPr>
          <w:rFonts w:ascii="仿宋_GB2312" w:hAnsi="仿宋_GB2312" w:eastAsia="仿宋_GB2312" w:cs="仿宋_GB2312"/>
          <w:color w:val="000000"/>
          <w:sz w:val="32"/>
          <w:szCs w:val="32"/>
        </w:rPr>
      </w:pPr>
    </w:p>
    <w:p>
      <w:pPr>
        <w:spacing w:line="560" w:lineRule="exact"/>
        <w:jc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山亭区</w:t>
      </w:r>
      <w:r>
        <w:rPr>
          <w:rFonts w:ascii="仿宋_GB2312" w:hAnsi="仿宋_GB2312" w:eastAsia="仿宋_GB2312" w:cs="仿宋_GB2312"/>
          <w:color w:val="000000"/>
          <w:sz w:val="32"/>
          <w:szCs w:val="32"/>
        </w:rPr>
        <w:t>人民政府办公室</w:t>
      </w:r>
    </w:p>
    <w:p>
      <w:pPr>
        <w:spacing w:line="560" w:lineRule="exact"/>
        <w:jc w:val="center"/>
        <w:rPr>
          <w:rFonts w:ascii="宋体" w:hAnsi="宋体" w:eastAsia="宋体" w:cs="宋体"/>
          <w:sz w:val="24"/>
        </w:rPr>
      </w:pPr>
      <w:r>
        <w:rPr>
          <w:rFonts w:hint="eastAsia" w:ascii="仿宋_GB2312" w:hAnsi="仿宋_GB2312" w:eastAsia="仿宋_GB2312" w:cs="仿宋_GB2312"/>
          <w:color w:val="000000"/>
          <w:sz w:val="32"/>
          <w:szCs w:val="32"/>
        </w:rPr>
        <w:t xml:space="preserve">                      </w:t>
      </w:r>
      <w:bookmarkStart w:id="0" w:name="_GoBack"/>
      <w:bookmarkEnd w:id="0"/>
      <w:r>
        <w:rPr>
          <w:rFonts w:ascii="仿宋_GB2312" w:hAnsi="仿宋_GB2312" w:eastAsia="仿宋_GB2312" w:cs="仿宋_GB2312"/>
          <w:color w:val="000000"/>
          <w:sz w:val="32"/>
          <w:szCs w:val="32"/>
        </w:rPr>
        <w:t>2019年</w:t>
      </w:r>
      <w:r>
        <w:rPr>
          <w:rFonts w:hint="eastAsia" w:ascii="仿宋_GB2312" w:hAnsi="仿宋_GB2312" w:eastAsia="仿宋_GB2312" w:cs="仿宋_GB2312"/>
          <w:color w:val="000000"/>
          <w:sz w:val="32"/>
          <w:szCs w:val="32"/>
        </w:rPr>
        <w:t>10</w:t>
      </w:r>
      <w:r>
        <w:rPr>
          <w:rFonts w:ascii="仿宋_GB2312" w:hAnsi="仿宋_GB2312" w:eastAsia="仿宋_GB2312" w:cs="仿宋_GB2312"/>
          <w:color w:val="000000"/>
          <w:sz w:val="32"/>
          <w:szCs w:val="32"/>
        </w:rPr>
        <w:t>月</w:t>
      </w:r>
      <w:r>
        <w:rPr>
          <w:rFonts w:hint="eastAsia" w:ascii="仿宋_GB2312" w:hAnsi="仿宋_GB2312" w:eastAsia="仿宋_GB2312" w:cs="仿宋_GB2312"/>
          <w:color w:val="000000"/>
          <w:sz w:val="32"/>
          <w:szCs w:val="32"/>
          <w:lang w:val="en-US" w:eastAsia="zh-CN"/>
        </w:rPr>
        <w:t>22</w:t>
      </w:r>
      <w:r>
        <w:rPr>
          <w:rFonts w:ascii="仿宋_GB2312" w:hAnsi="仿宋_GB2312" w:eastAsia="仿宋_GB2312" w:cs="仿宋_GB2312"/>
          <w:color w:val="000000"/>
          <w:sz w:val="32"/>
          <w:szCs w:val="32"/>
        </w:rPr>
        <w:t>日</w:t>
      </w:r>
    </w:p>
    <w:p>
      <w:pPr>
        <w:spacing w:line="560" w:lineRule="exact"/>
        <w:jc w:val="center"/>
        <w:rPr>
          <w:rFonts w:hint="eastAsia" w:ascii="宋体" w:hAnsi="宋体" w:eastAsia="宋体" w:cs="宋体"/>
          <w:sz w:val="24"/>
        </w:rPr>
      </w:pPr>
    </w:p>
    <w:p>
      <w:pPr>
        <w:spacing w:line="560" w:lineRule="exact"/>
        <w:jc w:val="center"/>
        <w:rPr>
          <w:rFonts w:ascii="宋体" w:hAnsi="宋体" w:eastAsia="宋体" w:cs="宋体"/>
          <w:sz w:val="24"/>
        </w:rPr>
      </w:pPr>
    </w:p>
    <w:p>
      <w:pPr>
        <w:spacing w:line="560" w:lineRule="exact"/>
        <w:ind w:firstLine="634"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（此件公开发布）</w:t>
      </w:r>
    </w:p>
    <w:p>
      <w:pPr>
        <w:spacing w:line="560" w:lineRule="exact"/>
        <w:jc w:val="center"/>
        <w:rPr>
          <w:rFonts w:ascii="宋体" w:hAnsi="宋体" w:eastAsia="宋体" w:cs="宋体"/>
          <w:sz w:val="24"/>
        </w:rPr>
      </w:pPr>
    </w:p>
    <w:p>
      <w:pPr>
        <w:spacing w:line="560" w:lineRule="exact"/>
        <w:jc w:val="center"/>
        <w:rPr>
          <w:rStyle w:val="7"/>
          <w:rFonts w:ascii="方正小标宋简体" w:hAnsi="方正小标宋简体" w:eastAsia="方正小标宋简体" w:cs="方正小标宋简体"/>
        </w:rPr>
      </w:pPr>
      <w:r>
        <w:rPr>
          <w:rStyle w:val="7"/>
          <w:rFonts w:hint="eastAsia" w:ascii="方正小标宋简体" w:hAnsi="方正小标宋简体" w:eastAsia="方正小标宋简体" w:cs="方正小标宋简体"/>
        </w:rPr>
        <w:t>山亭区建设国家健康城市实施方案</w:t>
      </w:r>
      <w:r>
        <w:rPr>
          <w:rStyle w:val="7"/>
          <w:rFonts w:hint="eastAsia" w:ascii="方正小标宋简体" w:hAnsi="方正小标宋简体" w:eastAsia="方正小标宋简体" w:cs="方正小标宋简体"/>
        </w:rPr>
        <w:br w:type="textWrapping"/>
      </w:r>
    </w:p>
    <w:p>
      <w:pPr>
        <w:spacing w:line="560" w:lineRule="exact"/>
        <w:ind w:firstLine="634" w:firstLineChars="200"/>
        <w:rPr>
          <w:rStyle w:val="10"/>
        </w:rPr>
      </w:pPr>
      <w:r>
        <w:rPr>
          <w:rStyle w:val="8"/>
        </w:rPr>
        <w:t>为贯彻落实国家各项健康政策，加快国家健康城市建设步伐，根据《中共枣庄市委枣庄市人民政府关于建设国家健康城市的意见》（枣发〔2019〕5号）</w:t>
      </w:r>
      <w:r>
        <w:rPr>
          <w:rStyle w:val="8"/>
          <w:rFonts w:hint="eastAsia"/>
        </w:rPr>
        <w:t>和《枣庄市</w:t>
      </w:r>
      <w:r>
        <w:rPr>
          <w:rStyle w:val="8"/>
        </w:rPr>
        <w:t>建设国家健康城市实施方案</w:t>
      </w:r>
      <w:r>
        <w:rPr>
          <w:rStyle w:val="8"/>
          <w:rFonts w:hint="eastAsia"/>
        </w:rPr>
        <w:t>》（枣政办</w:t>
      </w:r>
      <w:r>
        <w:rPr>
          <w:rStyle w:val="8"/>
          <w:rFonts w:hint="eastAsia" w:eastAsia="仿宋_GB2312"/>
          <w:lang w:eastAsia="zh-CN"/>
        </w:rPr>
        <w:t>字</w:t>
      </w:r>
      <w:r>
        <w:rPr>
          <w:rStyle w:val="8"/>
        </w:rPr>
        <w:t>〔2019〕</w:t>
      </w:r>
      <w:r>
        <w:rPr>
          <w:rStyle w:val="8"/>
          <w:rFonts w:hint="eastAsia"/>
        </w:rPr>
        <w:t>27</w:t>
      </w:r>
      <w:r>
        <w:rPr>
          <w:rStyle w:val="8"/>
        </w:rPr>
        <w:t>号</w:t>
      </w:r>
      <w:r>
        <w:rPr>
          <w:rStyle w:val="8"/>
          <w:rFonts w:hint="eastAsia"/>
        </w:rPr>
        <w:t>）</w:t>
      </w:r>
      <w:r>
        <w:rPr>
          <w:rStyle w:val="8"/>
        </w:rPr>
        <w:t>要求，结合各部门工作职责，制定本实施方案。</w:t>
      </w:r>
      <w:r>
        <w:rPr>
          <w:rStyle w:val="8"/>
        </w:rPr>
        <w:br w:type="textWrapping"/>
      </w:r>
      <w:r>
        <w:rPr>
          <w:rStyle w:val="8"/>
          <w:rFonts w:hint="eastAsia"/>
        </w:rPr>
        <w:t xml:space="preserve">    </w:t>
      </w:r>
      <w:r>
        <w:rPr>
          <w:rStyle w:val="9"/>
        </w:rPr>
        <w:t>一、指导思想</w:t>
      </w:r>
      <w:r>
        <w:rPr>
          <w:rStyle w:val="9"/>
        </w:rPr>
        <w:br w:type="textWrapping"/>
      </w:r>
      <w:r>
        <w:rPr>
          <w:rStyle w:val="9"/>
          <w:rFonts w:hint="eastAsia"/>
        </w:rPr>
        <w:t xml:space="preserve">    </w:t>
      </w:r>
      <w:r>
        <w:rPr>
          <w:rStyle w:val="8"/>
        </w:rPr>
        <w:t>以习近平新时代中国特色社会主义思想为指导，以保障人的健康为出发点，通过“改善健康环境、营造健康社会、优化健康服务、培育健康人群、发展健康文化”等举措，提高群众的健康意识和自我保健能力</w:t>
      </w:r>
      <w:r>
        <w:rPr>
          <w:rStyle w:val="8"/>
          <w:rFonts w:hint="eastAsia" w:eastAsia="仿宋_GB2312"/>
          <w:lang w:val="en-US" w:eastAsia="zh-CN"/>
        </w:rPr>
        <w:t>,</w:t>
      </w:r>
      <w:r>
        <w:rPr>
          <w:rStyle w:val="8"/>
        </w:rPr>
        <w:t>干预控制影响健康的危险因素，规范公共卫生行为，形成文明健康的生活方式，促进人民群众健康水平不断提高。</w:t>
      </w:r>
      <w:r>
        <w:rPr>
          <w:rStyle w:val="8"/>
        </w:rPr>
        <w:br w:type="textWrapping"/>
      </w:r>
      <w:r>
        <w:rPr>
          <w:rStyle w:val="8"/>
          <w:rFonts w:hint="eastAsia"/>
        </w:rPr>
        <w:t xml:space="preserve">    </w:t>
      </w:r>
      <w:r>
        <w:rPr>
          <w:rStyle w:val="9"/>
        </w:rPr>
        <w:t>二、基本原则</w:t>
      </w:r>
      <w:r>
        <w:rPr>
          <w:rStyle w:val="9"/>
        </w:rPr>
        <w:br w:type="textWrapping"/>
      </w:r>
      <w:r>
        <w:rPr>
          <w:rStyle w:val="9"/>
          <w:rFonts w:hint="eastAsia"/>
        </w:rPr>
        <w:t xml:space="preserve">    </w:t>
      </w:r>
      <w:r>
        <w:rPr>
          <w:rStyle w:val="10"/>
        </w:rPr>
        <w:t>（一）坚持以人为本。</w:t>
      </w:r>
      <w:r>
        <w:rPr>
          <w:rStyle w:val="8"/>
        </w:rPr>
        <w:t>始终把全体居民的健康利益作为建设国家健康城市的根本出发点和落脚点</w:t>
      </w:r>
      <w:r>
        <w:rPr>
          <w:rStyle w:val="8"/>
          <w:rFonts w:hint="eastAsia"/>
        </w:rPr>
        <w:t>，</w:t>
      </w:r>
      <w:r>
        <w:rPr>
          <w:rStyle w:val="8"/>
        </w:rPr>
        <w:t>做到建设为人民、建设靠人民、建设成果由人民共享、建设成效由人民检验。</w:t>
      </w:r>
      <w:r>
        <w:rPr>
          <w:rStyle w:val="8"/>
        </w:rPr>
        <w:br w:type="textWrapping"/>
      </w:r>
      <w:r>
        <w:rPr>
          <w:rStyle w:val="8"/>
          <w:rFonts w:hint="eastAsia"/>
        </w:rPr>
        <w:t xml:space="preserve">    </w:t>
      </w:r>
      <w:r>
        <w:rPr>
          <w:rStyle w:val="10"/>
        </w:rPr>
        <w:t>（二）坚持城乡统筹。</w:t>
      </w:r>
      <w:r>
        <w:rPr>
          <w:rStyle w:val="8"/>
        </w:rPr>
        <w:t>统筹全</w:t>
      </w:r>
      <w:r>
        <w:rPr>
          <w:rStyle w:val="8"/>
          <w:rFonts w:hint="eastAsia"/>
        </w:rPr>
        <w:t>区</w:t>
      </w:r>
      <w:r>
        <w:rPr>
          <w:rStyle w:val="8"/>
        </w:rPr>
        <w:t>经济社会发展，加快推进以改善民生为重点的社会健康建设，制定和完善各项社会保障政策，推动各项健康事业共同进步，实现城乡平衡、群体平衡，促进全体居民的生理健康、心理健康、行为健康的全面发展。</w:t>
      </w:r>
      <w:r>
        <w:rPr>
          <w:rStyle w:val="8"/>
        </w:rPr>
        <w:br w:type="textWrapping"/>
      </w:r>
      <w:r>
        <w:rPr>
          <w:rStyle w:val="8"/>
          <w:rFonts w:hint="eastAsia"/>
        </w:rPr>
        <w:t xml:space="preserve">    </w:t>
      </w:r>
      <w:r>
        <w:rPr>
          <w:rStyle w:val="10"/>
        </w:rPr>
        <w:t>（三）坚持资源整合</w:t>
      </w:r>
      <w:r>
        <w:rPr>
          <w:rStyle w:val="10"/>
          <w:rFonts w:hint="eastAsia"/>
        </w:rPr>
        <w:t>。</w:t>
      </w:r>
      <w:r>
        <w:rPr>
          <w:rStyle w:val="8"/>
        </w:rPr>
        <w:t>加强与社会组织、社会力量举办的各类特色健康机构联动，调动各方积极性、主动性，最大限度整合各项资源，实行一体化运作，实现政府主导、群众主体、社会推动“三位一体”，形成建设国家健康城市的强大合力。</w:t>
      </w:r>
      <w:r>
        <w:rPr>
          <w:rStyle w:val="8"/>
        </w:rPr>
        <w:br w:type="textWrapping"/>
      </w:r>
      <w:r>
        <w:rPr>
          <w:rStyle w:val="8"/>
          <w:rFonts w:hint="eastAsia"/>
        </w:rPr>
        <w:t xml:space="preserve">    </w:t>
      </w:r>
      <w:r>
        <w:rPr>
          <w:rStyle w:val="10"/>
        </w:rPr>
        <w:t>（四）坚持突出特色</w:t>
      </w:r>
      <w:r>
        <w:rPr>
          <w:rStyle w:val="10"/>
          <w:rFonts w:hint="eastAsia"/>
        </w:rPr>
        <w:t>。</w:t>
      </w:r>
      <w:r>
        <w:rPr>
          <w:rStyle w:val="8"/>
        </w:rPr>
        <w:t>立足</w:t>
      </w:r>
      <w:r>
        <w:rPr>
          <w:rStyle w:val="8"/>
          <w:rFonts w:hint="eastAsia"/>
        </w:rPr>
        <w:t>山亭</w:t>
      </w:r>
      <w:r>
        <w:rPr>
          <w:rStyle w:val="8"/>
        </w:rPr>
        <w:t>实际，以理念思路的创新推动体制机制创新，强化特色、打造品牌。</w:t>
      </w:r>
      <w:r>
        <w:rPr>
          <w:rStyle w:val="8"/>
        </w:rPr>
        <w:br w:type="textWrapping"/>
      </w:r>
      <w:r>
        <w:rPr>
          <w:rStyle w:val="8"/>
          <w:rFonts w:hint="eastAsia"/>
        </w:rPr>
        <w:t xml:space="preserve">     </w:t>
      </w:r>
      <w:r>
        <w:rPr>
          <w:rStyle w:val="9"/>
        </w:rPr>
        <w:t>三、工作目标</w:t>
      </w:r>
      <w:r>
        <w:rPr>
          <w:rStyle w:val="9"/>
        </w:rPr>
        <w:br w:type="textWrapping"/>
      </w:r>
      <w:r>
        <w:rPr>
          <w:rStyle w:val="9"/>
          <w:rFonts w:hint="eastAsia"/>
        </w:rPr>
        <w:t xml:space="preserve">    </w:t>
      </w:r>
      <w:r>
        <w:rPr>
          <w:rStyle w:val="8"/>
        </w:rPr>
        <w:t>2019年</w:t>
      </w:r>
      <w:r>
        <w:rPr>
          <w:rStyle w:val="8"/>
          <w:rFonts w:hint="eastAsia" w:eastAsia="仿宋_GB2312"/>
          <w:lang w:eastAsia="zh-CN"/>
        </w:rPr>
        <w:t>，</w:t>
      </w:r>
      <w:r>
        <w:rPr>
          <w:rStyle w:val="8"/>
        </w:rPr>
        <w:t>全面启动国家健康城市建设各项活动。以建设健康社区为试点，抓好典型示范工作，广泛开展健康教育和健康促进活动，完成健康城市基线调查并形成基本工作框架</w:t>
      </w:r>
      <w:r>
        <w:rPr>
          <w:rStyle w:val="8"/>
          <w:rFonts w:hint="eastAsia" w:eastAsia="仿宋_GB2312"/>
          <w:lang w:eastAsia="zh-CN"/>
        </w:rPr>
        <w:t>。</w:t>
      </w:r>
      <w:r>
        <w:rPr>
          <w:rStyle w:val="8"/>
        </w:rPr>
        <w:t>2021年</w:t>
      </w:r>
      <w:r>
        <w:rPr>
          <w:rStyle w:val="8"/>
          <w:rFonts w:hint="eastAsia" w:eastAsia="仿宋_GB2312"/>
          <w:lang w:eastAsia="zh-CN"/>
        </w:rPr>
        <w:t>，</w:t>
      </w:r>
      <w:r>
        <w:rPr>
          <w:rStyle w:val="8"/>
        </w:rPr>
        <w:t>各项主要健康指标进入</w:t>
      </w:r>
      <w:r>
        <w:rPr>
          <w:rStyle w:val="8"/>
          <w:rFonts w:hint="eastAsia"/>
        </w:rPr>
        <w:t>全市甚至</w:t>
      </w:r>
      <w:r>
        <w:rPr>
          <w:rStyle w:val="8"/>
        </w:rPr>
        <w:t>全省前列</w:t>
      </w:r>
      <w:r>
        <w:rPr>
          <w:rStyle w:val="8"/>
          <w:rFonts w:hint="eastAsia" w:eastAsia="仿宋_GB2312"/>
          <w:lang w:eastAsia="zh-CN"/>
        </w:rPr>
        <w:t>。</w:t>
      </w:r>
      <w:r>
        <w:rPr>
          <w:rStyle w:val="8"/>
        </w:rPr>
        <w:t>2022年</w:t>
      </w:r>
      <w:r>
        <w:rPr>
          <w:rStyle w:val="8"/>
          <w:rFonts w:hint="eastAsia" w:eastAsia="仿宋_GB2312"/>
          <w:lang w:eastAsia="zh-CN"/>
        </w:rPr>
        <w:t>，</w:t>
      </w:r>
      <w:r>
        <w:rPr>
          <w:rStyle w:val="8"/>
        </w:rPr>
        <w:t>建设成国家健康城市或健康城市建设示范市。</w:t>
      </w:r>
      <w:r>
        <w:rPr>
          <w:rStyle w:val="8"/>
        </w:rPr>
        <w:br w:type="textWrapping"/>
      </w:r>
      <w:r>
        <w:rPr>
          <w:rStyle w:val="8"/>
          <w:rFonts w:hint="eastAsia"/>
        </w:rPr>
        <w:t xml:space="preserve">    </w:t>
      </w:r>
      <w:r>
        <w:rPr>
          <w:rStyle w:val="9"/>
        </w:rPr>
        <w:t>四、工作机制</w:t>
      </w:r>
      <w:r>
        <w:rPr>
          <w:rStyle w:val="9"/>
        </w:rPr>
        <w:br w:type="textWrapping"/>
      </w:r>
      <w:r>
        <w:rPr>
          <w:rStyle w:val="9"/>
          <w:rFonts w:hint="eastAsia"/>
        </w:rPr>
        <w:t xml:space="preserve">    </w:t>
      </w:r>
      <w:r>
        <w:rPr>
          <w:rStyle w:val="8"/>
        </w:rPr>
        <w:t>建立健全建设国家健康城市工作体制机制，完善工作方案，制定规划设计，完成符合</w:t>
      </w:r>
      <w:r>
        <w:rPr>
          <w:rStyle w:val="8"/>
          <w:rFonts w:hint="eastAsia"/>
        </w:rPr>
        <w:t>山亭</w:t>
      </w:r>
      <w:r>
        <w:rPr>
          <w:rStyle w:val="8"/>
        </w:rPr>
        <w:t>实际的国家健康城市指标体系的设置评估。在</w:t>
      </w:r>
      <w:r>
        <w:rPr>
          <w:rStyle w:val="8"/>
          <w:rFonts w:hint="eastAsia"/>
        </w:rPr>
        <w:t>山亭区</w:t>
      </w:r>
      <w:r>
        <w:rPr>
          <w:rStyle w:val="8"/>
        </w:rPr>
        <w:t>国家健康城市建设指挥部之下，设立5个专业工作组，作为建设国家健康城市的工作推进机构，分别承担起相关任务。每个专业工作</w:t>
      </w:r>
      <w:r>
        <w:rPr>
          <w:rStyle w:val="8"/>
          <w:rFonts w:hint="eastAsia"/>
        </w:rPr>
        <w:t>组</w:t>
      </w:r>
      <w:r>
        <w:rPr>
          <w:rStyle w:val="8"/>
        </w:rPr>
        <w:t>明确一个牵头部门和多个参加单位，各单位均需确定一名班子成员分管国家健康城市建设工作，同时明确一个科室承担具体工作任务。完善指挥部办公室各项工作制度，明确职责、任务和时限，加强平时工作调度，不断推进健康城市建设工作向纵深推进。</w:t>
      </w:r>
      <w:r>
        <w:rPr>
          <w:rStyle w:val="8"/>
        </w:rPr>
        <w:br w:type="textWrapping"/>
      </w:r>
      <w:r>
        <w:rPr>
          <w:rStyle w:val="8"/>
          <w:rFonts w:hint="eastAsia"/>
        </w:rPr>
        <w:t xml:space="preserve">    </w:t>
      </w:r>
      <w:r>
        <w:rPr>
          <w:rStyle w:val="10"/>
        </w:rPr>
        <w:t>（一）健康服务专业工作组</w:t>
      </w:r>
      <w:r>
        <w:rPr>
          <w:rStyle w:val="10"/>
        </w:rPr>
        <w:br w:type="textWrapping"/>
      </w:r>
      <w:r>
        <w:rPr>
          <w:rStyle w:val="10"/>
          <w:rFonts w:hint="eastAsia"/>
        </w:rPr>
        <w:t xml:space="preserve">    </w:t>
      </w:r>
      <w:r>
        <w:rPr>
          <w:rStyle w:val="8"/>
        </w:rPr>
        <w:t>牵头单位：</w:t>
      </w:r>
      <w:r>
        <w:rPr>
          <w:rStyle w:val="8"/>
          <w:rFonts w:hint="eastAsia"/>
        </w:rPr>
        <w:t>区</w:t>
      </w:r>
      <w:r>
        <w:rPr>
          <w:rStyle w:val="8"/>
        </w:rPr>
        <w:t>卫生健康</w:t>
      </w:r>
      <w:r>
        <w:rPr>
          <w:rStyle w:val="8"/>
          <w:rFonts w:hint="eastAsia"/>
        </w:rPr>
        <w:t>局</w:t>
      </w:r>
      <w:r>
        <w:rPr>
          <w:rStyle w:val="8"/>
        </w:rPr>
        <w:br w:type="textWrapping"/>
      </w:r>
      <w:r>
        <w:rPr>
          <w:rStyle w:val="8"/>
          <w:rFonts w:hint="eastAsia"/>
        </w:rPr>
        <w:t xml:space="preserve">    </w:t>
      </w:r>
      <w:r>
        <w:rPr>
          <w:rStyle w:val="8"/>
        </w:rPr>
        <w:t>参加单位：</w:t>
      </w:r>
      <w:r>
        <w:rPr>
          <w:rStyle w:val="8"/>
          <w:rFonts w:hint="eastAsia"/>
        </w:rPr>
        <w:t>区</w:t>
      </w:r>
      <w:r>
        <w:rPr>
          <w:rStyle w:val="8"/>
        </w:rPr>
        <w:t>教体局、</w:t>
      </w:r>
      <w:r>
        <w:rPr>
          <w:rStyle w:val="8"/>
          <w:rFonts w:hint="eastAsia"/>
        </w:rPr>
        <w:t>区</w:t>
      </w:r>
      <w:r>
        <w:rPr>
          <w:rStyle w:val="8"/>
        </w:rPr>
        <w:t>人社局、</w:t>
      </w:r>
      <w:r>
        <w:rPr>
          <w:rStyle w:val="8"/>
          <w:rFonts w:hint="eastAsia"/>
        </w:rPr>
        <w:t>区</w:t>
      </w:r>
      <w:r>
        <w:rPr>
          <w:rStyle w:val="8"/>
        </w:rPr>
        <w:t>医保局、</w:t>
      </w:r>
      <w:r>
        <w:rPr>
          <w:rStyle w:val="8"/>
          <w:rFonts w:hint="eastAsia"/>
        </w:rPr>
        <w:t>区</w:t>
      </w:r>
      <w:r>
        <w:rPr>
          <w:rStyle w:val="8"/>
        </w:rPr>
        <w:t>民政局、</w:t>
      </w:r>
      <w:r>
        <w:rPr>
          <w:rStyle w:val="8"/>
          <w:rFonts w:hint="eastAsia"/>
        </w:rPr>
        <w:t>区</w:t>
      </w:r>
      <w:r>
        <w:rPr>
          <w:rStyle w:val="8"/>
        </w:rPr>
        <w:t>财政局、</w:t>
      </w:r>
      <w:r>
        <w:rPr>
          <w:rStyle w:val="8"/>
          <w:rFonts w:hint="eastAsia"/>
        </w:rPr>
        <w:t>区</w:t>
      </w:r>
      <w:r>
        <w:rPr>
          <w:rStyle w:val="8"/>
        </w:rPr>
        <w:t>市场监管局、</w:t>
      </w:r>
      <w:r>
        <w:rPr>
          <w:rStyle w:val="8"/>
          <w:rFonts w:hint="eastAsia"/>
        </w:rPr>
        <w:t>区</w:t>
      </w:r>
      <w:r>
        <w:rPr>
          <w:rStyle w:val="8"/>
        </w:rPr>
        <w:t>应急</w:t>
      </w:r>
      <w:r>
        <w:rPr>
          <w:rStyle w:val="8"/>
          <w:rFonts w:hint="eastAsia"/>
        </w:rPr>
        <w:t>管理</w:t>
      </w:r>
      <w:r>
        <w:rPr>
          <w:rStyle w:val="8"/>
        </w:rPr>
        <w:t>局、</w:t>
      </w:r>
      <w:r>
        <w:rPr>
          <w:rStyle w:val="8"/>
          <w:rFonts w:hint="eastAsia"/>
        </w:rPr>
        <w:t>区</w:t>
      </w:r>
      <w:r>
        <w:rPr>
          <w:rStyle w:val="8"/>
        </w:rPr>
        <w:t>残联、</w:t>
      </w:r>
      <w:r>
        <w:rPr>
          <w:rStyle w:val="8"/>
          <w:rFonts w:hint="eastAsia"/>
        </w:rPr>
        <w:t>区</w:t>
      </w:r>
      <w:r>
        <w:rPr>
          <w:rStyle w:val="8"/>
        </w:rPr>
        <w:t>红十字会，各</w:t>
      </w:r>
      <w:r>
        <w:rPr>
          <w:rStyle w:val="8"/>
          <w:rFonts w:hint="eastAsia"/>
        </w:rPr>
        <w:t>镇街</w:t>
      </w:r>
      <w:r>
        <w:rPr>
          <w:rStyle w:val="8"/>
        </w:rPr>
        <w:t>人民政府</w:t>
      </w:r>
      <w:r>
        <w:rPr>
          <w:rStyle w:val="8"/>
          <w:rFonts w:hint="eastAsia" w:eastAsia="仿宋_GB2312"/>
          <w:lang w:eastAsia="zh-CN"/>
        </w:rPr>
        <w:t>（办事处）</w:t>
      </w:r>
      <w:r>
        <w:rPr>
          <w:rStyle w:val="8"/>
        </w:rPr>
        <w:t>。</w:t>
      </w:r>
      <w:r>
        <w:rPr>
          <w:rStyle w:val="8"/>
        </w:rPr>
        <w:br w:type="textWrapping"/>
      </w:r>
      <w:r>
        <w:rPr>
          <w:rStyle w:val="8"/>
          <w:rFonts w:hint="eastAsia"/>
        </w:rPr>
        <w:t xml:space="preserve">    </w:t>
      </w:r>
      <w:r>
        <w:rPr>
          <w:rStyle w:val="10"/>
        </w:rPr>
        <w:t>（二）健康环境专业工作组</w:t>
      </w:r>
      <w:r>
        <w:rPr>
          <w:rStyle w:val="10"/>
        </w:rPr>
        <w:br w:type="textWrapping"/>
      </w:r>
      <w:r>
        <w:rPr>
          <w:rStyle w:val="10"/>
          <w:rFonts w:hint="eastAsia"/>
        </w:rPr>
        <w:t xml:space="preserve">    </w:t>
      </w:r>
      <w:r>
        <w:rPr>
          <w:rStyle w:val="8"/>
        </w:rPr>
        <w:t>牵头单位：</w:t>
      </w:r>
      <w:r>
        <w:rPr>
          <w:rStyle w:val="8"/>
          <w:rFonts w:hint="eastAsia"/>
        </w:rPr>
        <w:t>区</w:t>
      </w:r>
      <w:r>
        <w:rPr>
          <w:rStyle w:val="8"/>
        </w:rPr>
        <w:t>生态环境</w:t>
      </w:r>
      <w:r>
        <w:rPr>
          <w:rStyle w:val="8"/>
          <w:rFonts w:hint="eastAsia"/>
        </w:rPr>
        <w:t>分</w:t>
      </w:r>
      <w:r>
        <w:rPr>
          <w:rStyle w:val="8"/>
        </w:rPr>
        <w:t>局</w:t>
      </w:r>
      <w:r>
        <w:rPr>
          <w:rStyle w:val="8"/>
        </w:rPr>
        <w:br w:type="textWrapping"/>
      </w:r>
      <w:r>
        <w:rPr>
          <w:rStyle w:val="8"/>
          <w:rFonts w:hint="eastAsia"/>
        </w:rPr>
        <w:t xml:space="preserve">    </w:t>
      </w:r>
      <w:r>
        <w:rPr>
          <w:rStyle w:val="8"/>
        </w:rPr>
        <w:t>参加单位：</w:t>
      </w:r>
      <w:r>
        <w:rPr>
          <w:rStyle w:val="8"/>
          <w:rFonts w:hint="eastAsia"/>
        </w:rPr>
        <w:t>区</w:t>
      </w:r>
      <w:r>
        <w:rPr>
          <w:rStyle w:val="8"/>
        </w:rPr>
        <w:t>住建局、</w:t>
      </w:r>
      <w:r>
        <w:rPr>
          <w:rStyle w:val="8"/>
          <w:rFonts w:hint="eastAsia"/>
        </w:rPr>
        <w:t>区</w:t>
      </w:r>
      <w:r>
        <w:rPr>
          <w:rStyle w:val="8"/>
        </w:rPr>
        <w:t>卫生健康</w:t>
      </w:r>
      <w:r>
        <w:rPr>
          <w:rStyle w:val="8"/>
          <w:rFonts w:hint="eastAsia"/>
        </w:rPr>
        <w:t>局</w:t>
      </w:r>
      <w:r>
        <w:rPr>
          <w:rStyle w:val="8"/>
        </w:rPr>
        <w:t>、</w:t>
      </w:r>
      <w:r>
        <w:rPr>
          <w:rStyle w:val="8"/>
          <w:rFonts w:hint="eastAsia"/>
        </w:rPr>
        <w:t>区综合行政执法</w:t>
      </w:r>
      <w:r>
        <w:rPr>
          <w:rStyle w:val="8"/>
        </w:rPr>
        <w:t>局、</w:t>
      </w:r>
      <w:r>
        <w:rPr>
          <w:rStyle w:val="8"/>
          <w:rFonts w:hint="eastAsia"/>
        </w:rPr>
        <w:t>区</w:t>
      </w:r>
      <w:r>
        <w:rPr>
          <w:rStyle w:val="8"/>
        </w:rPr>
        <w:t>公安</w:t>
      </w:r>
      <w:r>
        <w:rPr>
          <w:rStyle w:val="8"/>
          <w:rFonts w:hint="eastAsia"/>
        </w:rPr>
        <w:t>分</w:t>
      </w:r>
      <w:r>
        <w:rPr>
          <w:rStyle w:val="8"/>
        </w:rPr>
        <w:t>局、</w:t>
      </w:r>
      <w:r>
        <w:rPr>
          <w:rStyle w:val="8"/>
          <w:rFonts w:hint="eastAsia"/>
        </w:rPr>
        <w:t>区</w:t>
      </w:r>
      <w:r>
        <w:rPr>
          <w:rStyle w:val="8"/>
        </w:rPr>
        <w:t>农业农村局、</w:t>
      </w:r>
      <w:r>
        <w:rPr>
          <w:rStyle w:val="8"/>
          <w:rFonts w:hint="eastAsia"/>
        </w:rPr>
        <w:t>区</w:t>
      </w:r>
      <w:r>
        <w:rPr>
          <w:rStyle w:val="8"/>
        </w:rPr>
        <w:t>城乡水务局、</w:t>
      </w:r>
      <w:r>
        <w:rPr>
          <w:rStyle w:val="8"/>
          <w:rFonts w:hint="eastAsia"/>
          <w:color w:val="auto"/>
        </w:rPr>
        <w:t>区</w:t>
      </w:r>
      <w:r>
        <w:rPr>
          <w:rStyle w:val="8"/>
          <w:color w:val="auto"/>
        </w:rPr>
        <w:t>自然资源局、</w:t>
      </w:r>
      <w:r>
        <w:rPr>
          <w:rStyle w:val="8"/>
          <w:rFonts w:hint="eastAsia"/>
        </w:rPr>
        <w:t>区</w:t>
      </w:r>
      <w:r>
        <w:rPr>
          <w:rStyle w:val="8"/>
        </w:rPr>
        <w:t>交运局</w:t>
      </w:r>
      <w:r>
        <w:rPr>
          <w:rStyle w:val="8"/>
          <w:rFonts w:hint="eastAsia"/>
        </w:rPr>
        <w:t>、区工信局</w:t>
      </w:r>
      <w:r>
        <w:rPr>
          <w:rStyle w:val="8"/>
        </w:rPr>
        <w:t>，各</w:t>
      </w:r>
      <w:r>
        <w:rPr>
          <w:rStyle w:val="8"/>
          <w:rFonts w:hint="eastAsia"/>
        </w:rPr>
        <w:t>镇街</w:t>
      </w:r>
      <w:r>
        <w:rPr>
          <w:rStyle w:val="8"/>
        </w:rPr>
        <w:t>人民政府</w:t>
      </w:r>
      <w:r>
        <w:rPr>
          <w:rStyle w:val="8"/>
          <w:rFonts w:hint="eastAsia" w:eastAsia="仿宋_GB2312"/>
          <w:lang w:eastAsia="zh-CN"/>
        </w:rPr>
        <w:t>（办事处）</w:t>
      </w:r>
      <w:r>
        <w:rPr>
          <w:rStyle w:val="8"/>
        </w:rPr>
        <w:t>。</w:t>
      </w:r>
      <w:r>
        <w:rPr>
          <w:rStyle w:val="8"/>
        </w:rPr>
        <w:br w:type="textWrapping"/>
      </w:r>
      <w:r>
        <w:rPr>
          <w:rStyle w:val="8"/>
          <w:rFonts w:hint="eastAsia"/>
        </w:rPr>
        <w:t xml:space="preserve">    </w:t>
      </w:r>
      <w:r>
        <w:rPr>
          <w:rStyle w:val="10"/>
        </w:rPr>
        <w:t>（三）健康人群专业工作组</w:t>
      </w:r>
      <w:r>
        <w:rPr>
          <w:rStyle w:val="10"/>
        </w:rPr>
        <w:br w:type="textWrapping"/>
      </w:r>
      <w:r>
        <w:rPr>
          <w:rStyle w:val="10"/>
          <w:rFonts w:hint="eastAsia"/>
        </w:rPr>
        <w:t xml:space="preserve">    </w:t>
      </w:r>
      <w:r>
        <w:rPr>
          <w:rStyle w:val="8"/>
        </w:rPr>
        <w:t>牵头单位：</w:t>
      </w:r>
      <w:r>
        <w:rPr>
          <w:rStyle w:val="8"/>
          <w:rFonts w:hint="eastAsia"/>
        </w:rPr>
        <w:t>区教体</w:t>
      </w:r>
      <w:r>
        <w:rPr>
          <w:rStyle w:val="8"/>
        </w:rPr>
        <w:t>局</w:t>
      </w:r>
      <w:r>
        <w:rPr>
          <w:rStyle w:val="8"/>
        </w:rPr>
        <w:br w:type="textWrapping"/>
      </w:r>
      <w:r>
        <w:rPr>
          <w:rStyle w:val="8"/>
          <w:rFonts w:hint="eastAsia"/>
        </w:rPr>
        <w:t xml:space="preserve">    </w:t>
      </w:r>
      <w:r>
        <w:rPr>
          <w:rStyle w:val="8"/>
        </w:rPr>
        <w:t>参加单位：</w:t>
      </w:r>
      <w:r>
        <w:rPr>
          <w:rStyle w:val="8"/>
          <w:rFonts w:hint="eastAsia"/>
          <w:color w:val="auto"/>
        </w:rPr>
        <w:t>区</w:t>
      </w:r>
      <w:r>
        <w:rPr>
          <w:rStyle w:val="8"/>
          <w:color w:val="auto"/>
        </w:rPr>
        <w:t>卫生健康</w:t>
      </w:r>
      <w:r>
        <w:rPr>
          <w:rStyle w:val="8"/>
          <w:rFonts w:hint="eastAsia"/>
          <w:color w:val="auto"/>
        </w:rPr>
        <w:t>局</w:t>
      </w:r>
      <w:r>
        <w:rPr>
          <w:rStyle w:val="8"/>
          <w:color w:val="auto"/>
        </w:rPr>
        <w:t>、</w:t>
      </w:r>
      <w:r>
        <w:rPr>
          <w:rStyle w:val="8"/>
          <w:rFonts w:hint="eastAsia"/>
          <w:color w:val="auto"/>
        </w:rPr>
        <w:t>区</w:t>
      </w:r>
      <w:r>
        <w:rPr>
          <w:rStyle w:val="8"/>
          <w:color w:val="auto"/>
        </w:rPr>
        <w:t>直机关工委、</w:t>
      </w:r>
      <w:r>
        <w:rPr>
          <w:rStyle w:val="8"/>
          <w:rFonts w:hint="eastAsia"/>
          <w:color w:val="auto"/>
        </w:rPr>
        <w:t>区</w:t>
      </w:r>
      <w:r>
        <w:rPr>
          <w:rStyle w:val="8"/>
          <w:color w:val="auto"/>
        </w:rPr>
        <w:t>妇联、</w:t>
      </w:r>
      <w:r>
        <w:rPr>
          <w:rStyle w:val="8"/>
          <w:rFonts w:hint="eastAsia"/>
          <w:color w:val="auto"/>
        </w:rPr>
        <w:t>区</w:t>
      </w:r>
      <w:r>
        <w:rPr>
          <w:rStyle w:val="8"/>
          <w:color w:val="auto"/>
        </w:rPr>
        <w:t>总工会、团</w:t>
      </w:r>
      <w:r>
        <w:rPr>
          <w:rStyle w:val="8"/>
          <w:rFonts w:hint="eastAsia"/>
          <w:color w:val="auto"/>
        </w:rPr>
        <w:t>区</w:t>
      </w:r>
      <w:r>
        <w:rPr>
          <w:rStyle w:val="8"/>
          <w:color w:val="auto"/>
        </w:rPr>
        <w:t>委，各</w:t>
      </w:r>
      <w:r>
        <w:rPr>
          <w:rStyle w:val="8"/>
          <w:rFonts w:hint="eastAsia"/>
          <w:color w:val="auto"/>
        </w:rPr>
        <w:t>镇街</w:t>
      </w:r>
      <w:r>
        <w:rPr>
          <w:rStyle w:val="8"/>
          <w:color w:val="auto"/>
        </w:rPr>
        <w:t>人民政府</w:t>
      </w:r>
      <w:r>
        <w:rPr>
          <w:rStyle w:val="8"/>
          <w:rFonts w:hint="eastAsia" w:eastAsia="仿宋_GB2312"/>
          <w:lang w:eastAsia="zh-CN"/>
        </w:rPr>
        <w:t>（办事处）</w:t>
      </w:r>
      <w:r>
        <w:rPr>
          <w:rStyle w:val="8"/>
          <w:color w:val="auto"/>
        </w:rPr>
        <w:t>。</w:t>
      </w:r>
      <w:r>
        <w:rPr>
          <w:rStyle w:val="8"/>
          <w:color w:val="auto"/>
        </w:rPr>
        <w:br w:type="textWrapping"/>
      </w:r>
      <w:r>
        <w:rPr>
          <w:rStyle w:val="8"/>
          <w:rFonts w:hint="eastAsia"/>
        </w:rPr>
        <w:t xml:space="preserve">    </w:t>
      </w:r>
      <w:r>
        <w:rPr>
          <w:rStyle w:val="10"/>
        </w:rPr>
        <w:t>（四）健康文化专业工作组</w:t>
      </w:r>
      <w:r>
        <w:rPr>
          <w:rStyle w:val="10"/>
        </w:rPr>
        <w:br w:type="textWrapping"/>
      </w:r>
      <w:r>
        <w:rPr>
          <w:rStyle w:val="10"/>
          <w:rFonts w:hint="eastAsia"/>
        </w:rPr>
        <w:t xml:space="preserve">    </w:t>
      </w:r>
      <w:r>
        <w:rPr>
          <w:rStyle w:val="8"/>
        </w:rPr>
        <w:t>牵头单位：</w:t>
      </w:r>
      <w:r>
        <w:rPr>
          <w:rStyle w:val="8"/>
          <w:rFonts w:hint="eastAsia"/>
        </w:rPr>
        <w:t>区</w:t>
      </w:r>
      <w:r>
        <w:rPr>
          <w:rStyle w:val="8"/>
        </w:rPr>
        <w:t>委宣传部</w:t>
      </w:r>
      <w:r>
        <w:rPr>
          <w:rStyle w:val="8"/>
        </w:rPr>
        <w:br w:type="textWrapping"/>
      </w:r>
      <w:r>
        <w:rPr>
          <w:rStyle w:val="8"/>
          <w:rFonts w:hint="eastAsia"/>
        </w:rPr>
        <w:t xml:space="preserve">    </w:t>
      </w:r>
      <w:r>
        <w:rPr>
          <w:rStyle w:val="8"/>
        </w:rPr>
        <w:t>参加单位：</w:t>
      </w:r>
      <w:r>
        <w:rPr>
          <w:rStyle w:val="8"/>
          <w:rFonts w:hint="eastAsia"/>
        </w:rPr>
        <w:t>区</w:t>
      </w:r>
      <w:r>
        <w:rPr>
          <w:rStyle w:val="8"/>
        </w:rPr>
        <w:t>文化和旅游局、</w:t>
      </w:r>
      <w:r>
        <w:rPr>
          <w:rStyle w:val="8"/>
          <w:rFonts w:hint="eastAsia"/>
        </w:rPr>
        <w:t>区</w:t>
      </w:r>
      <w:r>
        <w:rPr>
          <w:rStyle w:val="8"/>
        </w:rPr>
        <w:t>卫健</w:t>
      </w:r>
      <w:r>
        <w:rPr>
          <w:rStyle w:val="8"/>
          <w:rFonts w:hint="eastAsia"/>
        </w:rPr>
        <w:t>局</w:t>
      </w:r>
      <w:r>
        <w:rPr>
          <w:rStyle w:val="8"/>
        </w:rPr>
        <w:t>、</w:t>
      </w:r>
      <w:r>
        <w:rPr>
          <w:rStyle w:val="8"/>
          <w:rFonts w:hint="eastAsia"/>
        </w:rPr>
        <w:t>区</w:t>
      </w:r>
      <w:r>
        <w:rPr>
          <w:rStyle w:val="8"/>
        </w:rPr>
        <w:t>教</w:t>
      </w:r>
      <w:r>
        <w:rPr>
          <w:rStyle w:val="8"/>
          <w:rFonts w:hint="eastAsia"/>
        </w:rPr>
        <w:t>体</w:t>
      </w:r>
      <w:r>
        <w:rPr>
          <w:rStyle w:val="8"/>
        </w:rPr>
        <w:t>局、</w:t>
      </w:r>
      <w:r>
        <w:rPr>
          <w:rStyle w:val="8"/>
          <w:rFonts w:hint="eastAsia"/>
        </w:rPr>
        <w:t>区</w:t>
      </w:r>
      <w:r>
        <w:rPr>
          <w:rStyle w:val="8"/>
        </w:rPr>
        <w:t>市场监管局、</w:t>
      </w:r>
      <w:r>
        <w:rPr>
          <w:rStyle w:val="8"/>
          <w:rFonts w:hint="eastAsia"/>
        </w:rPr>
        <w:t>区</w:t>
      </w:r>
      <w:r>
        <w:rPr>
          <w:rStyle w:val="8"/>
        </w:rPr>
        <w:t>民政局、</w:t>
      </w:r>
      <w:r>
        <w:rPr>
          <w:rStyle w:val="8"/>
          <w:rFonts w:hint="eastAsia"/>
        </w:rPr>
        <w:t>区</w:t>
      </w:r>
      <w:r>
        <w:rPr>
          <w:rStyle w:val="8"/>
        </w:rPr>
        <w:t>文明办、</w:t>
      </w:r>
      <w:r>
        <w:rPr>
          <w:rStyle w:val="8"/>
          <w:rFonts w:hint="eastAsia"/>
        </w:rPr>
        <w:t>区</w:t>
      </w:r>
      <w:r>
        <w:rPr>
          <w:rStyle w:val="8"/>
        </w:rPr>
        <w:t>总工会、</w:t>
      </w:r>
      <w:r>
        <w:rPr>
          <w:rStyle w:val="8"/>
          <w:rFonts w:hint="eastAsia"/>
        </w:rPr>
        <w:t>区</w:t>
      </w:r>
      <w:r>
        <w:rPr>
          <w:rStyle w:val="8"/>
        </w:rPr>
        <w:t>妇联、团</w:t>
      </w:r>
      <w:r>
        <w:rPr>
          <w:rStyle w:val="8"/>
          <w:rFonts w:hint="eastAsia"/>
        </w:rPr>
        <w:t>区</w:t>
      </w:r>
      <w:r>
        <w:rPr>
          <w:rStyle w:val="8"/>
        </w:rPr>
        <w:t>委，各</w:t>
      </w:r>
      <w:r>
        <w:rPr>
          <w:rStyle w:val="8"/>
          <w:rFonts w:hint="eastAsia"/>
        </w:rPr>
        <w:t>镇街</w:t>
      </w:r>
      <w:r>
        <w:rPr>
          <w:rStyle w:val="8"/>
        </w:rPr>
        <w:t>人民政府</w:t>
      </w:r>
      <w:r>
        <w:rPr>
          <w:rStyle w:val="8"/>
          <w:rFonts w:hint="eastAsia" w:eastAsia="仿宋_GB2312"/>
          <w:lang w:eastAsia="zh-CN"/>
        </w:rPr>
        <w:t>（办事处）</w:t>
      </w:r>
      <w:r>
        <w:rPr>
          <w:rStyle w:val="8"/>
        </w:rPr>
        <w:t>。</w:t>
      </w:r>
      <w:r>
        <w:rPr>
          <w:rStyle w:val="8"/>
        </w:rPr>
        <w:br w:type="textWrapping"/>
      </w:r>
      <w:r>
        <w:rPr>
          <w:rStyle w:val="8"/>
          <w:rFonts w:hint="eastAsia"/>
        </w:rPr>
        <w:t xml:space="preserve">    </w:t>
      </w:r>
      <w:r>
        <w:rPr>
          <w:rStyle w:val="10"/>
        </w:rPr>
        <w:t>（五）健康社会专业工作组</w:t>
      </w:r>
    </w:p>
    <w:p>
      <w:pPr>
        <w:spacing w:line="560" w:lineRule="exact"/>
        <w:ind w:firstLine="634" w:firstLineChars="200"/>
        <w:rPr>
          <w:rStyle w:val="10"/>
        </w:rPr>
      </w:pPr>
      <w:r>
        <w:rPr>
          <w:rStyle w:val="8"/>
        </w:rPr>
        <w:t>牵头单位：</w:t>
      </w:r>
      <w:r>
        <w:rPr>
          <w:rStyle w:val="8"/>
          <w:rFonts w:hint="eastAsia"/>
        </w:rPr>
        <w:t>区</w:t>
      </w:r>
      <w:r>
        <w:rPr>
          <w:rStyle w:val="8"/>
        </w:rPr>
        <w:t>人社局</w:t>
      </w:r>
      <w:r>
        <w:rPr>
          <w:rStyle w:val="8"/>
        </w:rPr>
        <w:br w:type="textWrapping"/>
      </w:r>
      <w:r>
        <w:rPr>
          <w:rStyle w:val="8"/>
          <w:rFonts w:hint="eastAsia"/>
        </w:rPr>
        <w:t xml:space="preserve">    </w:t>
      </w:r>
      <w:r>
        <w:rPr>
          <w:rStyle w:val="8"/>
        </w:rPr>
        <w:t>参加单位：</w:t>
      </w:r>
      <w:r>
        <w:rPr>
          <w:rStyle w:val="8"/>
          <w:rFonts w:hint="eastAsia"/>
        </w:rPr>
        <w:t>区</w:t>
      </w:r>
      <w:r>
        <w:rPr>
          <w:rStyle w:val="8"/>
        </w:rPr>
        <w:t>教</w:t>
      </w:r>
      <w:r>
        <w:rPr>
          <w:rStyle w:val="8"/>
          <w:rFonts w:hint="eastAsia"/>
        </w:rPr>
        <w:t>体</w:t>
      </w:r>
      <w:r>
        <w:rPr>
          <w:rStyle w:val="8"/>
        </w:rPr>
        <w:t>局、</w:t>
      </w:r>
      <w:r>
        <w:rPr>
          <w:rStyle w:val="8"/>
          <w:rFonts w:hint="eastAsia"/>
        </w:rPr>
        <w:t>区</w:t>
      </w:r>
      <w:r>
        <w:rPr>
          <w:rStyle w:val="8"/>
        </w:rPr>
        <w:t>发改</w:t>
      </w:r>
      <w:r>
        <w:rPr>
          <w:rStyle w:val="8"/>
          <w:rFonts w:hint="eastAsia"/>
        </w:rPr>
        <w:t>局</w:t>
      </w:r>
      <w:r>
        <w:rPr>
          <w:rStyle w:val="8"/>
        </w:rPr>
        <w:t>、</w:t>
      </w:r>
      <w:r>
        <w:rPr>
          <w:rStyle w:val="8"/>
          <w:rFonts w:hint="eastAsia"/>
        </w:rPr>
        <w:t>区</w:t>
      </w:r>
      <w:r>
        <w:rPr>
          <w:rStyle w:val="8"/>
        </w:rPr>
        <w:t>统计局、</w:t>
      </w:r>
      <w:r>
        <w:rPr>
          <w:rStyle w:val="8"/>
          <w:rFonts w:hint="eastAsia"/>
        </w:rPr>
        <w:t>区卫生健康局</w:t>
      </w:r>
      <w:r>
        <w:rPr>
          <w:rStyle w:val="8"/>
        </w:rPr>
        <w:t>、</w:t>
      </w:r>
      <w:r>
        <w:rPr>
          <w:rStyle w:val="8"/>
          <w:rFonts w:hint="eastAsia"/>
        </w:rPr>
        <w:t>区</w:t>
      </w:r>
      <w:r>
        <w:rPr>
          <w:rStyle w:val="8"/>
        </w:rPr>
        <w:t>财政局、</w:t>
      </w:r>
      <w:r>
        <w:rPr>
          <w:rStyle w:val="8"/>
          <w:rFonts w:hint="eastAsia"/>
          <w:spacing w:val="-11"/>
        </w:rPr>
        <w:t>区</w:t>
      </w:r>
      <w:r>
        <w:rPr>
          <w:rStyle w:val="8"/>
          <w:spacing w:val="-11"/>
        </w:rPr>
        <w:t>民政局、</w:t>
      </w:r>
      <w:r>
        <w:rPr>
          <w:rStyle w:val="8"/>
          <w:rFonts w:hint="eastAsia"/>
          <w:spacing w:val="-11"/>
        </w:rPr>
        <w:t>区</w:t>
      </w:r>
      <w:r>
        <w:rPr>
          <w:rStyle w:val="8"/>
          <w:spacing w:val="-11"/>
        </w:rPr>
        <w:t>医保局、</w:t>
      </w:r>
      <w:r>
        <w:rPr>
          <w:rStyle w:val="8"/>
          <w:rFonts w:hint="eastAsia"/>
          <w:spacing w:val="-11"/>
        </w:rPr>
        <w:t>区</w:t>
      </w:r>
      <w:r>
        <w:rPr>
          <w:rStyle w:val="8"/>
          <w:spacing w:val="-11"/>
        </w:rPr>
        <w:t>市场监管局、</w:t>
      </w:r>
      <w:r>
        <w:rPr>
          <w:rStyle w:val="8"/>
          <w:rFonts w:hint="eastAsia"/>
          <w:spacing w:val="-11"/>
        </w:rPr>
        <w:t>区</w:t>
      </w:r>
      <w:r>
        <w:rPr>
          <w:rStyle w:val="8"/>
          <w:spacing w:val="-11"/>
        </w:rPr>
        <w:t>工信局、</w:t>
      </w:r>
      <w:r>
        <w:rPr>
          <w:rStyle w:val="8"/>
          <w:rFonts w:hint="eastAsia"/>
          <w:spacing w:val="-11"/>
        </w:rPr>
        <w:t>区</w:t>
      </w:r>
      <w:r>
        <w:rPr>
          <w:rStyle w:val="8"/>
          <w:spacing w:val="-11"/>
        </w:rPr>
        <w:t>交运局、</w:t>
      </w:r>
      <w:r>
        <w:rPr>
          <w:rStyle w:val="8"/>
          <w:rFonts w:hint="eastAsia"/>
          <w:spacing w:val="-11"/>
        </w:rPr>
        <w:t>区</w:t>
      </w:r>
      <w:r>
        <w:rPr>
          <w:rStyle w:val="8"/>
          <w:spacing w:val="-11"/>
        </w:rPr>
        <w:t>公安</w:t>
      </w:r>
      <w:r>
        <w:rPr>
          <w:rStyle w:val="8"/>
          <w:rFonts w:hint="eastAsia"/>
          <w:spacing w:val="-11"/>
        </w:rPr>
        <w:t>分</w:t>
      </w:r>
      <w:r>
        <w:rPr>
          <w:rStyle w:val="8"/>
          <w:spacing w:val="-11"/>
        </w:rPr>
        <w:t>局、</w:t>
      </w:r>
      <w:r>
        <w:rPr>
          <w:rStyle w:val="8"/>
          <w:rFonts w:hint="eastAsia"/>
          <w:spacing w:val="-11"/>
        </w:rPr>
        <w:t>区</w:t>
      </w:r>
      <w:r>
        <w:rPr>
          <w:rStyle w:val="8"/>
          <w:spacing w:val="-11"/>
        </w:rPr>
        <w:t>住建局、</w:t>
      </w:r>
      <w:r>
        <w:rPr>
          <w:rStyle w:val="8"/>
          <w:rFonts w:hint="eastAsia"/>
          <w:spacing w:val="-11"/>
        </w:rPr>
        <w:t>区</w:t>
      </w:r>
      <w:r>
        <w:rPr>
          <w:rStyle w:val="8"/>
          <w:spacing w:val="-11"/>
        </w:rPr>
        <w:t>应急</w:t>
      </w:r>
      <w:r>
        <w:rPr>
          <w:rStyle w:val="8"/>
          <w:rFonts w:hint="eastAsia"/>
          <w:spacing w:val="-11"/>
        </w:rPr>
        <w:t>管理</w:t>
      </w:r>
      <w:r>
        <w:rPr>
          <w:rStyle w:val="8"/>
          <w:spacing w:val="-11"/>
        </w:rPr>
        <w:t>局，各</w:t>
      </w:r>
      <w:r>
        <w:rPr>
          <w:rStyle w:val="8"/>
          <w:rFonts w:hint="eastAsia"/>
          <w:spacing w:val="-11"/>
        </w:rPr>
        <w:t>镇街</w:t>
      </w:r>
      <w:r>
        <w:rPr>
          <w:rStyle w:val="8"/>
          <w:spacing w:val="-11"/>
        </w:rPr>
        <w:t>人民政府</w:t>
      </w:r>
      <w:r>
        <w:rPr>
          <w:rStyle w:val="8"/>
          <w:rFonts w:hint="eastAsia" w:eastAsia="仿宋_GB2312"/>
          <w:spacing w:val="-11"/>
          <w:lang w:eastAsia="zh-CN"/>
        </w:rPr>
        <w:t>（办事处）</w:t>
      </w:r>
      <w:r>
        <w:rPr>
          <w:rStyle w:val="8"/>
          <w:spacing w:val="-11"/>
        </w:rPr>
        <w:t>。</w:t>
      </w:r>
      <w:r>
        <w:rPr>
          <w:rStyle w:val="8"/>
          <w:spacing w:val="-11"/>
        </w:rPr>
        <w:br w:type="textWrapping"/>
      </w:r>
      <w:r>
        <w:rPr>
          <w:rStyle w:val="8"/>
          <w:rFonts w:hint="eastAsia"/>
        </w:rPr>
        <w:t xml:space="preserve">    </w:t>
      </w:r>
      <w:r>
        <w:rPr>
          <w:rStyle w:val="9"/>
        </w:rPr>
        <w:t>五、主要任务</w:t>
      </w:r>
      <w:r>
        <w:rPr>
          <w:rStyle w:val="9"/>
        </w:rPr>
        <w:br w:type="textWrapping"/>
      </w:r>
      <w:r>
        <w:rPr>
          <w:rStyle w:val="9"/>
          <w:rFonts w:hint="eastAsia"/>
        </w:rPr>
        <w:t xml:space="preserve">    </w:t>
      </w:r>
      <w:r>
        <w:rPr>
          <w:rStyle w:val="8"/>
        </w:rPr>
        <w:t>按照整体规划、分步实施、资源整合、重点突出、项目推进的基本思路，实行政府主导、</w:t>
      </w:r>
      <w:r>
        <w:rPr>
          <w:rStyle w:val="8"/>
          <w:rFonts w:hint="eastAsia"/>
        </w:rPr>
        <w:t>部门</w:t>
      </w:r>
      <w:r>
        <w:rPr>
          <w:rStyle w:val="8"/>
        </w:rPr>
        <w:t>和</w:t>
      </w:r>
      <w:r>
        <w:rPr>
          <w:rStyle w:val="8"/>
          <w:rFonts w:hint="eastAsia"/>
        </w:rPr>
        <w:t>镇街</w:t>
      </w:r>
      <w:r>
        <w:rPr>
          <w:rStyle w:val="8"/>
        </w:rPr>
        <w:t>联动，</w:t>
      </w:r>
      <w:r>
        <w:rPr>
          <w:rStyle w:val="8"/>
          <w:rFonts w:hint="eastAsia"/>
        </w:rPr>
        <w:t>指挥部</w:t>
      </w:r>
      <w:r>
        <w:rPr>
          <w:rStyle w:val="8"/>
        </w:rPr>
        <w:t>协调、条块结合，重心下移、群众参与的工作机制，积极开展健康活动，大力推进五大体系建设，逐步实现建设国家健康城市各项目标。</w:t>
      </w:r>
      <w:r>
        <w:rPr>
          <w:rStyle w:val="8"/>
        </w:rPr>
        <w:br w:type="textWrapping"/>
      </w:r>
      <w:r>
        <w:rPr>
          <w:rStyle w:val="8"/>
          <w:rFonts w:hint="eastAsia"/>
        </w:rPr>
        <w:t xml:space="preserve">    </w:t>
      </w:r>
      <w:r>
        <w:rPr>
          <w:rStyle w:val="10"/>
        </w:rPr>
        <w:t>（一）开展健康活动（健康服务专业工作组为主，其他各专业工作组协同）</w:t>
      </w:r>
    </w:p>
    <w:p>
      <w:pPr>
        <w:spacing w:line="560" w:lineRule="exact"/>
        <w:ind w:firstLine="634" w:firstLineChars="200"/>
        <w:rPr>
          <w:rFonts w:hint="eastAsia" w:ascii="宋体" w:hAnsi="宋体" w:eastAsia="宋体" w:cs="宋体"/>
          <w:sz w:val="24"/>
        </w:rPr>
      </w:pPr>
      <w:r>
        <w:rPr>
          <w:rStyle w:val="8"/>
        </w:rPr>
        <w:t>1</w:t>
      </w:r>
      <w:r>
        <w:rPr>
          <w:rStyle w:val="8"/>
          <w:rFonts w:hint="eastAsia"/>
        </w:rPr>
        <w:t>.</w:t>
      </w:r>
      <w:r>
        <w:rPr>
          <w:rStyle w:val="8"/>
        </w:rPr>
        <w:t>开展基线调查活动</w:t>
      </w:r>
      <w:r>
        <w:rPr>
          <w:rStyle w:val="8"/>
          <w:rFonts w:hint="eastAsia"/>
        </w:rPr>
        <w:t>。</w:t>
      </w:r>
      <w:r>
        <w:rPr>
          <w:rStyle w:val="8"/>
        </w:rPr>
        <w:t>2019年至2020年开展市民基本情况、健康现状、健康需求等各方面基线调查，为建立准确无误全覆盖的信息化数据库、探索</w:t>
      </w:r>
      <w:r>
        <w:rPr>
          <w:rStyle w:val="8"/>
          <w:rFonts w:hint="eastAsia"/>
        </w:rPr>
        <w:t>山亭</w:t>
      </w:r>
      <w:r>
        <w:rPr>
          <w:rStyle w:val="8"/>
        </w:rPr>
        <w:t>健康城市指标体系、实现工作格局一体化、全面开展国家健康城市建设等工作提供坚实的基础和科学依据。</w:t>
      </w:r>
      <w:r>
        <w:rPr>
          <w:rStyle w:val="8"/>
        </w:rPr>
        <w:br w:type="textWrapping"/>
      </w:r>
      <w:r>
        <w:rPr>
          <w:rStyle w:val="8"/>
          <w:rFonts w:hint="eastAsia"/>
        </w:rPr>
        <w:t xml:space="preserve">    </w:t>
      </w:r>
      <w:r>
        <w:rPr>
          <w:rStyle w:val="8"/>
        </w:rPr>
        <w:t>2</w:t>
      </w:r>
      <w:r>
        <w:rPr>
          <w:rStyle w:val="8"/>
          <w:rFonts w:hint="eastAsia"/>
        </w:rPr>
        <w:t>.</w:t>
      </w:r>
      <w:r>
        <w:rPr>
          <w:rStyle w:val="8"/>
        </w:rPr>
        <w:t>开展健康宣讲活动。2020年组建健康城市宣讲团。按照“请进来、送出去”的方式，请各行业、各部门的工作骨干或健康工作者，通过各种途径形式开展专业培训。以政府购买服务的方式聘请专家学者，广泛宣讲建设国家健康城市的重要意义、主要内容、政策措施，指导开展国家健康城市建设活动。</w:t>
      </w:r>
    </w:p>
    <w:p>
      <w:pPr>
        <w:spacing w:line="560" w:lineRule="exact"/>
        <w:ind w:firstLine="634" w:firstLineChars="200"/>
        <w:rPr>
          <w:rStyle w:val="8"/>
        </w:rPr>
      </w:pPr>
      <w:r>
        <w:rPr>
          <w:rStyle w:val="8"/>
        </w:rPr>
        <w:t>3</w:t>
      </w:r>
      <w:r>
        <w:rPr>
          <w:rStyle w:val="8"/>
          <w:rFonts w:hint="eastAsia"/>
        </w:rPr>
        <w:t>.</w:t>
      </w:r>
      <w:r>
        <w:rPr>
          <w:rStyle w:val="8"/>
        </w:rPr>
        <w:t>开展健康促进活动。利用各类文化体育场馆、广场、公园等活动场地（包括露天场馆、封闭场馆，学校、企业、单位等运动场馆），设立若干健康教育基地，以电子音像、科技动画、雕塑、漫画、画展、悄悄话语、健康小屋、健康步道、步廊、宣传展板等多元化形式，大力宣传健康文化，使群众以全新的视角直观地学到健康知识，增进宣传实效，培养市民健康生活方式。</w:t>
      </w:r>
      <w:r>
        <w:rPr>
          <w:rStyle w:val="8"/>
        </w:rPr>
        <w:br w:type="textWrapping"/>
      </w:r>
      <w:r>
        <w:rPr>
          <w:rStyle w:val="8"/>
          <w:rFonts w:hint="eastAsia"/>
        </w:rPr>
        <w:t xml:space="preserve">    </w:t>
      </w:r>
      <w:r>
        <w:rPr>
          <w:rStyle w:val="8"/>
        </w:rPr>
        <w:t>4</w:t>
      </w:r>
      <w:r>
        <w:rPr>
          <w:rStyle w:val="8"/>
          <w:rFonts w:hint="eastAsia"/>
        </w:rPr>
        <w:t>.</w:t>
      </w:r>
      <w:r>
        <w:rPr>
          <w:rStyle w:val="8"/>
        </w:rPr>
        <w:t>开展健康创建活动。培育一批不同类型的健康单位（健康机关、健康学校、健康医院、健康社区、健康企业、健康商场、健康市场、健康宾馆、健康餐馆、健康景点、健康家庭等），在各行业树立先进典型，以点带面、点面结合，夯实国家健康城市建设基础。</w:t>
      </w:r>
      <w:r>
        <w:rPr>
          <w:rStyle w:val="8"/>
        </w:rPr>
        <w:br w:type="textWrapping"/>
      </w:r>
      <w:r>
        <w:rPr>
          <w:rStyle w:val="8"/>
          <w:rFonts w:hint="eastAsia"/>
        </w:rPr>
        <w:t xml:space="preserve">    </w:t>
      </w:r>
      <w:r>
        <w:rPr>
          <w:rStyle w:val="10"/>
        </w:rPr>
        <w:t>（二）推进健康体系建设</w:t>
      </w:r>
      <w:r>
        <w:rPr>
          <w:rStyle w:val="10"/>
        </w:rPr>
        <w:br w:type="textWrapping"/>
      </w:r>
      <w:r>
        <w:rPr>
          <w:rStyle w:val="10"/>
          <w:rFonts w:hint="eastAsia"/>
        </w:rPr>
        <w:t xml:space="preserve">    </w:t>
      </w:r>
      <w:r>
        <w:rPr>
          <w:rStyle w:val="8"/>
        </w:rPr>
        <w:t>1</w:t>
      </w:r>
      <w:r>
        <w:rPr>
          <w:rStyle w:val="8"/>
          <w:rFonts w:hint="eastAsia"/>
        </w:rPr>
        <w:t>.</w:t>
      </w:r>
      <w:r>
        <w:rPr>
          <w:rStyle w:val="8"/>
        </w:rPr>
        <w:t>优化健康服务。健康服务专业工作组负责。</w:t>
      </w:r>
      <w:r>
        <w:rPr>
          <w:rStyle w:val="8"/>
        </w:rPr>
        <w:br w:type="textWrapping"/>
      </w:r>
      <w:r>
        <w:rPr>
          <w:rStyle w:val="8"/>
          <w:rFonts w:hint="eastAsia"/>
        </w:rPr>
        <w:t xml:space="preserve">    </w:t>
      </w:r>
      <w:r>
        <w:rPr>
          <w:rStyle w:val="8"/>
        </w:rPr>
        <w:t>（1）增强公共卫生体系效能。一是建立完善疾病预防控制体系。提高对重大疾病的预防和控制能力；做好艾滋病、结核病、肝炎等重大传染病的防控工作，防止传染病蔓延扩散；加强传染病网络直报系统的建设，做好重性精神病人规范化管理、突发公共卫生事件处置报告等工作；加强传染病实验室质量管理体系建设；加大慢性病防治力度，有效控制高血压、心脑血管病、糖尿病、恶性肿瘤等各种严重危害健康的慢性病。二是加强卫生健康监督执法体系建设。健全完善卫生健康监督制度，强化职业病防治监管，加大卫生健康监督执法力度，依靠制度规范执法运行机制，保证卫生健康监督的效率和公正。三是建立完善医疗救治网络体系。加大各医疗单位急诊急救、感染性疾病科、专科传染病医院的建设力度，建立多级医院、血站和急救中心联动畅通的医疗救治网络体系。四是建立完善公共卫生信息系统。建立公共卫生机构和医院之间分工协作的工作机制，确保信息互通和资源共享，打通防治通道，真正实现防治结合。五是建立完善公共卫生应急指挥体系。健全应急指挥系统，建立公共卫生联席会议制度，整合部门力量，完善应急预案，落实应急储备，开展人员培训和应急演练，提高突发公共卫生事件的应急处置和指挥协调能力。</w:t>
      </w:r>
      <w:r>
        <w:rPr>
          <w:rStyle w:val="8"/>
        </w:rPr>
        <w:br w:type="textWrapping"/>
      </w:r>
      <w:r>
        <w:rPr>
          <w:rStyle w:val="8"/>
          <w:rFonts w:hint="eastAsia"/>
        </w:rPr>
        <w:t xml:space="preserve">    </w:t>
      </w:r>
      <w:r>
        <w:rPr>
          <w:rStyle w:val="8"/>
        </w:rPr>
        <w:t>（2）做强社区公共卫生服务品牌。一是以“户户拥有家庭责任医生、人人享有基本卫生保健”为目标</w:t>
      </w:r>
      <w:r>
        <w:rPr>
          <w:rStyle w:val="8"/>
          <w:rFonts w:hint="eastAsia"/>
        </w:rPr>
        <w:t>，</w:t>
      </w:r>
      <w:r>
        <w:rPr>
          <w:rStyle w:val="8"/>
        </w:rPr>
        <w:t>大力推进家庭医生签约服务，到</w:t>
      </w:r>
      <w:r>
        <w:rPr>
          <w:rStyle w:val="8"/>
          <w:rFonts w:hint="eastAsia"/>
        </w:rPr>
        <w:t>2020</w:t>
      </w:r>
      <w:r>
        <w:rPr>
          <w:rStyle w:val="8"/>
        </w:rPr>
        <w:t>年，家庭医生签约服务覆盖率达到50%以上，其中重点人群实现全覆盖</w:t>
      </w:r>
      <w:r>
        <w:rPr>
          <w:rStyle w:val="8"/>
          <w:rFonts w:hint="eastAsia"/>
        </w:rPr>
        <w:t>；</w:t>
      </w:r>
      <w:r>
        <w:rPr>
          <w:rStyle w:val="8"/>
        </w:rPr>
        <w:t>到2022年</w:t>
      </w:r>
      <w:r>
        <w:rPr>
          <w:rStyle w:val="8"/>
          <w:rFonts w:hint="eastAsia"/>
        </w:rPr>
        <w:t>，</w:t>
      </w:r>
      <w:r>
        <w:rPr>
          <w:rStyle w:val="8"/>
        </w:rPr>
        <w:t>基本形成以“家庭医生签约”服务为核心、以全科医师团队管理为基础、以社区卫生服务中心为依托、以社区卫生服务站为辅助、以建立家庭健康电子档案为抓手、以疾病预防和健康干预为主线的社区公共卫生服务新模式。二是全面完善社区公共卫生服务功能，做细数据库信息项目和分类，做好精准服务。积极拓展社区护理、保健、康复、临终关怀等服务，强化慢性非传染性疾病的管理</w:t>
      </w:r>
      <w:r>
        <w:rPr>
          <w:rStyle w:val="8"/>
          <w:rFonts w:hint="eastAsia"/>
        </w:rPr>
        <w:t>，</w:t>
      </w:r>
      <w:r>
        <w:rPr>
          <w:rStyle w:val="8"/>
        </w:rPr>
        <w:t>对主要危险因素开展行为干预，二级以上医院积极开展残疾人康复业务</w:t>
      </w:r>
      <w:r>
        <w:rPr>
          <w:rStyle w:val="8"/>
          <w:rFonts w:hint="eastAsia"/>
        </w:rPr>
        <w:t>，</w:t>
      </w:r>
      <w:r>
        <w:rPr>
          <w:rStyle w:val="8"/>
        </w:rPr>
        <w:t>社区卫生服务中心或服务站开展康复技能培训和组织康复活动。三是以社区卫生服务中心为依托，以居家养老和社区养老为抓手，以智慧信息化建设为支撑</w:t>
      </w:r>
      <w:r>
        <w:rPr>
          <w:rStyle w:val="8"/>
          <w:rFonts w:hint="eastAsia"/>
        </w:rPr>
        <w:t>，</w:t>
      </w:r>
      <w:r>
        <w:rPr>
          <w:rStyle w:val="8"/>
        </w:rPr>
        <w:t>以机构养老为补充，优化重组服务机构，积极开展健康社区和健康养老机构建设工作</w:t>
      </w:r>
      <w:r>
        <w:rPr>
          <w:rStyle w:val="8"/>
          <w:rFonts w:hint="eastAsia"/>
        </w:rPr>
        <w:t>，</w:t>
      </w:r>
      <w:r>
        <w:rPr>
          <w:rStyle w:val="8"/>
        </w:rPr>
        <w:t>推进健康服务业与休闲、度假、旅游、文化等相结合，积极推动健康产业发展。四是全面探索医疗救助网络建设。继续完善社区爱心医疗援助站等医疗救助机制，积极创造条件扩大志愿者组织、红十字会、民间慈善机构等非政府组织参与医疗救助，整合医保、劳动保障、残联等医疗救助资源，构建</w:t>
      </w:r>
      <w:r>
        <w:rPr>
          <w:rStyle w:val="8"/>
          <w:rFonts w:hint="eastAsia"/>
        </w:rPr>
        <w:t>山亭区</w:t>
      </w:r>
      <w:r>
        <w:rPr>
          <w:rStyle w:val="8"/>
        </w:rPr>
        <w:t>医疗救助网络。五是全面加快卫生健康服务信息化建设</w:t>
      </w:r>
      <w:r>
        <w:rPr>
          <w:rStyle w:val="8"/>
          <w:rFonts w:hint="eastAsia"/>
        </w:rPr>
        <w:t>，</w:t>
      </w:r>
      <w:r>
        <w:rPr>
          <w:rStyle w:val="8"/>
        </w:rPr>
        <w:t>提升社区基本医疗及公共卫生服务水平。到</w:t>
      </w:r>
      <w:r>
        <w:rPr>
          <w:rStyle w:val="8"/>
          <w:rFonts w:hint="eastAsia"/>
        </w:rPr>
        <w:t>2022</w:t>
      </w:r>
      <w:r>
        <w:rPr>
          <w:rStyle w:val="8"/>
        </w:rPr>
        <w:t>年，所有社区卫生服务中心接入全民健康信息平台，实现互联互通、信息共享，普及“互联网＋医疗”应用，实现基本医疗、公共卫生智能化建设目标。</w:t>
      </w:r>
      <w:r>
        <w:rPr>
          <w:rStyle w:val="8"/>
        </w:rPr>
        <w:br w:type="textWrapping"/>
      </w:r>
      <w:r>
        <w:rPr>
          <w:rStyle w:val="8"/>
          <w:rFonts w:hint="eastAsia"/>
        </w:rPr>
        <w:t xml:space="preserve">    </w:t>
      </w:r>
      <w:r>
        <w:rPr>
          <w:rStyle w:val="8"/>
        </w:rPr>
        <w:t>（3）提高居民健康素养水平。一是创新健康理念。开展社区公共营养服务，提高市民合理营养知识知晓率，改善居民的营养状况</w:t>
      </w:r>
      <w:r>
        <w:rPr>
          <w:rStyle w:val="8"/>
          <w:rFonts w:hint="eastAsia"/>
        </w:rPr>
        <w:t>；</w:t>
      </w:r>
      <w:r>
        <w:rPr>
          <w:rStyle w:val="8"/>
        </w:rPr>
        <w:t>推进公共场所禁烟工作，预防和控制未成年人吸烟；重视心理健康，实施心理健康咨询服务人员持证上岗制度，遏制社区居民心理行为问题上升趋势。到</w:t>
      </w:r>
      <w:r>
        <w:rPr>
          <w:rStyle w:val="8"/>
          <w:rFonts w:hint="eastAsia"/>
        </w:rPr>
        <w:t>2022</w:t>
      </w:r>
      <w:r>
        <w:rPr>
          <w:rStyle w:val="8"/>
        </w:rPr>
        <w:t>年，市民健康知识知晓率达到85%，在校学生健康知识知晓率达到95%。二是开展健康促进。通过社区健康教育和健康促进网络，构建慢性病防治平台，探索家庭医师访视、社区家属监护与病人自我管理相结合的慢性病管理新模式</w:t>
      </w:r>
      <w:r>
        <w:rPr>
          <w:rStyle w:val="8"/>
          <w:rFonts w:hint="eastAsia"/>
        </w:rPr>
        <w:t>；</w:t>
      </w:r>
      <w:r>
        <w:rPr>
          <w:rStyle w:val="8"/>
        </w:rPr>
        <w:t>强化干预措施，定期进行检测，加强对重点疾病、老年人群和高危病人的管理</w:t>
      </w:r>
      <w:r>
        <w:rPr>
          <w:rStyle w:val="8"/>
          <w:rFonts w:hint="eastAsia"/>
        </w:rPr>
        <w:t>；</w:t>
      </w:r>
      <w:r>
        <w:rPr>
          <w:rStyle w:val="8"/>
        </w:rPr>
        <w:t>普及免疫接种知识</w:t>
      </w:r>
      <w:r>
        <w:rPr>
          <w:rStyle w:val="8"/>
          <w:rFonts w:hint="eastAsia"/>
        </w:rPr>
        <w:t>，</w:t>
      </w:r>
      <w:r>
        <w:rPr>
          <w:rStyle w:val="8"/>
        </w:rPr>
        <w:t>完善有计划的预防接种制度，保持预防免疫的高接种率，强化流动人口的免疫接种，提高人群免疫水平。三是加强健康婚育指导。将育龄人群的婚前检查和孕前优生健康检查纳入社区卫生服务中心的综合服务，免费为社区居民提供婚前检查、孕前优生健康检查、妇女“两癌筛查”、生殖健康、优生优育等服务。完善妇幼保健服务管理模式，健全妇幼保健工作网络，规范孕产妇保健和儿童保健服务管理。到</w:t>
      </w:r>
      <w:r>
        <w:rPr>
          <w:rStyle w:val="8"/>
          <w:rFonts w:hint="eastAsia"/>
        </w:rPr>
        <w:t>2022</w:t>
      </w:r>
      <w:r>
        <w:rPr>
          <w:rStyle w:val="8"/>
        </w:rPr>
        <w:t>年，孕产妇死亡率降至 9.8/10万以下，婴儿死亡率降至3.9‰以下，5岁以下儿童死亡率降至4.9‰以下，孕产妇系统管理率达到90%以上。四是建立精神心理卫生管理机制。加强对社区居民精神疾病患者的治疗与康复服务管理，大力推广重性精神病人有奖监护管理，在社区卫生服务中心建立心理咨询室和恢复期精神病人康复训练室，制定有效措施，落实跟踪服务与管理，在社区大力开展经常性精神心理卫生知识宣传和健康干预，努力实现社会化、综合性、开放式精神心理疾病治疗与康复的新模式。</w:t>
      </w:r>
      <w:r>
        <w:rPr>
          <w:rStyle w:val="8"/>
        </w:rPr>
        <w:br w:type="textWrapping"/>
      </w:r>
      <w:r>
        <w:rPr>
          <w:rStyle w:val="8"/>
          <w:rFonts w:hint="eastAsia"/>
        </w:rPr>
        <w:t xml:space="preserve">    </w:t>
      </w:r>
      <w:r>
        <w:rPr>
          <w:rStyle w:val="8"/>
        </w:rPr>
        <w:t>2</w:t>
      </w:r>
      <w:r>
        <w:rPr>
          <w:rStyle w:val="8"/>
          <w:rFonts w:hint="eastAsia"/>
        </w:rPr>
        <w:t>.</w:t>
      </w:r>
      <w:r>
        <w:rPr>
          <w:rStyle w:val="8"/>
        </w:rPr>
        <w:t>营造健康环境。健康环境专业工作组负责。</w:t>
      </w:r>
      <w:r>
        <w:rPr>
          <w:rStyle w:val="8"/>
        </w:rPr>
        <w:br w:type="textWrapping"/>
      </w:r>
      <w:r>
        <w:rPr>
          <w:rStyle w:val="8"/>
          <w:rFonts w:hint="eastAsia"/>
        </w:rPr>
        <w:t xml:space="preserve">    </w:t>
      </w:r>
      <w:r>
        <w:rPr>
          <w:rStyle w:val="8"/>
        </w:rPr>
        <w:t>（1）完善城市基础设施建设。按照高起点规划、高标准建设的要求，加快推进城市基础设施建设</w:t>
      </w:r>
      <w:r>
        <w:rPr>
          <w:rStyle w:val="8"/>
          <w:rFonts w:hint="eastAsia"/>
        </w:rPr>
        <w:t>，</w:t>
      </w:r>
      <w:r>
        <w:rPr>
          <w:rStyle w:val="8"/>
        </w:rPr>
        <w:t>全面完善以交通、城建、教育</w:t>
      </w:r>
      <w:r>
        <w:rPr>
          <w:rStyle w:val="8"/>
          <w:rFonts w:hint="eastAsia"/>
        </w:rPr>
        <w:t>、</w:t>
      </w:r>
      <w:r>
        <w:rPr>
          <w:rStyle w:val="8"/>
        </w:rPr>
        <w:t>卫生</w:t>
      </w:r>
      <w:r>
        <w:rPr>
          <w:rStyle w:val="8"/>
          <w:rFonts w:hint="eastAsia"/>
        </w:rPr>
        <w:t>、</w:t>
      </w:r>
      <w:r>
        <w:rPr>
          <w:rStyle w:val="8"/>
        </w:rPr>
        <w:t>民政、信息、能源、园林、环保、防灾等为重点的基础设施网络建设，为建设国家健康城市提供基础保障。</w:t>
      </w:r>
      <w:r>
        <w:rPr>
          <w:rStyle w:val="8"/>
        </w:rPr>
        <w:br w:type="textWrapping"/>
      </w:r>
      <w:r>
        <w:rPr>
          <w:rStyle w:val="8"/>
          <w:rFonts w:hint="eastAsia"/>
        </w:rPr>
        <w:t xml:space="preserve">    </w:t>
      </w:r>
      <w:r>
        <w:rPr>
          <w:rStyle w:val="8"/>
        </w:rPr>
        <w:t>（2）巩固提升国家卫生城市创建成果。</w:t>
      </w:r>
      <w:r>
        <w:rPr>
          <w:rStyle w:val="8"/>
          <w:rFonts w:hint="eastAsia"/>
        </w:rPr>
        <w:t>根据</w:t>
      </w:r>
      <w:r>
        <w:rPr>
          <w:rStyle w:val="8"/>
        </w:rPr>
        <w:t>《枣庄市国家卫生城市管理办法》</w:t>
      </w:r>
      <w:r>
        <w:rPr>
          <w:rStyle w:val="8"/>
          <w:rFonts w:hint="eastAsia"/>
        </w:rPr>
        <w:t>规定</w:t>
      </w:r>
      <w:r>
        <w:rPr>
          <w:rStyle w:val="8"/>
        </w:rPr>
        <w:t>，健全完善城市卫生管理长效机制。加大大气污染和水环境污染治理力度，加强水源地保护，不断提升空气质量和水环境品质。加大城乡结合部整治力度，进一步落实环境卫生保洁制度。加大农贸市场硬件设施改造和管理力度。坚持从严管理，集中整治乱摆摊点、乱停车辆、乱扔垃圾、乱贴广告、工地乱象等“五乱”现象。健全城市管理联动机制，充分发挥数字化城管智能监管作用，提高日常管控水平。</w:t>
      </w:r>
      <w:r>
        <w:rPr>
          <w:rStyle w:val="8"/>
        </w:rPr>
        <w:br w:type="textWrapping"/>
      </w:r>
      <w:r>
        <w:rPr>
          <w:rStyle w:val="8"/>
          <w:rFonts w:hint="eastAsia"/>
        </w:rPr>
        <w:t xml:space="preserve">    </w:t>
      </w:r>
      <w:r>
        <w:rPr>
          <w:rStyle w:val="8"/>
        </w:rPr>
        <w:t>（3）</w:t>
      </w:r>
      <w:r>
        <w:rPr>
          <w:rStyle w:val="8"/>
          <w:color w:val="auto"/>
        </w:rPr>
        <w:t>加强园林绿化长效管理机制建设。巩固提升国家森林城市、国家园林城市创建成果，深入推进城市精细化治理工作，保护好生态带，保障区域生态环境安全，显著提升城市环境生活品质。</w:t>
      </w:r>
      <w:r>
        <w:rPr>
          <w:rStyle w:val="8"/>
          <w:color w:val="auto"/>
        </w:rPr>
        <w:br w:type="textWrapping"/>
      </w:r>
      <w:r>
        <w:rPr>
          <w:rStyle w:val="8"/>
          <w:rFonts w:hint="eastAsia"/>
        </w:rPr>
        <w:t xml:space="preserve">    </w:t>
      </w:r>
      <w:r>
        <w:rPr>
          <w:rStyle w:val="8"/>
        </w:rPr>
        <w:t>3</w:t>
      </w:r>
      <w:r>
        <w:rPr>
          <w:rStyle w:val="8"/>
          <w:rFonts w:hint="eastAsia"/>
        </w:rPr>
        <w:t>.</w:t>
      </w:r>
      <w:r>
        <w:rPr>
          <w:rStyle w:val="8"/>
        </w:rPr>
        <w:t>培育健康人群。健康人群专业工作组负责。</w:t>
      </w:r>
      <w:r>
        <w:rPr>
          <w:rStyle w:val="8"/>
        </w:rPr>
        <w:br w:type="textWrapping"/>
      </w:r>
      <w:r>
        <w:rPr>
          <w:rStyle w:val="8"/>
          <w:rFonts w:hint="eastAsia"/>
        </w:rPr>
        <w:t xml:space="preserve">    </w:t>
      </w:r>
      <w:r>
        <w:rPr>
          <w:rStyle w:val="8"/>
        </w:rPr>
        <w:t>（1）实施全民健康促进项目。建立政府负责、部门合作、社会参与的健康教育和健康促进工作运行机制，建设一批健康教育和健康促进阵地，大力开展全民健康知识普及活动，逐步形成健康文明的生活方式和行为习惯。以《中国公民健康素养</w:t>
      </w:r>
      <w:r>
        <w:rPr>
          <w:rStyle w:val="8"/>
          <w:rFonts w:hint="eastAsia"/>
        </w:rPr>
        <w:t>-</w:t>
      </w:r>
      <w:r>
        <w:rPr>
          <w:rStyle w:val="8"/>
        </w:rPr>
        <w:t>基本知识与技能（2015年版）》（简称《健康素养66条》）为依据，通过多种途径向公众传播通俗易懂、科学实用的健康知识和技能，到2020年，居民健康素养水平达到20%，2022年达到24%以上。</w:t>
      </w:r>
      <w:r>
        <w:rPr>
          <w:rStyle w:val="8"/>
        </w:rPr>
        <w:br w:type="textWrapping"/>
      </w:r>
      <w:r>
        <w:rPr>
          <w:rStyle w:val="8"/>
          <w:rFonts w:hint="eastAsia"/>
        </w:rPr>
        <w:t xml:space="preserve">    </w:t>
      </w:r>
      <w:r>
        <w:rPr>
          <w:rStyle w:val="8"/>
        </w:rPr>
        <w:t>（2）实施小康健身工程。贯彻落实《全民健身计划（2016—2020 年）》《山东省全民健身实施计划（2016—2020 年）》，以政府主导、社会兴办相结合，抓住场地、组织、活动三个环节，完善全民健身服务体系，健全群众体育组织网络，加快社区健身设施建设，打造群众体育特色活动和品牌项目，创建一批体育先进镇街、社区、企业、单位，实现体育生活化。到</w:t>
      </w:r>
      <w:r>
        <w:rPr>
          <w:rStyle w:val="8"/>
          <w:rFonts w:hint="eastAsia"/>
        </w:rPr>
        <w:t>2022</w:t>
      </w:r>
      <w:r>
        <w:rPr>
          <w:rStyle w:val="8"/>
        </w:rPr>
        <w:t>年，形成15 分钟健身圈，经常参加体育锻炼人数达38%以上，国民体质测试合格率达92.6%。</w:t>
      </w:r>
      <w:r>
        <w:rPr>
          <w:rStyle w:val="8"/>
        </w:rPr>
        <w:br w:type="textWrapping"/>
      </w:r>
      <w:r>
        <w:rPr>
          <w:rStyle w:val="8"/>
          <w:rFonts w:hint="eastAsia"/>
        </w:rPr>
        <w:t xml:space="preserve">    </w:t>
      </w:r>
      <w:r>
        <w:rPr>
          <w:rStyle w:val="8"/>
        </w:rPr>
        <w:t>（3）普及健康锻炼。积极推进全民健身活动，构建以完善运动设施、团队组织、体育竞技、体育论坛会、体育博览会、体质监测、体育赛事和信息咨询为主要内容的全民健身服务保障体系开放所有公共体育运动场馆、公园、广场和设施为居民服务，到2022年</w:t>
      </w:r>
      <w:r>
        <w:rPr>
          <w:rStyle w:val="8"/>
          <w:rFonts w:hint="eastAsia"/>
        </w:rPr>
        <w:t>，</w:t>
      </w:r>
      <w:r>
        <w:rPr>
          <w:rStyle w:val="8"/>
        </w:rPr>
        <w:t>100%的社区拥有健身广场，70%以上的行政村拥有健身点，人均体育场地面积达到2.3平方米以上。到2020年，获得社会体育指导员技术等级证书的人数占总人口比重达2.3‰。</w:t>
      </w:r>
      <w:r>
        <w:rPr>
          <w:rStyle w:val="8"/>
        </w:rPr>
        <w:br w:type="textWrapping"/>
      </w:r>
      <w:r>
        <w:rPr>
          <w:rStyle w:val="8"/>
          <w:rFonts w:hint="eastAsia"/>
        </w:rPr>
        <w:t xml:space="preserve">    </w:t>
      </w:r>
      <w:r>
        <w:rPr>
          <w:rStyle w:val="8"/>
        </w:rPr>
        <w:t>4</w:t>
      </w:r>
      <w:r>
        <w:rPr>
          <w:rStyle w:val="8"/>
          <w:rFonts w:hint="eastAsia"/>
        </w:rPr>
        <w:t>.</w:t>
      </w:r>
      <w:r>
        <w:rPr>
          <w:rStyle w:val="8"/>
        </w:rPr>
        <w:t>发展健康文化。健康文化专业工作组负责。</w:t>
      </w:r>
      <w:r>
        <w:rPr>
          <w:rStyle w:val="8"/>
        </w:rPr>
        <w:br w:type="textWrapping"/>
      </w:r>
      <w:r>
        <w:rPr>
          <w:rStyle w:val="8"/>
          <w:rFonts w:hint="eastAsia"/>
        </w:rPr>
        <w:t xml:space="preserve">    </w:t>
      </w:r>
      <w:r>
        <w:rPr>
          <w:rStyle w:val="8"/>
        </w:rPr>
        <w:t>围绕人的全面健康发展，根据经济社会发展形势，针对城市发展的新情况、新问题，严格执行城市管理、环境保护、医疗卫生、文化体育、社会保障、劳动保护、充分就业等各项法律法规制度。充分发挥广播、电视、报刊、网络等宣传媒体的主渠道作用，广泛开展形式多样的群众性健康促进活动，建设现代健康知识传播体系，在全市范围内形成浓厚持续的健康文化环境。各级主流媒体均要设立国家健康城市建设专栏，定期播发有关信息。充分发挥图书馆、文化馆、美术馆、青少年宫等机构的传播平台作用，组织开展丰富多彩的文化科技活动，向广大群众特别是青少年传播健康生活理念和健康科普知识。引导鼓励文联、作协、书协、美协等文艺创作团体及剧团等文艺演出单位积极创作、演出通俗易懂、群众喜闻乐见的文学艺术作品，展现人民群众对健康幸福生活的向往。各级各部门要积极推广基层单位在国家健康城市建设工作中的好经验、好做法、好典型，发挥先进典型的示范引领作用，在全</w:t>
      </w:r>
      <w:r>
        <w:rPr>
          <w:rStyle w:val="8"/>
          <w:rFonts w:hint="eastAsia"/>
        </w:rPr>
        <w:t>区</w:t>
      </w:r>
      <w:r>
        <w:rPr>
          <w:rStyle w:val="8"/>
        </w:rPr>
        <w:t>营造蓬勃向上的良好健康氛围。</w:t>
      </w:r>
      <w:r>
        <w:rPr>
          <w:rStyle w:val="8"/>
        </w:rPr>
        <w:br w:type="textWrapping"/>
      </w:r>
      <w:r>
        <w:rPr>
          <w:rStyle w:val="8"/>
          <w:rFonts w:hint="eastAsia"/>
        </w:rPr>
        <w:t xml:space="preserve">    </w:t>
      </w:r>
      <w:r>
        <w:rPr>
          <w:rStyle w:val="8"/>
        </w:rPr>
        <w:t>5．构建健康社会。健康社会专业工作组负责。</w:t>
      </w:r>
    </w:p>
    <w:p>
      <w:pPr>
        <w:spacing w:line="560" w:lineRule="exact"/>
        <w:ind w:firstLine="634" w:firstLineChars="200"/>
        <w:rPr>
          <w:rStyle w:val="8"/>
        </w:rPr>
      </w:pPr>
      <w:r>
        <w:rPr>
          <w:rStyle w:val="8"/>
          <w:rFonts w:hint="eastAsia"/>
        </w:rPr>
        <w:t>（1）</w:t>
      </w:r>
      <w:r>
        <w:rPr>
          <w:rStyle w:val="8"/>
        </w:rPr>
        <w:t>健全社会保障体系。加快健全包括职工基本养老保险、农村居民养老保险、事业单位养老保险、农民工基本养老保险、城镇老年居民生活保障等在内的多层次社会养老保障体系</w:t>
      </w:r>
      <w:r>
        <w:rPr>
          <w:rStyle w:val="8"/>
          <w:rFonts w:hint="eastAsia"/>
        </w:rPr>
        <w:t>；</w:t>
      </w:r>
      <w:r>
        <w:rPr>
          <w:rStyle w:val="8"/>
        </w:rPr>
        <w:t>进一步完善城乡统筹、全民覆盖的基本医疗保障体制，建立包括城镇职工基本医疗保险、城乡居民基本医疗保险、医疗困难救助等在内的多层次社会医疗保障体系，提高医疗保障水平。</w:t>
      </w:r>
    </w:p>
    <w:p>
      <w:pPr>
        <w:spacing w:line="560" w:lineRule="exact"/>
        <w:ind w:firstLine="634" w:firstLineChars="200"/>
        <w:rPr>
          <w:rStyle w:val="8"/>
        </w:rPr>
      </w:pPr>
      <w:r>
        <w:rPr>
          <w:rStyle w:val="8"/>
        </w:rPr>
        <w:t>（2）保障食品药品安全。建立健全农产品质量安全例行检测和追溯制度。强化生产加工环节监管，严厉打击违法生产加工食品行为。加大对食品药品经营主体的监管力度，实施食品质量准入、交易和退市的全程监管，强化食品药品流通环节监管。全面实施餐饮单位卫生监管量化分级管理制度，强化餐饮环节监管，</w:t>
      </w:r>
      <w:r>
        <w:rPr>
          <w:rStyle w:val="8"/>
          <w:rFonts w:hint="eastAsia"/>
        </w:rPr>
        <w:t>巩固</w:t>
      </w:r>
      <w:r>
        <w:rPr>
          <w:rStyle w:val="8"/>
        </w:rPr>
        <w:t>省级食品安全</w:t>
      </w:r>
      <w:r>
        <w:rPr>
          <w:rStyle w:val="8"/>
          <w:rFonts w:hint="eastAsia"/>
        </w:rPr>
        <w:t>县创建成果</w:t>
      </w:r>
      <w:r>
        <w:rPr>
          <w:rStyle w:val="8"/>
        </w:rPr>
        <w:t>。</w:t>
      </w:r>
      <w:r>
        <w:rPr>
          <w:rStyle w:val="8"/>
        </w:rPr>
        <w:br w:type="textWrapping"/>
      </w:r>
      <w:r>
        <w:rPr>
          <w:rStyle w:val="8"/>
          <w:rFonts w:hint="eastAsia"/>
        </w:rPr>
        <w:t xml:space="preserve">    </w:t>
      </w:r>
      <w:r>
        <w:rPr>
          <w:rStyle w:val="8"/>
        </w:rPr>
        <w:t>（3）加强社会化康复服务体系建设。提高康复服务能力，使有康复需求的残疾人普遍得到康复服务，实现残疾人人人享有康复服务的目标。建立残疾人康复专项救助制度，全面落实国家残疾人救助政策，确保符合条件的困难残疾人得到医疗和康复救助。到</w:t>
      </w:r>
      <w:r>
        <w:rPr>
          <w:rStyle w:val="8"/>
          <w:rFonts w:hint="eastAsia"/>
        </w:rPr>
        <w:t>2020</w:t>
      </w:r>
      <w:r>
        <w:rPr>
          <w:rStyle w:val="8"/>
        </w:rPr>
        <w:t>年，残疾人基本康复服务覆盖率达到80%以上。</w:t>
      </w:r>
      <w:r>
        <w:rPr>
          <w:rFonts w:ascii="宋体" w:hAnsi="宋体" w:eastAsia="宋体" w:cs="宋体"/>
          <w:sz w:val="24"/>
        </w:rPr>
        <w:br w:type="textWrapping"/>
      </w:r>
      <w:r>
        <w:rPr>
          <w:rFonts w:hint="eastAsia" w:ascii="宋体" w:hAnsi="宋体" w:eastAsia="宋体" w:cs="宋体"/>
          <w:sz w:val="24"/>
        </w:rPr>
        <w:t xml:space="preserve">     </w:t>
      </w:r>
      <w:r>
        <w:rPr>
          <w:rStyle w:val="8"/>
        </w:rPr>
        <w:t>（4）坚持实施积极的就业政策，扩大就业规模，形成城乡劳动者平等就业的制度。开展社区就业活动，消除“零就业家庭”</w:t>
      </w:r>
      <w:r>
        <w:rPr>
          <w:rStyle w:val="8"/>
          <w:rFonts w:hint="eastAsia"/>
        </w:rPr>
        <w:t>。</w:t>
      </w:r>
      <w:r>
        <w:rPr>
          <w:rStyle w:val="8"/>
        </w:rPr>
        <w:t>对城镇就业困难人员实行兜底安置。推进城乡统筹就业工作，把农村进城务工人员纳入公共就业服务范围，重点帮扶城乡低保户就业。</w:t>
      </w:r>
      <w:r>
        <w:rPr>
          <w:rStyle w:val="8"/>
        </w:rPr>
        <w:br w:type="textWrapping"/>
      </w:r>
      <w:r>
        <w:rPr>
          <w:rStyle w:val="8"/>
          <w:rFonts w:hint="eastAsia"/>
        </w:rPr>
        <w:t xml:space="preserve">    </w:t>
      </w:r>
      <w:r>
        <w:rPr>
          <w:rStyle w:val="8"/>
        </w:rPr>
        <w:t>（5）持续推进“平安</w:t>
      </w:r>
      <w:r>
        <w:rPr>
          <w:rStyle w:val="8"/>
          <w:rFonts w:hint="eastAsia"/>
        </w:rPr>
        <w:t>山亭</w:t>
      </w:r>
      <w:r>
        <w:rPr>
          <w:rStyle w:val="8"/>
        </w:rPr>
        <w:t>”建设。继续加强社会治安综合治理，紧密结合“扫黑除恶”专项斗争，着力构建组织严密、网络健全、反应迅速的犯罪打击体系、治安防范体系、技防体系和社会控制体系，争取到</w:t>
      </w:r>
      <w:r>
        <w:rPr>
          <w:rStyle w:val="8"/>
          <w:rFonts w:hint="eastAsia"/>
        </w:rPr>
        <w:t>2022</w:t>
      </w:r>
      <w:r>
        <w:rPr>
          <w:rStyle w:val="8"/>
        </w:rPr>
        <w:t>年，在现有监控系统基础上，建设城区和镇连点成线、密线成面、内部成网、外部成圈、不留死角、城镇一体化的覆盖全</w:t>
      </w:r>
      <w:r>
        <w:rPr>
          <w:rStyle w:val="8"/>
          <w:rFonts w:hint="eastAsia"/>
        </w:rPr>
        <w:t>区</w:t>
      </w:r>
      <w:r>
        <w:rPr>
          <w:rStyle w:val="8"/>
        </w:rPr>
        <w:t>的治安管理电子监控系统。坚持安全第一、预防为主、综合治理，严格落实安全生产责任制，坚决防止重大安全事故，切实保障人民群众生命财产安全。</w:t>
      </w:r>
      <w:r>
        <w:rPr>
          <w:rStyle w:val="8"/>
        </w:rPr>
        <w:br w:type="textWrapping"/>
      </w:r>
      <w:r>
        <w:rPr>
          <w:rStyle w:val="8"/>
          <w:rFonts w:hint="eastAsia"/>
        </w:rPr>
        <w:t xml:space="preserve">    </w:t>
      </w:r>
      <w:r>
        <w:rPr>
          <w:rStyle w:val="9"/>
        </w:rPr>
        <w:t>六、保障措施</w:t>
      </w:r>
      <w:r>
        <w:rPr>
          <w:rStyle w:val="9"/>
        </w:rPr>
        <w:br w:type="textWrapping"/>
      </w:r>
      <w:r>
        <w:rPr>
          <w:rStyle w:val="9"/>
          <w:rFonts w:hint="eastAsia"/>
        </w:rPr>
        <w:t xml:space="preserve">    </w:t>
      </w:r>
      <w:r>
        <w:rPr>
          <w:rStyle w:val="10"/>
        </w:rPr>
        <w:t>（一）加强部门协作</w:t>
      </w:r>
      <w:r>
        <w:rPr>
          <w:rStyle w:val="8"/>
        </w:rPr>
        <w:t>。建立</w:t>
      </w:r>
      <w:r>
        <w:rPr>
          <w:rStyle w:val="8"/>
          <w:rFonts w:hint="eastAsia"/>
        </w:rPr>
        <w:t>区政府</w:t>
      </w:r>
      <w:r>
        <w:rPr>
          <w:rStyle w:val="8"/>
        </w:rPr>
        <w:t>、政府各部门、各镇街和社会各方面协作配合联动机制，明确工作职责、任务时限，各司其职，通力协作。加强工作机制创新和实践探索，不断健全建设国家健康城市社会动员、群众参与和社会监督机制，使国家健康城市建设工作贴近群众生活，形成符合</w:t>
      </w:r>
      <w:r>
        <w:rPr>
          <w:rStyle w:val="8"/>
          <w:rFonts w:hint="eastAsia"/>
        </w:rPr>
        <w:t>区</w:t>
      </w:r>
      <w:r>
        <w:rPr>
          <w:rStyle w:val="8"/>
        </w:rPr>
        <w:t>情、具有时代特色的工作模式。</w:t>
      </w:r>
      <w:r>
        <w:rPr>
          <w:rStyle w:val="8"/>
        </w:rPr>
        <w:br w:type="textWrapping"/>
      </w:r>
      <w:r>
        <w:rPr>
          <w:rStyle w:val="8"/>
          <w:rFonts w:hint="eastAsia"/>
        </w:rPr>
        <w:t xml:space="preserve">    </w:t>
      </w:r>
      <w:r>
        <w:rPr>
          <w:rStyle w:val="10"/>
        </w:rPr>
        <w:t>（二）加强经费保障。</w:t>
      </w:r>
      <w:r>
        <w:rPr>
          <w:rStyle w:val="8"/>
        </w:rPr>
        <w:t>区</w:t>
      </w:r>
      <w:r>
        <w:rPr>
          <w:rStyle w:val="8"/>
          <w:rFonts w:hint="eastAsia"/>
        </w:rPr>
        <w:t>、镇街</w:t>
      </w:r>
      <w:r>
        <w:rPr>
          <w:rStyle w:val="8"/>
        </w:rPr>
        <w:t>财政要把建设国家健康城市所需经费纳入年度财政预算。同时，积极争取上级项目资金支持和社会各界捐赠，开拓公益事业投融资渠道，鼓励社会资本投资国家健康城市建设项目，综合推动各项工作任务有效落实。</w:t>
      </w:r>
      <w:r>
        <w:rPr>
          <w:rStyle w:val="8"/>
        </w:rPr>
        <w:br w:type="textWrapping"/>
      </w:r>
      <w:r>
        <w:rPr>
          <w:rStyle w:val="8"/>
          <w:rFonts w:hint="eastAsia"/>
        </w:rPr>
        <w:t xml:space="preserve">    </w:t>
      </w:r>
      <w:r>
        <w:rPr>
          <w:rStyle w:val="10"/>
        </w:rPr>
        <w:t>（三）加强督导考核。</w:t>
      </w:r>
      <w:r>
        <w:rPr>
          <w:rStyle w:val="8"/>
        </w:rPr>
        <w:t>以问题为导向，加大督导检查力度，列出问题清单</w:t>
      </w:r>
      <w:r>
        <w:rPr>
          <w:rStyle w:val="8"/>
          <w:rFonts w:hint="eastAsia"/>
        </w:rPr>
        <w:t>，</w:t>
      </w:r>
      <w:r>
        <w:rPr>
          <w:rStyle w:val="8"/>
        </w:rPr>
        <w:t>及时反馈整改，加大工作力度，确保国家健康城市建设工作稳步推进。适时将健康城市建设纳入全</w:t>
      </w:r>
      <w:r>
        <w:rPr>
          <w:rStyle w:val="8"/>
          <w:rFonts w:hint="eastAsia"/>
        </w:rPr>
        <w:t>区</w:t>
      </w:r>
      <w:r>
        <w:rPr>
          <w:rStyle w:val="8"/>
        </w:rPr>
        <w:t>经济社会发展综合考核，提高各级各部门单位重视程度。</w:t>
      </w:r>
    </w:p>
    <w:p>
      <w:pPr>
        <w:spacing w:line="560" w:lineRule="exact"/>
        <w:ind w:left="314" w:leftChars="152" w:firstLine="317" w:firstLineChars="100"/>
        <w:rPr>
          <w:rStyle w:val="8"/>
        </w:rPr>
      </w:pPr>
    </w:p>
    <w:p>
      <w:pPr>
        <w:spacing w:line="560" w:lineRule="exact"/>
        <w:ind w:left="314" w:leftChars="152" w:firstLine="634"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附：健康城市评价指标体系（2018版） </w:t>
      </w:r>
    </w:p>
    <w:p>
      <w:pPr>
        <w:spacing w:line="560" w:lineRule="exact"/>
        <w:rPr>
          <w:rFonts w:ascii="仿宋_GB2312" w:hAnsi="仿宋_GB2312" w:eastAsia="仿宋_GB2312" w:cs="仿宋_GB2312"/>
          <w:sz w:val="32"/>
          <w:szCs w:val="32"/>
        </w:rPr>
      </w:pPr>
    </w:p>
    <w:p>
      <w:pPr>
        <w:ind w:left="1265" w:hanging="1268" w:hangingChars="400"/>
        <w:rPr>
          <w:rFonts w:hint="eastAsia" w:ascii="仿宋_GB2312" w:hAnsi="仿宋_GB2312" w:eastAsia="仿宋_GB2312" w:cs="仿宋_GB2312"/>
          <w:color w:val="000000"/>
          <w:kern w:val="0"/>
          <w:sz w:val="32"/>
          <w:szCs w:val="32"/>
        </w:rPr>
      </w:pPr>
    </w:p>
    <w:p>
      <w:pPr>
        <w:ind w:left="1265" w:hanging="1268" w:hangingChars="400"/>
        <w:rPr>
          <w:rFonts w:hint="eastAsia" w:ascii="仿宋_GB2312" w:hAnsi="仿宋_GB2312" w:eastAsia="仿宋_GB2312" w:cs="仿宋_GB2312"/>
          <w:color w:val="000000"/>
          <w:kern w:val="0"/>
          <w:sz w:val="32"/>
          <w:szCs w:val="32"/>
        </w:rPr>
      </w:pPr>
    </w:p>
    <w:p>
      <w:pPr>
        <w:ind w:left="1265" w:hanging="1268" w:hangingChars="400"/>
        <w:rPr>
          <w:rFonts w:ascii="仿宋_GB2312" w:hAnsi="仿宋_GB2312" w:eastAsia="仿宋_GB2312" w:cs="仿宋_GB2312"/>
          <w:color w:val="000000"/>
          <w:kern w:val="0"/>
          <w:sz w:val="32"/>
          <w:szCs w:val="32"/>
        </w:rPr>
      </w:pPr>
    </w:p>
    <w:p>
      <w:pPr>
        <w:ind w:left="1265" w:hanging="1268" w:hangingChars="400"/>
      </w:pPr>
      <w:r>
        <w:rPr>
          <w:rFonts w:hint="eastAsia" w:ascii="仿宋_GB2312" w:hAnsi="仿宋_GB2312" w:eastAsia="仿宋_GB2312" w:cs="仿宋_GB2312"/>
          <w:color w:val="000000"/>
          <w:kern w:val="0"/>
          <w:sz w:val="32"/>
          <w:szCs w:val="32"/>
        </w:rPr>
        <w:t>附件:</w:t>
      </w:r>
      <w:r>
        <w:rPr>
          <w:rFonts w:ascii="黑体" w:hAnsi="宋体" w:eastAsia="黑体" w:cs="黑体"/>
          <w:color w:val="000000"/>
          <w:kern w:val="0"/>
          <w:sz w:val="32"/>
          <w:szCs w:val="32"/>
        </w:rPr>
        <w:br w:type="textWrapping"/>
      </w:r>
      <w:r>
        <w:rPr>
          <w:rFonts w:hint="eastAsia" w:ascii="方正小标宋简体" w:hAnsi="方正小标宋简体" w:eastAsia="方正小标宋简体" w:cs="方正小标宋简体"/>
          <w:color w:val="000000"/>
          <w:kern w:val="0"/>
          <w:sz w:val="44"/>
          <w:szCs w:val="44"/>
        </w:rPr>
        <w:t>健康城市评价指标体系（2018版）</w:t>
      </w:r>
    </w:p>
    <w:tbl>
      <w:tblPr>
        <w:tblStyle w:val="6"/>
        <w:tblW w:w="9180"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582"/>
        <w:gridCol w:w="2354"/>
        <w:gridCol w:w="524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c>
          <w:tcPr>
            <w:tcW w:w="158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pPr>
            <w:r>
              <w:rPr>
                <w:rFonts w:ascii="黑体" w:hAnsi="宋体" w:eastAsia="黑体" w:cs="黑体"/>
                <w:color w:val="000000"/>
                <w:kern w:val="0"/>
                <w:sz w:val="28"/>
                <w:szCs w:val="28"/>
              </w:rPr>
              <w:t>一级指标</w:t>
            </w:r>
          </w:p>
        </w:tc>
        <w:tc>
          <w:tcPr>
            <w:tcW w:w="235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pPr>
            <w:r>
              <w:rPr>
                <w:rFonts w:ascii="黑体" w:hAnsi="宋体" w:eastAsia="黑体" w:cs="黑体"/>
                <w:color w:val="000000"/>
                <w:kern w:val="0"/>
                <w:sz w:val="28"/>
                <w:szCs w:val="28"/>
              </w:rPr>
              <w:t>二级指标</w:t>
            </w:r>
          </w:p>
        </w:tc>
        <w:tc>
          <w:tcPr>
            <w:tcW w:w="524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pPr>
            <w:r>
              <w:rPr>
                <w:rFonts w:ascii="黑体" w:hAnsi="宋体" w:eastAsia="黑体" w:cs="黑体"/>
                <w:color w:val="000000"/>
                <w:kern w:val="0"/>
                <w:sz w:val="28"/>
                <w:szCs w:val="28"/>
              </w:rPr>
              <w:t>三级指标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10" w:hRule="exact"/>
        </w:trPr>
        <w:tc>
          <w:tcPr>
            <w:tcW w:w="1582" w:type="dxa"/>
            <w:vMerge w:val="restart"/>
            <w:tcBorders>
              <w:top w:val="single" w:color="auto" w:sz="4" w:space="0"/>
              <w:left w:val="single" w:color="auto" w:sz="4" w:space="0"/>
              <w:right w:val="single" w:color="auto" w:sz="4" w:space="0"/>
            </w:tcBorders>
            <w:shd w:val="clear" w:color="auto" w:fill="auto"/>
            <w:vAlign w:val="center"/>
          </w:tcPr>
          <w:p>
            <w:pPr>
              <w:widowControl/>
              <w:jc w:val="left"/>
              <w:rPr>
                <w:rFonts w:ascii="楷体_GB2312" w:hAnsi="楷体_GB2312" w:eastAsia="楷体_GB2312" w:cs="楷体_GB2312"/>
                <w:sz w:val="32"/>
                <w:szCs w:val="32"/>
              </w:rPr>
            </w:pPr>
            <w:r>
              <w:rPr>
                <w:rFonts w:hint="eastAsia" w:ascii="楷体_GB2312" w:hAnsi="楷体_GB2312" w:eastAsia="楷体_GB2312" w:cs="楷体_GB2312"/>
                <w:sz w:val="32"/>
                <w:szCs w:val="32"/>
              </w:rPr>
              <w:t>健康环境</w:t>
            </w:r>
          </w:p>
        </w:tc>
        <w:tc>
          <w:tcPr>
            <w:tcW w:w="2354" w:type="dxa"/>
            <w:vMerge w:val="restart"/>
            <w:tcBorders>
              <w:top w:val="single" w:color="auto" w:sz="4" w:space="0"/>
              <w:left w:val="single" w:color="auto" w:sz="4" w:space="0"/>
              <w:right w:val="single" w:color="auto" w:sz="4" w:space="0"/>
            </w:tcBorders>
            <w:shd w:val="clear" w:color="auto" w:fill="auto"/>
            <w:vAlign w:val="center"/>
          </w:tcPr>
          <w:p>
            <w:pPr>
              <w:widowControl/>
              <w:jc w:val="left"/>
              <w:rPr>
                <w:rFonts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rPr>
              <w:t>1.空气质量</w:t>
            </w:r>
          </w:p>
        </w:tc>
        <w:tc>
          <w:tcPr>
            <w:tcW w:w="5244" w:type="dxa"/>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（1）环境空气质量优良天数占比</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10" w:hRule="exact"/>
        </w:trPr>
        <w:tc>
          <w:tcPr>
            <w:tcW w:w="1582" w:type="dxa"/>
            <w:vMerge w:val="continue"/>
            <w:tcBorders>
              <w:left w:val="single" w:color="auto" w:sz="4" w:space="0"/>
              <w:right w:val="single" w:color="auto" w:sz="4" w:space="0"/>
            </w:tcBorders>
            <w:shd w:val="clear" w:color="auto" w:fill="auto"/>
            <w:vAlign w:val="center"/>
          </w:tcPr>
          <w:p>
            <w:pPr>
              <w:widowControl/>
              <w:jc w:val="left"/>
              <w:rPr>
                <w:rFonts w:ascii="楷体_GB2312" w:hAnsi="楷体_GB2312" w:eastAsia="楷体_GB2312" w:cs="楷体_GB2312"/>
                <w:sz w:val="32"/>
                <w:szCs w:val="32"/>
              </w:rPr>
            </w:pPr>
          </w:p>
        </w:tc>
        <w:tc>
          <w:tcPr>
            <w:tcW w:w="2354" w:type="dxa"/>
            <w:vMerge w:val="continue"/>
            <w:tcBorders>
              <w:left w:val="single" w:color="auto" w:sz="4" w:space="0"/>
              <w:right w:val="single" w:color="auto" w:sz="4" w:space="0"/>
            </w:tcBorders>
            <w:shd w:val="clear" w:color="auto" w:fill="auto"/>
            <w:vAlign w:val="center"/>
          </w:tcPr>
          <w:p>
            <w:pPr>
              <w:rPr>
                <w:rFonts w:ascii="仿宋_GB2312" w:hAnsi="仿宋_GB2312" w:eastAsia="仿宋_GB2312" w:cs="仿宋_GB2312"/>
                <w:sz w:val="28"/>
                <w:szCs w:val="28"/>
              </w:rPr>
            </w:pPr>
          </w:p>
        </w:tc>
        <w:tc>
          <w:tcPr>
            <w:tcW w:w="5244" w:type="dxa"/>
            <w:shd w:val="clear" w:color="auto" w:fill="auto"/>
          </w:tcPr>
          <w:p>
            <w:pPr>
              <w:widowControl/>
              <w:spacing w:line="400" w:lineRule="exac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（2）重度及以上污染天数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10" w:hRule="exact"/>
        </w:trPr>
        <w:tc>
          <w:tcPr>
            <w:tcW w:w="1582" w:type="dxa"/>
            <w:vMerge w:val="continue"/>
            <w:tcBorders>
              <w:left w:val="single" w:color="auto" w:sz="4" w:space="0"/>
              <w:right w:val="single" w:color="auto" w:sz="4" w:space="0"/>
            </w:tcBorders>
            <w:shd w:val="clear" w:color="auto" w:fill="auto"/>
            <w:vAlign w:val="center"/>
          </w:tcPr>
          <w:p>
            <w:pPr>
              <w:widowControl/>
              <w:jc w:val="left"/>
              <w:rPr>
                <w:rFonts w:ascii="楷体_GB2312" w:hAnsi="楷体_GB2312" w:eastAsia="楷体_GB2312" w:cs="楷体_GB2312"/>
                <w:sz w:val="32"/>
                <w:szCs w:val="32"/>
              </w:rPr>
            </w:pPr>
          </w:p>
        </w:tc>
        <w:tc>
          <w:tcPr>
            <w:tcW w:w="2354" w:type="dxa"/>
            <w:vMerge w:val="restart"/>
            <w:tcBorders>
              <w:top w:val="single" w:color="auto" w:sz="4" w:space="0"/>
              <w:left w:val="single" w:color="auto" w:sz="4" w:space="0"/>
              <w:right w:val="single" w:color="auto" w:sz="4" w:space="0"/>
            </w:tcBorders>
            <w:shd w:val="clear" w:color="auto" w:fill="auto"/>
            <w:vAlign w:val="center"/>
          </w:tcPr>
          <w:p>
            <w:pPr>
              <w:widowControl/>
              <w:jc w:val="left"/>
              <w:rPr>
                <w:rFonts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rPr>
              <w:t>2.水质</w:t>
            </w:r>
          </w:p>
        </w:tc>
        <w:tc>
          <w:tcPr>
            <w:tcW w:w="5244" w:type="dxa"/>
            <w:shd w:val="clear" w:color="auto" w:fill="auto"/>
          </w:tcPr>
          <w:p>
            <w:pPr>
              <w:widowControl/>
              <w:spacing w:line="400" w:lineRule="exac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（3）生活饮用水水质达标率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37" w:hRule="exact"/>
        </w:trPr>
        <w:tc>
          <w:tcPr>
            <w:tcW w:w="1582" w:type="dxa"/>
            <w:vMerge w:val="continue"/>
            <w:tcBorders>
              <w:left w:val="single" w:color="auto" w:sz="4" w:space="0"/>
              <w:right w:val="single" w:color="auto" w:sz="4" w:space="0"/>
            </w:tcBorders>
            <w:shd w:val="clear" w:color="auto" w:fill="auto"/>
            <w:vAlign w:val="center"/>
          </w:tcPr>
          <w:p>
            <w:pPr>
              <w:widowControl/>
              <w:jc w:val="left"/>
              <w:rPr>
                <w:rFonts w:ascii="楷体_GB2312" w:hAnsi="楷体_GB2312" w:eastAsia="楷体_GB2312" w:cs="楷体_GB2312"/>
                <w:sz w:val="32"/>
                <w:szCs w:val="32"/>
              </w:rPr>
            </w:pPr>
          </w:p>
        </w:tc>
        <w:tc>
          <w:tcPr>
            <w:tcW w:w="2354" w:type="dxa"/>
            <w:vMerge w:val="continue"/>
            <w:tcBorders>
              <w:left w:val="single" w:color="auto" w:sz="4" w:space="0"/>
              <w:right w:val="single" w:color="auto" w:sz="4" w:space="0"/>
            </w:tcBorders>
            <w:shd w:val="clear" w:color="auto" w:fill="auto"/>
            <w:vAlign w:val="center"/>
          </w:tcPr>
          <w:p>
            <w:pPr>
              <w:rPr>
                <w:rFonts w:ascii="仿宋_GB2312" w:hAnsi="仿宋_GB2312" w:eastAsia="仿宋_GB2312" w:cs="仿宋_GB2312"/>
                <w:sz w:val="28"/>
                <w:szCs w:val="28"/>
              </w:rPr>
            </w:pPr>
          </w:p>
        </w:tc>
        <w:tc>
          <w:tcPr>
            <w:tcW w:w="5244" w:type="dxa"/>
            <w:shd w:val="clear" w:color="auto" w:fill="auto"/>
          </w:tcPr>
          <w:p>
            <w:pPr>
              <w:widowControl/>
              <w:spacing w:line="400" w:lineRule="exac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（4）集中式饮用水水源地安全保障达标率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10" w:hRule="exact"/>
        </w:trPr>
        <w:tc>
          <w:tcPr>
            <w:tcW w:w="1582" w:type="dxa"/>
            <w:vMerge w:val="continue"/>
            <w:tcBorders>
              <w:left w:val="single" w:color="auto" w:sz="4" w:space="0"/>
              <w:right w:val="single" w:color="auto" w:sz="4" w:space="0"/>
            </w:tcBorders>
            <w:shd w:val="clear" w:color="auto" w:fill="auto"/>
            <w:vAlign w:val="center"/>
          </w:tcPr>
          <w:p>
            <w:pPr>
              <w:widowControl/>
              <w:jc w:val="left"/>
              <w:rPr>
                <w:rFonts w:ascii="楷体_GB2312" w:hAnsi="楷体_GB2312" w:eastAsia="楷体_GB2312" w:cs="楷体_GB2312"/>
                <w:sz w:val="32"/>
                <w:szCs w:val="32"/>
              </w:rPr>
            </w:pPr>
          </w:p>
        </w:tc>
        <w:tc>
          <w:tcPr>
            <w:tcW w:w="235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rPr>
              <w:t xml:space="preserve">3.垃圾废物处理 </w:t>
            </w:r>
          </w:p>
        </w:tc>
        <w:tc>
          <w:tcPr>
            <w:tcW w:w="5244" w:type="dxa"/>
            <w:shd w:val="clear" w:color="auto" w:fill="auto"/>
          </w:tcPr>
          <w:p>
            <w:pPr>
              <w:widowControl/>
              <w:spacing w:line="400" w:lineRule="exac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（5）生活垃圾无害化处理率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10" w:hRule="exact"/>
        </w:trPr>
        <w:tc>
          <w:tcPr>
            <w:tcW w:w="1582" w:type="dxa"/>
            <w:vMerge w:val="continue"/>
            <w:tcBorders>
              <w:left w:val="single" w:color="auto" w:sz="4" w:space="0"/>
              <w:right w:val="single" w:color="auto" w:sz="4" w:space="0"/>
            </w:tcBorders>
            <w:shd w:val="clear" w:color="auto" w:fill="auto"/>
            <w:vAlign w:val="center"/>
          </w:tcPr>
          <w:p>
            <w:pPr>
              <w:widowControl/>
              <w:jc w:val="left"/>
              <w:rPr>
                <w:rFonts w:ascii="楷体_GB2312" w:hAnsi="楷体_GB2312" w:eastAsia="楷体_GB2312" w:cs="楷体_GB2312"/>
                <w:sz w:val="32"/>
                <w:szCs w:val="32"/>
              </w:rPr>
            </w:pPr>
          </w:p>
        </w:tc>
        <w:tc>
          <w:tcPr>
            <w:tcW w:w="2354" w:type="dxa"/>
            <w:vMerge w:val="restart"/>
            <w:tcBorders>
              <w:top w:val="single" w:color="auto" w:sz="4" w:space="0"/>
              <w:left w:val="single" w:color="auto" w:sz="4" w:space="0"/>
              <w:right w:val="single" w:color="auto" w:sz="4" w:space="0"/>
            </w:tcBorders>
            <w:shd w:val="clear" w:color="auto" w:fill="auto"/>
            <w:vAlign w:val="center"/>
          </w:tcPr>
          <w:p>
            <w:pPr>
              <w:widowControl/>
              <w:jc w:val="left"/>
              <w:rPr>
                <w:rFonts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rPr>
              <w:t>4.其他相关环境</w:t>
            </w:r>
          </w:p>
        </w:tc>
        <w:tc>
          <w:tcPr>
            <w:tcW w:w="5244" w:type="dxa"/>
            <w:shd w:val="clear" w:color="auto" w:fill="auto"/>
          </w:tcPr>
          <w:p>
            <w:pPr>
              <w:widowControl/>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（6）公共厕所设置密度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10" w:hRule="exact"/>
        </w:trPr>
        <w:tc>
          <w:tcPr>
            <w:tcW w:w="1582" w:type="dxa"/>
            <w:vMerge w:val="continue"/>
            <w:tcBorders>
              <w:left w:val="single" w:color="auto" w:sz="4" w:space="0"/>
              <w:right w:val="single" w:color="auto" w:sz="4" w:space="0"/>
            </w:tcBorders>
            <w:shd w:val="clear" w:color="auto" w:fill="auto"/>
            <w:vAlign w:val="center"/>
          </w:tcPr>
          <w:p>
            <w:pPr>
              <w:widowControl/>
              <w:jc w:val="left"/>
              <w:rPr>
                <w:rFonts w:ascii="楷体_GB2312" w:hAnsi="楷体_GB2312" w:eastAsia="楷体_GB2312" w:cs="楷体_GB2312"/>
                <w:sz w:val="32"/>
                <w:szCs w:val="32"/>
              </w:rPr>
            </w:pPr>
          </w:p>
        </w:tc>
        <w:tc>
          <w:tcPr>
            <w:tcW w:w="2354" w:type="dxa"/>
            <w:vMerge w:val="continue"/>
            <w:tcBorders>
              <w:left w:val="single" w:color="auto" w:sz="4" w:space="0"/>
              <w:right w:val="single" w:color="auto" w:sz="4" w:space="0"/>
            </w:tcBorders>
            <w:shd w:val="clear" w:color="auto" w:fill="auto"/>
            <w:vAlign w:val="center"/>
          </w:tcPr>
          <w:p>
            <w:pPr>
              <w:rPr>
                <w:rFonts w:ascii="仿宋_GB2312" w:hAnsi="仿宋_GB2312" w:eastAsia="仿宋_GB2312" w:cs="仿宋_GB2312"/>
                <w:sz w:val="28"/>
                <w:szCs w:val="28"/>
              </w:rPr>
            </w:pPr>
          </w:p>
        </w:tc>
        <w:tc>
          <w:tcPr>
            <w:tcW w:w="5244" w:type="dxa"/>
            <w:shd w:val="clear" w:color="auto" w:fill="auto"/>
          </w:tcPr>
          <w:p>
            <w:pPr>
              <w:widowControl/>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（7）无害化卫生厕所普及率(农村)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10" w:hRule="exact"/>
        </w:trPr>
        <w:tc>
          <w:tcPr>
            <w:tcW w:w="1582" w:type="dxa"/>
            <w:vMerge w:val="continue"/>
            <w:tcBorders>
              <w:left w:val="single" w:color="auto" w:sz="4" w:space="0"/>
              <w:right w:val="single" w:color="auto" w:sz="4" w:space="0"/>
            </w:tcBorders>
            <w:shd w:val="clear" w:color="auto" w:fill="auto"/>
            <w:vAlign w:val="center"/>
          </w:tcPr>
          <w:p>
            <w:pPr>
              <w:widowControl/>
              <w:jc w:val="left"/>
              <w:rPr>
                <w:rFonts w:ascii="楷体_GB2312" w:hAnsi="楷体_GB2312" w:eastAsia="楷体_GB2312" w:cs="楷体_GB2312"/>
                <w:sz w:val="32"/>
                <w:szCs w:val="32"/>
              </w:rPr>
            </w:pPr>
          </w:p>
        </w:tc>
        <w:tc>
          <w:tcPr>
            <w:tcW w:w="2354" w:type="dxa"/>
            <w:vMerge w:val="continue"/>
            <w:tcBorders>
              <w:left w:val="single" w:color="auto" w:sz="4" w:space="0"/>
              <w:right w:val="single" w:color="auto" w:sz="4" w:space="0"/>
            </w:tcBorders>
            <w:shd w:val="clear" w:color="auto" w:fill="auto"/>
            <w:vAlign w:val="center"/>
          </w:tcPr>
          <w:p>
            <w:pPr>
              <w:rPr>
                <w:rFonts w:ascii="仿宋_GB2312" w:hAnsi="仿宋_GB2312" w:eastAsia="仿宋_GB2312" w:cs="仿宋_GB2312"/>
                <w:sz w:val="28"/>
                <w:szCs w:val="28"/>
              </w:rPr>
            </w:pPr>
          </w:p>
        </w:tc>
        <w:tc>
          <w:tcPr>
            <w:tcW w:w="5244" w:type="dxa"/>
            <w:shd w:val="clear" w:color="auto" w:fill="auto"/>
          </w:tcPr>
          <w:p>
            <w:pPr>
              <w:widowControl/>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（8）人均公园绿地面积</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10" w:hRule="exact"/>
        </w:trPr>
        <w:tc>
          <w:tcPr>
            <w:tcW w:w="1582" w:type="dxa"/>
            <w:vMerge w:val="continue"/>
            <w:tcBorders>
              <w:left w:val="single" w:color="auto" w:sz="4" w:space="0"/>
              <w:right w:val="single" w:color="auto" w:sz="4" w:space="0"/>
            </w:tcBorders>
            <w:shd w:val="clear" w:color="auto" w:fill="auto"/>
            <w:vAlign w:val="center"/>
          </w:tcPr>
          <w:p>
            <w:pPr>
              <w:widowControl/>
              <w:jc w:val="left"/>
              <w:rPr>
                <w:rFonts w:ascii="楷体_GB2312" w:hAnsi="楷体_GB2312" w:eastAsia="楷体_GB2312" w:cs="楷体_GB2312"/>
                <w:sz w:val="32"/>
                <w:szCs w:val="32"/>
              </w:rPr>
            </w:pPr>
          </w:p>
        </w:tc>
        <w:tc>
          <w:tcPr>
            <w:tcW w:w="2354" w:type="dxa"/>
            <w:vMerge w:val="continue"/>
            <w:tcBorders>
              <w:left w:val="single" w:color="auto" w:sz="4" w:space="0"/>
              <w:right w:val="single" w:color="auto" w:sz="4" w:space="0"/>
            </w:tcBorders>
            <w:shd w:val="clear" w:color="auto" w:fill="auto"/>
            <w:vAlign w:val="center"/>
          </w:tcPr>
          <w:p>
            <w:pPr>
              <w:rPr>
                <w:rFonts w:ascii="仿宋_GB2312" w:hAnsi="仿宋_GB2312" w:eastAsia="仿宋_GB2312" w:cs="仿宋_GB2312"/>
                <w:sz w:val="28"/>
                <w:szCs w:val="28"/>
              </w:rPr>
            </w:pPr>
          </w:p>
        </w:tc>
        <w:tc>
          <w:tcPr>
            <w:tcW w:w="5244" w:type="dxa"/>
            <w:shd w:val="clear" w:color="auto" w:fill="auto"/>
          </w:tcPr>
          <w:p>
            <w:pPr>
              <w:widowControl/>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（9）病媒生物密度控制水平</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10" w:hRule="exact"/>
        </w:trPr>
        <w:tc>
          <w:tcPr>
            <w:tcW w:w="1582" w:type="dxa"/>
            <w:vMerge w:val="continue"/>
            <w:tcBorders>
              <w:left w:val="single" w:color="auto" w:sz="4" w:space="0"/>
              <w:bottom w:val="single" w:color="auto" w:sz="4" w:space="0"/>
              <w:right w:val="single" w:color="auto" w:sz="4" w:space="0"/>
            </w:tcBorders>
            <w:shd w:val="clear" w:color="auto" w:fill="auto"/>
            <w:vAlign w:val="center"/>
          </w:tcPr>
          <w:p>
            <w:pPr>
              <w:widowControl/>
              <w:jc w:val="left"/>
              <w:rPr>
                <w:rFonts w:ascii="楷体_GB2312" w:hAnsi="楷体_GB2312" w:eastAsia="楷体_GB2312" w:cs="楷体_GB2312"/>
                <w:sz w:val="32"/>
                <w:szCs w:val="32"/>
              </w:rPr>
            </w:pPr>
          </w:p>
        </w:tc>
        <w:tc>
          <w:tcPr>
            <w:tcW w:w="2354" w:type="dxa"/>
            <w:vMerge w:val="continue"/>
            <w:tcBorders>
              <w:left w:val="single" w:color="auto" w:sz="4" w:space="0"/>
              <w:right w:val="single" w:color="auto" w:sz="4" w:space="0"/>
            </w:tcBorders>
            <w:shd w:val="clear" w:color="auto" w:fill="auto"/>
            <w:vAlign w:val="center"/>
          </w:tcPr>
          <w:p>
            <w:pPr>
              <w:rPr>
                <w:rFonts w:ascii="仿宋_GB2312" w:hAnsi="仿宋_GB2312" w:eastAsia="仿宋_GB2312" w:cs="仿宋_GB2312"/>
                <w:sz w:val="28"/>
                <w:szCs w:val="28"/>
              </w:rPr>
            </w:pPr>
          </w:p>
        </w:tc>
        <w:tc>
          <w:tcPr>
            <w:tcW w:w="5244" w:type="dxa"/>
            <w:shd w:val="clear" w:color="auto" w:fill="auto"/>
          </w:tcPr>
          <w:p>
            <w:pPr>
              <w:widowControl/>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（10）国家卫生县城（镇）占比</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10" w:hRule="exact"/>
        </w:trPr>
        <w:tc>
          <w:tcPr>
            <w:tcW w:w="1582" w:type="dxa"/>
            <w:vMerge w:val="restart"/>
            <w:tcBorders>
              <w:top w:val="single" w:color="auto" w:sz="4" w:space="0"/>
              <w:left w:val="single" w:color="auto" w:sz="4" w:space="0"/>
              <w:right w:val="single" w:color="auto" w:sz="4" w:space="0"/>
            </w:tcBorders>
            <w:shd w:val="clear" w:color="auto" w:fill="auto"/>
            <w:vAlign w:val="center"/>
          </w:tcPr>
          <w:p>
            <w:pPr>
              <w:widowControl/>
              <w:jc w:val="left"/>
              <w:rPr>
                <w:rFonts w:ascii="楷体_GB2312" w:hAnsi="楷体_GB2312" w:eastAsia="楷体_GB2312" w:cs="楷体_GB2312"/>
                <w:sz w:val="32"/>
                <w:szCs w:val="32"/>
              </w:rPr>
            </w:pPr>
            <w:r>
              <w:rPr>
                <w:rFonts w:hint="eastAsia" w:ascii="楷体_GB2312" w:hAnsi="楷体_GB2312" w:eastAsia="楷体_GB2312" w:cs="楷体_GB2312"/>
                <w:sz w:val="32"/>
                <w:szCs w:val="32"/>
              </w:rPr>
              <w:t>健康社会</w:t>
            </w:r>
          </w:p>
        </w:tc>
        <w:tc>
          <w:tcPr>
            <w:tcW w:w="235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rPr>
              <w:t xml:space="preserve">5.社会保障 </w:t>
            </w:r>
          </w:p>
        </w:tc>
        <w:tc>
          <w:tcPr>
            <w:tcW w:w="5244" w:type="dxa"/>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（11）基本医保住院费用实际报销比</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10" w:hRule="exact"/>
        </w:trPr>
        <w:tc>
          <w:tcPr>
            <w:tcW w:w="1582" w:type="dxa"/>
            <w:vMerge w:val="continue"/>
            <w:tcBorders>
              <w:left w:val="single" w:color="auto" w:sz="4" w:space="0"/>
              <w:right w:val="single" w:color="auto" w:sz="4" w:space="0"/>
            </w:tcBorders>
            <w:shd w:val="clear" w:color="auto" w:fill="auto"/>
            <w:vAlign w:val="center"/>
          </w:tcPr>
          <w:p>
            <w:pPr>
              <w:widowControl/>
              <w:jc w:val="left"/>
              <w:rPr>
                <w:rFonts w:ascii="楷体_GB2312" w:hAnsi="楷体_GB2312" w:eastAsia="楷体_GB2312" w:cs="楷体_GB2312"/>
                <w:sz w:val="32"/>
                <w:szCs w:val="32"/>
              </w:rPr>
            </w:pPr>
          </w:p>
        </w:tc>
        <w:tc>
          <w:tcPr>
            <w:tcW w:w="2354" w:type="dxa"/>
            <w:vMerge w:val="restart"/>
            <w:tcBorders>
              <w:top w:val="single" w:color="auto" w:sz="4" w:space="0"/>
              <w:left w:val="single" w:color="auto" w:sz="4" w:space="0"/>
              <w:right w:val="single" w:color="auto" w:sz="4" w:space="0"/>
            </w:tcBorders>
            <w:shd w:val="clear" w:color="auto" w:fill="auto"/>
            <w:vAlign w:val="center"/>
          </w:tcPr>
          <w:p>
            <w:pPr>
              <w:widowControl/>
              <w:jc w:val="left"/>
              <w:rPr>
                <w:rFonts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rPr>
              <w:t>6.健身活动</w:t>
            </w:r>
          </w:p>
        </w:tc>
        <w:tc>
          <w:tcPr>
            <w:tcW w:w="5244" w:type="dxa"/>
            <w:shd w:val="clear" w:color="auto" w:fill="auto"/>
          </w:tcPr>
          <w:p>
            <w:pPr>
              <w:widowControl/>
              <w:spacing w:line="400" w:lineRule="exac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（12）城市人均体育场地面积</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600" w:hRule="exact"/>
        </w:trPr>
        <w:tc>
          <w:tcPr>
            <w:tcW w:w="1582" w:type="dxa"/>
            <w:vMerge w:val="continue"/>
            <w:tcBorders>
              <w:left w:val="single" w:color="auto" w:sz="4" w:space="0"/>
              <w:right w:val="single" w:color="auto" w:sz="4" w:space="0"/>
            </w:tcBorders>
            <w:shd w:val="clear" w:color="auto" w:fill="auto"/>
            <w:vAlign w:val="center"/>
          </w:tcPr>
          <w:p>
            <w:pPr>
              <w:widowControl/>
              <w:jc w:val="left"/>
              <w:rPr>
                <w:rFonts w:ascii="楷体_GB2312" w:hAnsi="楷体_GB2312" w:eastAsia="楷体_GB2312" w:cs="楷体_GB2312"/>
                <w:sz w:val="32"/>
                <w:szCs w:val="32"/>
              </w:rPr>
            </w:pPr>
          </w:p>
        </w:tc>
        <w:tc>
          <w:tcPr>
            <w:tcW w:w="2354" w:type="dxa"/>
            <w:vMerge w:val="continue"/>
            <w:tcBorders>
              <w:left w:val="single" w:color="auto" w:sz="4" w:space="0"/>
              <w:right w:val="single" w:color="auto" w:sz="4" w:space="0"/>
            </w:tcBorders>
            <w:shd w:val="clear" w:color="auto" w:fill="auto"/>
            <w:vAlign w:val="center"/>
          </w:tcPr>
          <w:p>
            <w:pPr>
              <w:rPr>
                <w:rFonts w:ascii="仿宋_GB2312" w:hAnsi="仿宋_GB2312" w:eastAsia="仿宋_GB2312" w:cs="仿宋_GB2312"/>
                <w:sz w:val="28"/>
                <w:szCs w:val="28"/>
              </w:rPr>
            </w:pPr>
          </w:p>
        </w:tc>
        <w:tc>
          <w:tcPr>
            <w:tcW w:w="5244" w:type="dxa"/>
            <w:shd w:val="clear" w:color="auto" w:fill="auto"/>
          </w:tcPr>
          <w:p>
            <w:pPr>
              <w:widowControl/>
              <w:spacing w:line="400" w:lineRule="exac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（13）</w:t>
            </w:r>
            <w:r>
              <w:rPr>
                <w:rFonts w:hint="eastAsia" w:ascii="仿宋_GB2312" w:hAnsi="仿宋_GB2312" w:eastAsia="仿宋_GB2312" w:cs="仿宋_GB2312"/>
                <w:color w:val="000000"/>
                <w:spacing w:val="-11"/>
                <w:kern w:val="0"/>
                <w:sz w:val="28"/>
                <w:szCs w:val="28"/>
              </w:rPr>
              <w:t>每千人拥有社会体育指导员人数比例</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trPr>
        <w:tc>
          <w:tcPr>
            <w:tcW w:w="1582" w:type="dxa"/>
            <w:vMerge w:val="continue"/>
            <w:tcBorders>
              <w:left w:val="single" w:color="auto" w:sz="4" w:space="0"/>
              <w:right w:val="single" w:color="auto" w:sz="4" w:space="0"/>
            </w:tcBorders>
            <w:shd w:val="clear" w:color="auto" w:fill="auto"/>
            <w:vAlign w:val="center"/>
          </w:tcPr>
          <w:p>
            <w:pPr>
              <w:widowControl/>
              <w:jc w:val="left"/>
              <w:rPr>
                <w:rFonts w:ascii="楷体_GB2312" w:hAnsi="楷体_GB2312" w:eastAsia="楷体_GB2312" w:cs="楷体_GB2312"/>
                <w:sz w:val="32"/>
                <w:szCs w:val="32"/>
              </w:rPr>
            </w:pPr>
          </w:p>
        </w:tc>
        <w:tc>
          <w:tcPr>
            <w:tcW w:w="235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rPr>
              <w:t xml:space="preserve">7.职业安全 </w:t>
            </w:r>
          </w:p>
        </w:tc>
        <w:tc>
          <w:tcPr>
            <w:tcW w:w="5244" w:type="dxa"/>
            <w:shd w:val="clear" w:color="auto" w:fill="auto"/>
          </w:tcPr>
          <w:p>
            <w:pPr>
              <w:widowControl/>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（14）职业健康检查覆盖率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trPr>
        <w:tc>
          <w:tcPr>
            <w:tcW w:w="1582" w:type="dxa"/>
            <w:vMerge w:val="continue"/>
            <w:tcBorders>
              <w:left w:val="single" w:color="auto" w:sz="4" w:space="0"/>
              <w:right w:val="single" w:color="auto" w:sz="4" w:space="0"/>
            </w:tcBorders>
            <w:shd w:val="clear" w:color="auto" w:fill="auto"/>
            <w:vAlign w:val="center"/>
          </w:tcPr>
          <w:p>
            <w:pPr>
              <w:widowControl/>
              <w:jc w:val="left"/>
              <w:rPr>
                <w:rFonts w:ascii="楷体_GB2312" w:hAnsi="楷体_GB2312" w:eastAsia="楷体_GB2312" w:cs="楷体_GB2312"/>
                <w:sz w:val="32"/>
                <w:szCs w:val="32"/>
              </w:rPr>
            </w:pPr>
          </w:p>
        </w:tc>
        <w:tc>
          <w:tcPr>
            <w:tcW w:w="235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rPr>
              <w:t xml:space="preserve">8.食品安全 </w:t>
            </w:r>
          </w:p>
        </w:tc>
        <w:tc>
          <w:tcPr>
            <w:tcW w:w="5244" w:type="dxa"/>
            <w:shd w:val="clear" w:color="auto" w:fill="auto"/>
          </w:tcPr>
          <w:p>
            <w:pPr>
              <w:widowControl/>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（15）食品抽样检验 3 批次/千人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trPr>
        <w:tc>
          <w:tcPr>
            <w:tcW w:w="1582" w:type="dxa"/>
            <w:vMerge w:val="continue"/>
            <w:tcBorders>
              <w:left w:val="single" w:color="auto" w:sz="4" w:space="0"/>
              <w:right w:val="single" w:color="auto" w:sz="4" w:space="0"/>
            </w:tcBorders>
            <w:shd w:val="clear" w:color="auto" w:fill="auto"/>
            <w:vAlign w:val="center"/>
          </w:tcPr>
          <w:p>
            <w:pPr>
              <w:widowControl/>
              <w:jc w:val="left"/>
              <w:rPr>
                <w:rFonts w:ascii="楷体_GB2312" w:hAnsi="楷体_GB2312" w:eastAsia="楷体_GB2312" w:cs="楷体_GB2312"/>
                <w:sz w:val="32"/>
                <w:szCs w:val="32"/>
              </w:rPr>
            </w:pPr>
          </w:p>
        </w:tc>
        <w:tc>
          <w:tcPr>
            <w:tcW w:w="235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rPr>
              <w:t xml:space="preserve">9.文化教育 </w:t>
            </w:r>
          </w:p>
        </w:tc>
        <w:tc>
          <w:tcPr>
            <w:tcW w:w="5244" w:type="dxa"/>
            <w:shd w:val="clear" w:color="auto" w:fill="auto"/>
          </w:tcPr>
          <w:p>
            <w:pPr>
              <w:widowControl/>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（16）学生体质监测优良率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trPr>
        <w:tc>
          <w:tcPr>
            <w:tcW w:w="1582" w:type="dxa"/>
            <w:vMerge w:val="continue"/>
            <w:tcBorders>
              <w:left w:val="single" w:color="auto" w:sz="4" w:space="0"/>
              <w:right w:val="single" w:color="auto" w:sz="4" w:space="0"/>
            </w:tcBorders>
            <w:shd w:val="clear" w:color="auto" w:fill="auto"/>
            <w:vAlign w:val="center"/>
          </w:tcPr>
          <w:p>
            <w:pPr>
              <w:widowControl/>
              <w:jc w:val="left"/>
              <w:rPr>
                <w:rFonts w:ascii="楷体_GB2312" w:hAnsi="楷体_GB2312" w:eastAsia="楷体_GB2312" w:cs="楷体_GB2312"/>
                <w:sz w:val="32"/>
                <w:szCs w:val="32"/>
              </w:rPr>
            </w:pPr>
          </w:p>
        </w:tc>
        <w:tc>
          <w:tcPr>
            <w:tcW w:w="235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rPr>
              <w:t xml:space="preserve">10.养老 </w:t>
            </w:r>
          </w:p>
        </w:tc>
        <w:tc>
          <w:tcPr>
            <w:tcW w:w="5244" w:type="dxa"/>
            <w:shd w:val="clear" w:color="auto" w:fill="auto"/>
          </w:tcPr>
          <w:p>
            <w:pPr>
              <w:widowControl/>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（17）每千名老年人口拥有养老床位数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trPr>
        <w:tc>
          <w:tcPr>
            <w:tcW w:w="1582" w:type="dxa"/>
            <w:vMerge w:val="continue"/>
            <w:tcBorders>
              <w:left w:val="single" w:color="auto" w:sz="4" w:space="0"/>
              <w:right w:val="single" w:color="auto" w:sz="4" w:space="0"/>
            </w:tcBorders>
            <w:shd w:val="clear" w:color="auto" w:fill="auto"/>
            <w:vAlign w:val="center"/>
          </w:tcPr>
          <w:p>
            <w:pPr>
              <w:widowControl/>
              <w:jc w:val="left"/>
              <w:rPr>
                <w:rFonts w:ascii="楷体_GB2312" w:hAnsi="楷体_GB2312" w:eastAsia="楷体_GB2312" w:cs="楷体_GB2312"/>
                <w:sz w:val="32"/>
                <w:szCs w:val="32"/>
              </w:rPr>
            </w:pPr>
          </w:p>
        </w:tc>
        <w:tc>
          <w:tcPr>
            <w:tcW w:w="2354" w:type="dxa"/>
            <w:vMerge w:val="restart"/>
            <w:tcBorders>
              <w:top w:val="single" w:color="auto" w:sz="4" w:space="0"/>
              <w:left w:val="single" w:color="auto" w:sz="4" w:space="0"/>
              <w:right w:val="single" w:color="auto" w:sz="4" w:space="0"/>
            </w:tcBorders>
            <w:shd w:val="clear" w:color="auto" w:fill="auto"/>
            <w:vAlign w:val="center"/>
          </w:tcPr>
          <w:p>
            <w:pPr>
              <w:widowControl/>
              <w:jc w:val="left"/>
              <w:rPr>
                <w:rFonts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rPr>
              <w:t>11.健康细胞工程※</w:t>
            </w:r>
          </w:p>
        </w:tc>
        <w:tc>
          <w:tcPr>
            <w:tcW w:w="5244" w:type="dxa"/>
            <w:shd w:val="clear" w:color="auto" w:fill="auto"/>
          </w:tcPr>
          <w:p>
            <w:pPr>
              <w:widowControl/>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（18）健康社区覆盖率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trPr>
        <w:tc>
          <w:tcPr>
            <w:tcW w:w="1582" w:type="dxa"/>
            <w:vMerge w:val="continue"/>
            <w:tcBorders>
              <w:left w:val="single" w:color="auto" w:sz="4" w:space="0"/>
              <w:right w:val="single" w:color="auto" w:sz="4" w:space="0"/>
            </w:tcBorders>
            <w:shd w:val="clear" w:color="auto" w:fill="auto"/>
            <w:vAlign w:val="center"/>
          </w:tcPr>
          <w:p>
            <w:pPr>
              <w:widowControl/>
              <w:jc w:val="left"/>
              <w:rPr>
                <w:rFonts w:ascii="楷体_GB2312" w:hAnsi="楷体_GB2312" w:eastAsia="楷体_GB2312" w:cs="楷体_GB2312"/>
                <w:sz w:val="32"/>
                <w:szCs w:val="32"/>
              </w:rPr>
            </w:pPr>
          </w:p>
        </w:tc>
        <w:tc>
          <w:tcPr>
            <w:tcW w:w="2354" w:type="dxa"/>
            <w:vMerge w:val="continue"/>
            <w:tcBorders>
              <w:left w:val="single" w:color="auto" w:sz="4" w:space="0"/>
              <w:right w:val="single" w:color="auto" w:sz="4" w:space="0"/>
            </w:tcBorders>
            <w:shd w:val="clear" w:color="auto" w:fill="auto"/>
            <w:vAlign w:val="center"/>
          </w:tcPr>
          <w:p>
            <w:pPr>
              <w:rPr>
                <w:rFonts w:ascii="仿宋_GB2312" w:hAnsi="仿宋_GB2312" w:eastAsia="仿宋_GB2312" w:cs="仿宋_GB2312"/>
                <w:sz w:val="28"/>
                <w:szCs w:val="28"/>
              </w:rPr>
            </w:pPr>
          </w:p>
        </w:tc>
        <w:tc>
          <w:tcPr>
            <w:tcW w:w="5244" w:type="dxa"/>
            <w:shd w:val="clear" w:color="auto" w:fill="auto"/>
          </w:tcPr>
          <w:p>
            <w:pPr>
              <w:widowControl/>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（19）健康学校覆盖率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trPr>
        <w:tc>
          <w:tcPr>
            <w:tcW w:w="1582" w:type="dxa"/>
            <w:vMerge w:val="continue"/>
            <w:tcBorders>
              <w:left w:val="single" w:color="auto" w:sz="4" w:space="0"/>
              <w:bottom w:val="single" w:color="auto" w:sz="4" w:space="0"/>
              <w:right w:val="single" w:color="auto" w:sz="4" w:space="0"/>
            </w:tcBorders>
            <w:shd w:val="clear" w:color="auto" w:fill="auto"/>
            <w:vAlign w:val="center"/>
          </w:tcPr>
          <w:p>
            <w:pPr>
              <w:widowControl/>
              <w:jc w:val="left"/>
              <w:rPr>
                <w:rFonts w:ascii="楷体_GB2312" w:hAnsi="楷体_GB2312" w:eastAsia="楷体_GB2312" w:cs="楷体_GB2312"/>
                <w:sz w:val="32"/>
                <w:szCs w:val="32"/>
              </w:rPr>
            </w:pPr>
          </w:p>
        </w:tc>
        <w:tc>
          <w:tcPr>
            <w:tcW w:w="2354" w:type="dxa"/>
            <w:vMerge w:val="continue"/>
            <w:tcBorders>
              <w:left w:val="single" w:color="auto" w:sz="4" w:space="0"/>
              <w:right w:val="single" w:color="auto" w:sz="4" w:space="0"/>
            </w:tcBorders>
            <w:shd w:val="clear" w:color="auto" w:fill="auto"/>
            <w:vAlign w:val="center"/>
          </w:tcPr>
          <w:p>
            <w:pPr>
              <w:rPr>
                <w:rFonts w:ascii="仿宋_GB2312" w:hAnsi="仿宋_GB2312" w:eastAsia="仿宋_GB2312" w:cs="仿宋_GB2312"/>
                <w:sz w:val="28"/>
                <w:szCs w:val="28"/>
              </w:rPr>
            </w:pPr>
          </w:p>
        </w:tc>
        <w:tc>
          <w:tcPr>
            <w:tcW w:w="5244" w:type="dxa"/>
            <w:shd w:val="clear" w:color="auto" w:fill="auto"/>
          </w:tcPr>
          <w:p>
            <w:pPr>
              <w:widowControl/>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（20）健康企业覆盖率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trPr>
        <w:tc>
          <w:tcPr>
            <w:tcW w:w="1582" w:type="dxa"/>
            <w:vMerge w:val="restart"/>
            <w:tcBorders>
              <w:top w:val="single" w:color="auto" w:sz="4" w:space="0"/>
              <w:left w:val="single" w:color="auto" w:sz="4" w:space="0"/>
              <w:right w:val="single" w:color="auto" w:sz="4" w:space="0"/>
            </w:tcBorders>
            <w:shd w:val="clear" w:color="auto" w:fill="auto"/>
            <w:vAlign w:val="center"/>
          </w:tcPr>
          <w:p>
            <w:pPr>
              <w:widowControl/>
              <w:jc w:val="left"/>
              <w:rPr>
                <w:rFonts w:ascii="楷体_GB2312" w:hAnsi="楷体_GB2312" w:eastAsia="楷体_GB2312" w:cs="楷体_GB2312"/>
                <w:sz w:val="32"/>
                <w:szCs w:val="32"/>
              </w:rPr>
            </w:pPr>
            <w:r>
              <w:rPr>
                <w:rFonts w:hint="eastAsia" w:ascii="楷体_GB2312" w:hAnsi="楷体_GB2312" w:eastAsia="楷体_GB2312" w:cs="楷体_GB2312"/>
                <w:kern w:val="0"/>
                <w:sz w:val="32"/>
                <w:szCs w:val="32"/>
              </w:rPr>
              <w:br w:type="textWrapping"/>
            </w:r>
            <w:r>
              <w:rPr>
                <w:rFonts w:hint="eastAsia" w:ascii="楷体_GB2312" w:hAnsi="楷体_GB2312" w:eastAsia="楷体_GB2312" w:cs="楷体_GB2312"/>
                <w:color w:val="000000"/>
                <w:kern w:val="0"/>
                <w:sz w:val="32"/>
                <w:szCs w:val="32"/>
              </w:rPr>
              <w:t>健康服务</w:t>
            </w:r>
          </w:p>
        </w:tc>
        <w:tc>
          <w:tcPr>
            <w:tcW w:w="235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rPr>
              <w:t>12.精神卫生管理</w:t>
            </w:r>
          </w:p>
        </w:tc>
        <w:tc>
          <w:tcPr>
            <w:tcW w:w="5244" w:type="dxa"/>
            <w:tcBorders>
              <w:top w:val="single" w:color="auto" w:sz="4" w:space="0"/>
              <w:left w:val="single" w:color="auto" w:sz="4" w:space="0"/>
              <w:bottom w:val="single" w:color="auto" w:sz="4" w:space="0"/>
              <w:right w:val="single" w:color="auto" w:sz="4" w:space="0"/>
            </w:tcBorders>
            <w:shd w:val="clear" w:color="auto" w:fill="auto"/>
          </w:tcPr>
          <w:p>
            <w:pPr>
              <w:widowControl/>
              <w:spacing w:line="400" w:lineRule="exact"/>
              <w:rPr>
                <w:rFonts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rPr>
              <w:t>（21）严重精神障碍患者规范管理率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trPr>
        <w:tc>
          <w:tcPr>
            <w:tcW w:w="1582" w:type="dxa"/>
            <w:vMerge w:val="continue"/>
            <w:tcBorders>
              <w:left w:val="single" w:color="auto" w:sz="4" w:space="0"/>
              <w:right w:val="single" w:color="auto" w:sz="4" w:space="0"/>
            </w:tcBorders>
            <w:shd w:val="clear" w:color="auto" w:fill="auto"/>
            <w:vAlign w:val="center"/>
          </w:tcPr>
          <w:p>
            <w:pPr>
              <w:widowControl/>
              <w:jc w:val="left"/>
              <w:rPr>
                <w:rFonts w:ascii="楷体_GB2312" w:hAnsi="楷体_GB2312" w:eastAsia="楷体_GB2312" w:cs="楷体_GB2312"/>
                <w:sz w:val="32"/>
                <w:szCs w:val="32"/>
              </w:rPr>
            </w:pPr>
          </w:p>
        </w:tc>
        <w:tc>
          <w:tcPr>
            <w:tcW w:w="2354" w:type="dxa"/>
            <w:vMerge w:val="restart"/>
            <w:tcBorders>
              <w:top w:val="single" w:color="auto" w:sz="4" w:space="0"/>
              <w:left w:val="single" w:color="auto" w:sz="4" w:space="0"/>
              <w:right w:val="single" w:color="auto" w:sz="4" w:space="0"/>
            </w:tcBorders>
            <w:shd w:val="clear" w:color="auto" w:fill="auto"/>
            <w:vAlign w:val="center"/>
          </w:tcPr>
          <w:p>
            <w:pPr>
              <w:widowControl/>
              <w:jc w:val="left"/>
              <w:rPr>
                <w:rFonts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rPr>
              <w:t>13.妇幼卫生服务</w:t>
            </w:r>
          </w:p>
        </w:tc>
        <w:tc>
          <w:tcPr>
            <w:tcW w:w="5244" w:type="dxa"/>
            <w:shd w:val="clear" w:color="auto" w:fill="auto"/>
          </w:tcPr>
          <w:p>
            <w:pPr>
              <w:widowControl/>
              <w:spacing w:line="400" w:lineRule="exact"/>
              <w:rPr>
                <w:rFonts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rPr>
              <w:t>（22）儿童健康管理率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trPr>
        <w:tc>
          <w:tcPr>
            <w:tcW w:w="1582" w:type="dxa"/>
            <w:vMerge w:val="continue"/>
            <w:tcBorders>
              <w:left w:val="single" w:color="auto" w:sz="4" w:space="0"/>
              <w:right w:val="single" w:color="auto" w:sz="4" w:space="0"/>
            </w:tcBorders>
            <w:shd w:val="clear" w:color="auto" w:fill="auto"/>
            <w:vAlign w:val="center"/>
          </w:tcPr>
          <w:p>
            <w:pPr>
              <w:widowControl/>
              <w:jc w:val="left"/>
              <w:rPr>
                <w:rFonts w:ascii="楷体_GB2312" w:hAnsi="楷体_GB2312" w:eastAsia="楷体_GB2312" w:cs="楷体_GB2312"/>
                <w:sz w:val="32"/>
                <w:szCs w:val="32"/>
              </w:rPr>
            </w:pPr>
          </w:p>
        </w:tc>
        <w:tc>
          <w:tcPr>
            <w:tcW w:w="2354" w:type="dxa"/>
            <w:vMerge w:val="continue"/>
            <w:tcBorders>
              <w:left w:val="single" w:color="auto" w:sz="4" w:space="0"/>
              <w:right w:val="single" w:color="auto" w:sz="4" w:space="0"/>
            </w:tcBorders>
            <w:shd w:val="clear" w:color="auto" w:fill="auto"/>
            <w:vAlign w:val="center"/>
          </w:tcPr>
          <w:p>
            <w:pPr>
              <w:rPr>
                <w:rFonts w:ascii="仿宋_GB2312" w:hAnsi="仿宋_GB2312" w:eastAsia="仿宋_GB2312" w:cs="仿宋_GB2312"/>
                <w:sz w:val="28"/>
                <w:szCs w:val="28"/>
              </w:rPr>
            </w:pPr>
          </w:p>
        </w:tc>
        <w:tc>
          <w:tcPr>
            <w:tcW w:w="5244" w:type="dxa"/>
            <w:shd w:val="clear" w:color="auto" w:fill="auto"/>
          </w:tcPr>
          <w:p>
            <w:pPr>
              <w:widowControl/>
              <w:spacing w:line="400" w:lineRule="exact"/>
              <w:rPr>
                <w:rFonts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rPr>
              <w:t>（23）孕产妇系统管理率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trPr>
        <w:tc>
          <w:tcPr>
            <w:tcW w:w="1582" w:type="dxa"/>
            <w:vMerge w:val="continue"/>
            <w:tcBorders>
              <w:left w:val="single" w:color="auto" w:sz="4" w:space="0"/>
              <w:right w:val="single" w:color="auto" w:sz="4" w:space="0"/>
            </w:tcBorders>
            <w:shd w:val="clear" w:color="auto" w:fill="auto"/>
            <w:vAlign w:val="center"/>
          </w:tcPr>
          <w:p>
            <w:pPr>
              <w:widowControl/>
              <w:jc w:val="left"/>
              <w:rPr>
                <w:rFonts w:ascii="楷体_GB2312" w:hAnsi="楷体_GB2312" w:eastAsia="楷体_GB2312" w:cs="楷体_GB2312"/>
                <w:sz w:val="32"/>
                <w:szCs w:val="32"/>
              </w:rPr>
            </w:pPr>
          </w:p>
        </w:tc>
        <w:tc>
          <w:tcPr>
            <w:tcW w:w="2354" w:type="dxa"/>
            <w:vMerge w:val="restart"/>
            <w:tcBorders>
              <w:top w:val="single" w:color="auto" w:sz="4" w:space="0"/>
              <w:left w:val="single" w:color="auto" w:sz="4" w:space="0"/>
              <w:right w:val="single" w:color="auto" w:sz="4" w:space="0"/>
            </w:tcBorders>
            <w:shd w:val="clear" w:color="auto" w:fill="auto"/>
            <w:vAlign w:val="center"/>
          </w:tcPr>
          <w:p>
            <w:pPr>
              <w:widowControl/>
              <w:jc w:val="left"/>
              <w:rPr>
                <w:rFonts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rPr>
              <w:t>14.卫生资源</w:t>
            </w:r>
          </w:p>
        </w:tc>
        <w:tc>
          <w:tcPr>
            <w:tcW w:w="5244" w:type="dxa"/>
            <w:shd w:val="clear" w:color="auto" w:fill="auto"/>
          </w:tcPr>
          <w:p>
            <w:pPr>
              <w:widowControl/>
              <w:spacing w:line="400" w:lineRule="exact"/>
              <w:rPr>
                <w:rFonts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rPr>
              <w:t>（24）每万人口全科医生数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17" w:hRule="exact"/>
        </w:trPr>
        <w:tc>
          <w:tcPr>
            <w:tcW w:w="1582" w:type="dxa"/>
            <w:vMerge w:val="continue"/>
            <w:tcBorders>
              <w:left w:val="single" w:color="auto" w:sz="4" w:space="0"/>
              <w:right w:val="single" w:color="auto" w:sz="4" w:space="0"/>
            </w:tcBorders>
            <w:shd w:val="clear" w:color="auto" w:fill="auto"/>
            <w:vAlign w:val="center"/>
          </w:tcPr>
          <w:p>
            <w:pPr>
              <w:widowControl/>
              <w:jc w:val="left"/>
              <w:rPr>
                <w:rFonts w:ascii="楷体_GB2312" w:hAnsi="楷体_GB2312" w:eastAsia="楷体_GB2312" w:cs="楷体_GB2312"/>
                <w:sz w:val="32"/>
                <w:szCs w:val="32"/>
              </w:rPr>
            </w:pPr>
          </w:p>
        </w:tc>
        <w:tc>
          <w:tcPr>
            <w:tcW w:w="2354" w:type="dxa"/>
            <w:vMerge w:val="continue"/>
            <w:tcBorders>
              <w:left w:val="single" w:color="auto" w:sz="4" w:space="0"/>
              <w:right w:val="single" w:color="auto" w:sz="4" w:space="0"/>
            </w:tcBorders>
            <w:shd w:val="clear" w:color="auto" w:fill="auto"/>
            <w:vAlign w:val="center"/>
          </w:tcPr>
          <w:p>
            <w:pPr>
              <w:rPr>
                <w:rFonts w:ascii="仿宋_GB2312" w:hAnsi="仿宋_GB2312" w:eastAsia="仿宋_GB2312" w:cs="仿宋_GB2312"/>
                <w:sz w:val="28"/>
                <w:szCs w:val="28"/>
              </w:rPr>
            </w:pPr>
          </w:p>
        </w:tc>
        <w:tc>
          <w:tcPr>
            <w:tcW w:w="5244" w:type="dxa"/>
            <w:shd w:val="clear" w:color="auto" w:fill="auto"/>
          </w:tcPr>
          <w:p>
            <w:pPr>
              <w:widowControl/>
              <w:spacing w:line="400" w:lineRule="exact"/>
              <w:rPr>
                <w:rFonts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rPr>
              <w:t>（25）每万人口拥有公共卫生人员数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62" w:hRule="exact"/>
        </w:trPr>
        <w:tc>
          <w:tcPr>
            <w:tcW w:w="1582" w:type="dxa"/>
            <w:vMerge w:val="continue"/>
            <w:tcBorders>
              <w:left w:val="single" w:color="auto" w:sz="4" w:space="0"/>
              <w:right w:val="single" w:color="auto" w:sz="4" w:space="0"/>
            </w:tcBorders>
            <w:shd w:val="clear" w:color="auto" w:fill="auto"/>
            <w:vAlign w:val="center"/>
          </w:tcPr>
          <w:p>
            <w:pPr>
              <w:widowControl/>
              <w:jc w:val="left"/>
              <w:rPr>
                <w:rFonts w:ascii="楷体_GB2312" w:hAnsi="楷体_GB2312" w:eastAsia="楷体_GB2312" w:cs="楷体_GB2312"/>
                <w:sz w:val="32"/>
                <w:szCs w:val="32"/>
              </w:rPr>
            </w:pPr>
          </w:p>
        </w:tc>
        <w:tc>
          <w:tcPr>
            <w:tcW w:w="2354" w:type="dxa"/>
            <w:vMerge w:val="continue"/>
            <w:tcBorders>
              <w:left w:val="single" w:color="auto" w:sz="4" w:space="0"/>
              <w:right w:val="single" w:color="auto" w:sz="4" w:space="0"/>
            </w:tcBorders>
            <w:shd w:val="clear" w:color="auto" w:fill="auto"/>
            <w:vAlign w:val="center"/>
          </w:tcPr>
          <w:p>
            <w:pPr>
              <w:rPr>
                <w:rFonts w:ascii="仿宋_GB2312" w:hAnsi="仿宋_GB2312" w:eastAsia="仿宋_GB2312" w:cs="仿宋_GB2312"/>
                <w:sz w:val="28"/>
                <w:szCs w:val="28"/>
              </w:rPr>
            </w:pPr>
          </w:p>
        </w:tc>
        <w:tc>
          <w:tcPr>
            <w:tcW w:w="5244" w:type="dxa"/>
            <w:shd w:val="clear" w:color="auto" w:fill="auto"/>
          </w:tcPr>
          <w:p>
            <w:pPr>
              <w:widowControl/>
              <w:spacing w:line="400" w:lineRule="exact"/>
              <w:rPr>
                <w:rFonts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rPr>
              <w:t>（26）每千人口医疗卫生机构床位数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792" w:hRule="exact"/>
        </w:trPr>
        <w:tc>
          <w:tcPr>
            <w:tcW w:w="1582" w:type="dxa"/>
            <w:vMerge w:val="continue"/>
            <w:tcBorders>
              <w:left w:val="single" w:color="auto" w:sz="4" w:space="0"/>
              <w:right w:val="single" w:color="auto" w:sz="4" w:space="0"/>
            </w:tcBorders>
            <w:shd w:val="clear" w:color="auto" w:fill="auto"/>
            <w:vAlign w:val="center"/>
          </w:tcPr>
          <w:p>
            <w:pPr>
              <w:widowControl/>
              <w:jc w:val="left"/>
              <w:rPr>
                <w:rFonts w:ascii="楷体_GB2312" w:hAnsi="楷体_GB2312" w:eastAsia="楷体_GB2312" w:cs="楷体_GB2312"/>
                <w:sz w:val="32"/>
                <w:szCs w:val="32"/>
              </w:rPr>
            </w:pPr>
          </w:p>
        </w:tc>
        <w:tc>
          <w:tcPr>
            <w:tcW w:w="2354" w:type="dxa"/>
            <w:vMerge w:val="continue"/>
            <w:tcBorders>
              <w:left w:val="single" w:color="auto" w:sz="4" w:space="0"/>
              <w:right w:val="single" w:color="auto" w:sz="4" w:space="0"/>
            </w:tcBorders>
            <w:shd w:val="clear" w:color="auto" w:fill="auto"/>
            <w:vAlign w:val="center"/>
          </w:tcPr>
          <w:p>
            <w:pPr>
              <w:rPr>
                <w:rFonts w:ascii="仿宋_GB2312" w:hAnsi="仿宋_GB2312" w:eastAsia="仿宋_GB2312" w:cs="仿宋_GB2312"/>
                <w:sz w:val="28"/>
                <w:szCs w:val="28"/>
              </w:rPr>
            </w:pPr>
          </w:p>
        </w:tc>
        <w:tc>
          <w:tcPr>
            <w:tcW w:w="5244" w:type="dxa"/>
            <w:shd w:val="clear" w:color="auto" w:fill="auto"/>
          </w:tcPr>
          <w:p>
            <w:pPr>
              <w:widowControl/>
              <w:spacing w:line="400" w:lineRule="exact"/>
              <w:rPr>
                <w:rFonts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rPr>
              <w:t>（27）提供中医药服务的基层医疗卫生机构占比</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57" w:hRule="exact"/>
        </w:trPr>
        <w:tc>
          <w:tcPr>
            <w:tcW w:w="1582" w:type="dxa"/>
            <w:vMerge w:val="continue"/>
            <w:tcBorders>
              <w:left w:val="single" w:color="auto" w:sz="4" w:space="0"/>
              <w:bottom w:val="single" w:color="auto" w:sz="4" w:space="0"/>
              <w:right w:val="single" w:color="auto" w:sz="4" w:space="0"/>
            </w:tcBorders>
            <w:shd w:val="clear" w:color="auto" w:fill="auto"/>
            <w:vAlign w:val="center"/>
          </w:tcPr>
          <w:p>
            <w:pPr>
              <w:widowControl/>
              <w:jc w:val="left"/>
              <w:rPr>
                <w:rFonts w:ascii="楷体_GB2312" w:hAnsi="楷体_GB2312" w:eastAsia="楷体_GB2312" w:cs="楷体_GB2312"/>
                <w:sz w:val="32"/>
                <w:szCs w:val="32"/>
              </w:rPr>
            </w:pPr>
          </w:p>
        </w:tc>
        <w:tc>
          <w:tcPr>
            <w:tcW w:w="2354" w:type="dxa"/>
            <w:vMerge w:val="continue"/>
            <w:tcBorders>
              <w:left w:val="single" w:color="auto" w:sz="4" w:space="0"/>
              <w:right w:val="single" w:color="auto" w:sz="4" w:space="0"/>
            </w:tcBorders>
            <w:shd w:val="clear" w:color="auto" w:fill="auto"/>
            <w:vAlign w:val="center"/>
          </w:tcPr>
          <w:p>
            <w:pPr>
              <w:rPr>
                <w:rFonts w:ascii="仿宋_GB2312" w:hAnsi="仿宋_GB2312" w:eastAsia="仿宋_GB2312" w:cs="仿宋_GB2312"/>
                <w:sz w:val="28"/>
                <w:szCs w:val="28"/>
              </w:rPr>
            </w:pPr>
          </w:p>
        </w:tc>
        <w:tc>
          <w:tcPr>
            <w:tcW w:w="5244" w:type="dxa"/>
            <w:shd w:val="clear" w:color="auto" w:fill="auto"/>
          </w:tcPr>
          <w:p>
            <w:pPr>
              <w:widowControl/>
              <w:spacing w:line="400" w:lineRule="exact"/>
              <w:rPr>
                <w:rFonts w:ascii="仿宋_GB2312" w:hAnsi="仿宋_GB2312" w:eastAsia="仿宋_GB2312" w:cs="仿宋_GB2312"/>
                <w:sz w:val="28"/>
                <w:szCs w:val="28"/>
              </w:rPr>
            </w:pPr>
            <w:r>
              <w:rPr>
                <w:rFonts w:hint="eastAsia" w:ascii="仿宋_GB2312" w:hAnsi="仿宋_GB2312" w:eastAsia="仿宋_GB2312" w:cs="仿宋_GB2312"/>
                <w:color w:val="000000"/>
                <w:spacing w:val="-11"/>
                <w:kern w:val="0"/>
                <w:sz w:val="28"/>
                <w:szCs w:val="28"/>
              </w:rPr>
              <w:t>（28）卫生健康支出占财政支出的比重</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exact"/>
        </w:trPr>
        <w:tc>
          <w:tcPr>
            <w:tcW w:w="1582" w:type="dxa"/>
            <w:vMerge w:val="restart"/>
            <w:tcBorders>
              <w:top w:val="single" w:color="auto" w:sz="4" w:space="0"/>
              <w:left w:val="single" w:color="auto" w:sz="4" w:space="0"/>
              <w:right w:val="single" w:color="auto" w:sz="4" w:space="0"/>
            </w:tcBorders>
            <w:shd w:val="clear" w:color="auto" w:fill="auto"/>
            <w:vAlign w:val="center"/>
          </w:tcPr>
          <w:p>
            <w:pPr>
              <w:widowControl/>
              <w:jc w:val="left"/>
              <w:rPr>
                <w:rFonts w:ascii="楷体_GB2312" w:hAnsi="楷体_GB2312" w:eastAsia="楷体_GB2312" w:cs="楷体_GB2312"/>
                <w:sz w:val="32"/>
                <w:szCs w:val="32"/>
              </w:rPr>
            </w:pPr>
            <w:r>
              <w:rPr>
                <w:rFonts w:hint="eastAsia" w:ascii="楷体_GB2312" w:hAnsi="楷体_GB2312" w:eastAsia="楷体_GB2312" w:cs="楷体_GB2312"/>
                <w:color w:val="000000"/>
                <w:kern w:val="0"/>
                <w:sz w:val="32"/>
                <w:szCs w:val="32"/>
              </w:rPr>
              <w:t>健康人群</w:t>
            </w:r>
          </w:p>
        </w:tc>
        <w:tc>
          <w:tcPr>
            <w:tcW w:w="2354" w:type="dxa"/>
            <w:vMerge w:val="restart"/>
            <w:tcBorders>
              <w:top w:val="single" w:color="auto" w:sz="4" w:space="0"/>
              <w:left w:val="single" w:color="auto" w:sz="4" w:space="0"/>
              <w:right w:val="single" w:color="auto" w:sz="4" w:space="0"/>
            </w:tcBorders>
            <w:shd w:val="clear" w:color="auto" w:fill="auto"/>
            <w:vAlign w:val="center"/>
          </w:tcPr>
          <w:p>
            <w:pPr>
              <w:widowControl/>
              <w:jc w:val="left"/>
              <w:rPr>
                <w:rFonts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rPr>
              <w:t>15.健康水平</w:t>
            </w:r>
          </w:p>
        </w:tc>
        <w:tc>
          <w:tcPr>
            <w:tcW w:w="5244" w:type="dxa"/>
            <w:tcBorders>
              <w:top w:val="single" w:color="auto" w:sz="4" w:space="0"/>
              <w:left w:val="single" w:color="auto" w:sz="4" w:space="0"/>
              <w:bottom w:val="single" w:color="auto" w:sz="4" w:space="0"/>
              <w:right w:val="single" w:color="auto" w:sz="4" w:space="0"/>
            </w:tcBorders>
            <w:shd w:val="clear" w:color="auto" w:fill="auto"/>
          </w:tcPr>
          <w:p>
            <w:pPr>
              <w:widowControl/>
              <w:spacing w:line="400" w:lineRule="exact"/>
              <w:rPr>
                <w:rFonts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rPr>
              <w:t>（29）人均预期寿命</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02" w:hRule="exact"/>
        </w:trPr>
        <w:tc>
          <w:tcPr>
            <w:tcW w:w="1582" w:type="dxa"/>
            <w:vMerge w:val="continue"/>
            <w:tcBorders>
              <w:left w:val="single" w:color="auto" w:sz="4" w:space="0"/>
              <w:right w:val="single" w:color="auto" w:sz="4" w:space="0"/>
            </w:tcBorders>
            <w:shd w:val="clear" w:color="auto" w:fill="auto"/>
            <w:vAlign w:val="center"/>
          </w:tcPr>
          <w:p>
            <w:pPr>
              <w:widowControl/>
              <w:jc w:val="left"/>
              <w:rPr>
                <w:rFonts w:ascii="楷体_GB2312" w:hAnsi="楷体_GB2312" w:eastAsia="楷体_GB2312" w:cs="楷体_GB2312"/>
                <w:sz w:val="32"/>
                <w:szCs w:val="32"/>
              </w:rPr>
            </w:pPr>
          </w:p>
        </w:tc>
        <w:tc>
          <w:tcPr>
            <w:tcW w:w="2354" w:type="dxa"/>
            <w:vMerge w:val="continue"/>
            <w:tcBorders>
              <w:left w:val="single" w:color="auto" w:sz="4" w:space="0"/>
              <w:right w:val="single" w:color="auto" w:sz="4" w:space="0"/>
            </w:tcBorders>
            <w:shd w:val="clear" w:color="auto" w:fill="auto"/>
            <w:vAlign w:val="center"/>
          </w:tcPr>
          <w:p>
            <w:pPr>
              <w:rPr>
                <w:rFonts w:ascii="仿宋_GB2312" w:hAnsi="仿宋_GB2312" w:eastAsia="仿宋_GB2312" w:cs="仿宋_GB2312"/>
                <w:sz w:val="28"/>
                <w:szCs w:val="28"/>
              </w:rPr>
            </w:pPr>
          </w:p>
        </w:tc>
        <w:tc>
          <w:tcPr>
            <w:tcW w:w="5244" w:type="dxa"/>
            <w:shd w:val="clear" w:color="auto" w:fill="auto"/>
          </w:tcPr>
          <w:p>
            <w:pPr>
              <w:widowControl/>
              <w:spacing w:line="400" w:lineRule="exact"/>
              <w:rPr>
                <w:rFonts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rPr>
              <w:t>（30）婴儿死亡率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87" w:hRule="exact"/>
        </w:trPr>
        <w:tc>
          <w:tcPr>
            <w:tcW w:w="1582" w:type="dxa"/>
            <w:vMerge w:val="continue"/>
            <w:tcBorders>
              <w:left w:val="single" w:color="auto" w:sz="4" w:space="0"/>
              <w:right w:val="single" w:color="auto" w:sz="4" w:space="0"/>
            </w:tcBorders>
            <w:shd w:val="clear" w:color="auto" w:fill="auto"/>
            <w:vAlign w:val="center"/>
          </w:tcPr>
          <w:p>
            <w:pPr>
              <w:widowControl/>
              <w:jc w:val="left"/>
              <w:rPr>
                <w:rFonts w:ascii="楷体_GB2312" w:hAnsi="楷体_GB2312" w:eastAsia="楷体_GB2312" w:cs="楷体_GB2312"/>
                <w:sz w:val="32"/>
                <w:szCs w:val="32"/>
              </w:rPr>
            </w:pPr>
          </w:p>
        </w:tc>
        <w:tc>
          <w:tcPr>
            <w:tcW w:w="2354" w:type="dxa"/>
            <w:vMerge w:val="continue"/>
            <w:tcBorders>
              <w:left w:val="single" w:color="auto" w:sz="4" w:space="0"/>
              <w:right w:val="single" w:color="auto" w:sz="4" w:space="0"/>
            </w:tcBorders>
            <w:shd w:val="clear" w:color="auto" w:fill="auto"/>
            <w:vAlign w:val="center"/>
          </w:tcPr>
          <w:p>
            <w:pPr>
              <w:rPr>
                <w:rFonts w:ascii="仿宋_GB2312" w:hAnsi="仿宋_GB2312" w:eastAsia="仿宋_GB2312" w:cs="仿宋_GB2312"/>
                <w:sz w:val="28"/>
                <w:szCs w:val="28"/>
              </w:rPr>
            </w:pPr>
          </w:p>
        </w:tc>
        <w:tc>
          <w:tcPr>
            <w:tcW w:w="5244" w:type="dxa"/>
            <w:shd w:val="clear" w:color="auto" w:fill="auto"/>
          </w:tcPr>
          <w:p>
            <w:pPr>
              <w:widowControl/>
              <w:spacing w:line="400" w:lineRule="exact"/>
              <w:rPr>
                <w:rFonts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rPr>
              <w:t>（31） 5 岁以下儿童死亡率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87" w:hRule="exact"/>
        </w:trPr>
        <w:tc>
          <w:tcPr>
            <w:tcW w:w="1582" w:type="dxa"/>
            <w:vMerge w:val="continue"/>
            <w:tcBorders>
              <w:left w:val="single" w:color="auto" w:sz="4" w:space="0"/>
              <w:right w:val="single" w:color="auto" w:sz="4" w:space="0"/>
            </w:tcBorders>
            <w:shd w:val="clear" w:color="auto" w:fill="auto"/>
            <w:vAlign w:val="center"/>
          </w:tcPr>
          <w:p>
            <w:pPr>
              <w:widowControl/>
              <w:jc w:val="left"/>
              <w:rPr>
                <w:rFonts w:ascii="楷体_GB2312" w:hAnsi="楷体_GB2312" w:eastAsia="楷体_GB2312" w:cs="楷体_GB2312"/>
                <w:sz w:val="32"/>
                <w:szCs w:val="32"/>
              </w:rPr>
            </w:pPr>
          </w:p>
        </w:tc>
        <w:tc>
          <w:tcPr>
            <w:tcW w:w="2354" w:type="dxa"/>
            <w:vMerge w:val="continue"/>
            <w:tcBorders>
              <w:left w:val="single" w:color="auto" w:sz="4" w:space="0"/>
              <w:right w:val="single" w:color="auto" w:sz="4" w:space="0"/>
            </w:tcBorders>
            <w:shd w:val="clear" w:color="auto" w:fill="auto"/>
            <w:vAlign w:val="center"/>
          </w:tcPr>
          <w:p>
            <w:pPr>
              <w:rPr>
                <w:rFonts w:ascii="仿宋_GB2312" w:hAnsi="仿宋_GB2312" w:eastAsia="仿宋_GB2312" w:cs="仿宋_GB2312"/>
                <w:sz w:val="28"/>
                <w:szCs w:val="28"/>
              </w:rPr>
            </w:pPr>
          </w:p>
        </w:tc>
        <w:tc>
          <w:tcPr>
            <w:tcW w:w="5244" w:type="dxa"/>
            <w:shd w:val="clear" w:color="auto" w:fill="auto"/>
          </w:tcPr>
          <w:p>
            <w:pPr>
              <w:widowControl/>
              <w:spacing w:line="400" w:lineRule="exact"/>
              <w:rPr>
                <w:rFonts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rPr>
              <w:t>（32）孕产妇死亡率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807" w:hRule="exact"/>
        </w:trPr>
        <w:tc>
          <w:tcPr>
            <w:tcW w:w="1582" w:type="dxa"/>
            <w:vMerge w:val="continue"/>
            <w:tcBorders>
              <w:left w:val="single" w:color="auto" w:sz="4" w:space="0"/>
              <w:right w:val="single" w:color="auto" w:sz="4" w:space="0"/>
            </w:tcBorders>
            <w:shd w:val="clear" w:color="auto" w:fill="auto"/>
            <w:vAlign w:val="center"/>
          </w:tcPr>
          <w:p>
            <w:pPr>
              <w:widowControl/>
              <w:jc w:val="left"/>
              <w:rPr>
                <w:rFonts w:ascii="楷体_GB2312" w:hAnsi="楷体_GB2312" w:eastAsia="楷体_GB2312" w:cs="楷体_GB2312"/>
                <w:sz w:val="32"/>
                <w:szCs w:val="32"/>
              </w:rPr>
            </w:pPr>
          </w:p>
        </w:tc>
        <w:tc>
          <w:tcPr>
            <w:tcW w:w="2354" w:type="dxa"/>
            <w:vMerge w:val="continue"/>
            <w:tcBorders>
              <w:left w:val="single" w:color="auto" w:sz="4" w:space="0"/>
              <w:right w:val="single" w:color="auto" w:sz="4" w:space="0"/>
            </w:tcBorders>
            <w:shd w:val="clear" w:color="auto" w:fill="auto"/>
            <w:vAlign w:val="center"/>
          </w:tcPr>
          <w:p>
            <w:pPr>
              <w:rPr>
                <w:rFonts w:ascii="仿宋_GB2312" w:hAnsi="仿宋_GB2312" w:eastAsia="仿宋_GB2312" w:cs="仿宋_GB2312"/>
                <w:sz w:val="28"/>
                <w:szCs w:val="28"/>
              </w:rPr>
            </w:pPr>
          </w:p>
        </w:tc>
        <w:tc>
          <w:tcPr>
            <w:tcW w:w="5244" w:type="dxa"/>
            <w:shd w:val="clear" w:color="auto" w:fill="auto"/>
          </w:tcPr>
          <w:p>
            <w:pPr>
              <w:widowControl/>
              <w:spacing w:line="400" w:lineRule="exact"/>
              <w:rPr>
                <w:rFonts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rPr>
              <w:t>（33）城乡居民达到《国民体质测定标准》合格以上的人数比例</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27" w:hRule="exact"/>
        </w:trPr>
        <w:tc>
          <w:tcPr>
            <w:tcW w:w="1582" w:type="dxa"/>
            <w:vMerge w:val="continue"/>
            <w:tcBorders>
              <w:left w:val="single" w:color="auto" w:sz="4" w:space="0"/>
              <w:right w:val="single" w:color="auto" w:sz="4" w:space="0"/>
            </w:tcBorders>
            <w:shd w:val="clear" w:color="auto" w:fill="auto"/>
            <w:vAlign w:val="center"/>
          </w:tcPr>
          <w:p>
            <w:pPr>
              <w:widowControl/>
              <w:jc w:val="left"/>
              <w:rPr>
                <w:rFonts w:ascii="楷体_GB2312" w:hAnsi="楷体_GB2312" w:eastAsia="楷体_GB2312" w:cs="楷体_GB2312"/>
                <w:sz w:val="32"/>
                <w:szCs w:val="32"/>
              </w:rPr>
            </w:pPr>
          </w:p>
        </w:tc>
        <w:tc>
          <w:tcPr>
            <w:tcW w:w="235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rPr>
              <w:t>16.传染病</w:t>
            </w:r>
          </w:p>
        </w:tc>
        <w:tc>
          <w:tcPr>
            <w:tcW w:w="5244" w:type="dxa"/>
            <w:shd w:val="clear" w:color="auto" w:fill="auto"/>
          </w:tcPr>
          <w:p>
            <w:pPr>
              <w:widowControl/>
              <w:spacing w:line="400" w:lineRule="exact"/>
              <w:rPr>
                <w:rFonts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rPr>
              <w:t>（34）甲乙类传染病发病率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22" w:hRule="exact"/>
        </w:trPr>
        <w:tc>
          <w:tcPr>
            <w:tcW w:w="1582" w:type="dxa"/>
            <w:vMerge w:val="continue"/>
            <w:tcBorders>
              <w:left w:val="single" w:color="auto" w:sz="4" w:space="0"/>
              <w:right w:val="single" w:color="auto" w:sz="4" w:space="0"/>
            </w:tcBorders>
            <w:shd w:val="clear" w:color="auto" w:fill="auto"/>
            <w:vAlign w:val="center"/>
          </w:tcPr>
          <w:p>
            <w:pPr>
              <w:widowControl/>
              <w:jc w:val="left"/>
              <w:rPr>
                <w:rFonts w:ascii="楷体_GB2312" w:hAnsi="楷体_GB2312" w:eastAsia="楷体_GB2312" w:cs="楷体_GB2312"/>
                <w:sz w:val="32"/>
                <w:szCs w:val="32"/>
              </w:rPr>
            </w:pPr>
          </w:p>
        </w:tc>
        <w:tc>
          <w:tcPr>
            <w:tcW w:w="2354" w:type="dxa"/>
            <w:vMerge w:val="restart"/>
            <w:tcBorders>
              <w:top w:val="single" w:color="auto" w:sz="4" w:space="0"/>
              <w:left w:val="single" w:color="auto" w:sz="4" w:space="0"/>
              <w:right w:val="single" w:color="auto" w:sz="4" w:space="0"/>
            </w:tcBorders>
            <w:shd w:val="clear" w:color="auto" w:fill="auto"/>
            <w:vAlign w:val="center"/>
          </w:tcPr>
          <w:p>
            <w:pPr>
              <w:widowControl/>
              <w:jc w:val="left"/>
              <w:rPr>
                <w:rFonts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rPr>
              <w:t>17.慢性病</w:t>
            </w:r>
          </w:p>
        </w:tc>
        <w:tc>
          <w:tcPr>
            <w:tcW w:w="5244" w:type="dxa"/>
            <w:shd w:val="clear" w:color="auto" w:fill="auto"/>
          </w:tcPr>
          <w:p>
            <w:pPr>
              <w:widowControl/>
              <w:spacing w:line="400" w:lineRule="exact"/>
              <w:rPr>
                <w:rFonts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rPr>
              <w:t>（35）重大慢性病过早死亡率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32" w:hRule="exact"/>
        </w:trPr>
        <w:tc>
          <w:tcPr>
            <w:tcW w:w="1582" w:type="dxa"/>
            <w:vMerge w:val="continue"/>
            <w:tcBorders>
              <w:left w:val="single" w:color="auto" w:sz="4" w:space="0"/>
              <w:right w:val="single" w:color="auto" w:sz="4" w:space="0"/>
            </w:tcBorders>
            <w:shd w:val="clear" w:color="auto" w:fill="auto"/>
            <w:vAlign w:val="center"/>
          </w:tcPr>
          <w:p>
            <w:pPr>
              <w:widowControl/>
              <w:jc w:val="left"/>
              <w:rPr>
                <w:rFonts w:ascii="楷体_GB2312" w:hAnsi="楷体_GB2312" w:eastAsia="楷体_GB2312" w:cs="楷体_GB2312"/>
                <w:sz w:val="32"/>
                <w:szCs w:val="32"/>
              </w:rPr>
            </w:pPr>
          </w:p>
        </w:tc>
        <w:tc>
          <w:tcPr>
            <w:tcW w:w="2354" w:type="dxa"/>
            <w:vMerge w:val="continue"/>
            <w:tcBorders>
              <w:left w:val="single" w:color="auto" w:sz="4" w:space="0"/>
              <w:right w:val="single" w:color="auto" w:sz="4" w:space="0"/>
            </w:tcBorders>
            <w:shd w:val="clear" w:color="auto" w:fill="auto"/>
            <w:vAlign w:val="center"/>
          </w:tcPr>
          <w:p>
            <w:pPr>
              <w:rPr>
                <w:rFonts w:ascii="仿宋_GB2312" w:hAnsi="仿宋_GB2312" w:eastAsia="仿宋_GB2312" w:cs="仿宋_GB2312"/>
                <w:sz w:val="28"/>
                <w:szCs w:val="28"/>
              </w:rPr>
            </w:pPr>
          </w:p>
        </w:tc>
        <w:tc>
          <w:tcPr>
            <w:tcW w:w="5244" w:type="dxa"/>
            <w:shd w:val="clear" w:color="auto" w:fill="auto"/>
          </w:tcPr>
          <w:p>
            <w:pPr>
              <w:widowControl/>
              <w:spacing w:line="400" w:lineRule="exact"/>
              <w:rPr>
                <w:rFonts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rPr>
              <w:t>（36）18-50 岁人群高血压患病率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07" w:hRule="exact"/>
        </w:trPr>
        <w:tc>
          <w:tcPr>
            <w:tcW w:w="1582" w:type="dxa"/>
            <w:vMerge w:val="continue"/>
            <w:tcBorders>
              <w:left w:val="single" w:color="auto" w:sz="4" w:space="0"/>
              <w:bottom w:val="single" w:color="auto" w:sz="4" w:space="0"/>
              <w:right w:val="single" w:color="auto" w:sz="4" w:space="0"/>
            </w:tcBorders>
            <w:shd w:val="clear" w:color="auto" w:fill="auto"/>
            <w:vAlign w:val="center"/>
          </w:tcPr>
          <w:p>
            <w:pPr>
              <w:widowControl/>
              <w:jc w:val="left"/>
              <w:rPr>
                <w:rFonts w:ascii="楷体_GB2312" w:hAnsi="楷体_GB2312" w:eastAsia="楷体_GB2312" w:cs="楷体_GB2312"/>
                <w:sz w:val="32"/>
                <w:szCs w:val="32"/>
              </w:rPr>
            </w:pPr>
          </w:p>
        </w:tc>
        <w:tc>
          <w:tcPr>
            <w:tcW w:w="2354" w:type="dxa"/>
            <w:vMerge w:val="continue"/>
            <w:tcBorders>
              <w:left w:val="single" w:color="auto" w:sz="4" w:space="0"/>
              <w:right w:val="single" w:color="auto" w:sz="4" w:space="0"/>
            </w:tcBorders>
            <w:shd w:val="clear" w:color="auto" w:fill="auto"/>
            <w:vAlign w:val="center"/>
          </w:tcPr>
          <w:p>
            <w:pPr>
              <w:rPr>
                <w:rFonts w:ascii="仿宋_GB2312" w:hAnsi="仿宋_GB2312" w:eastAsia="仿宋_GB2312" w:cs="仿宋_GB2312"/>
                <w:sz w:val="28"/>
                <w:szCs w:val="28"/>
              </w:rPr>
            </w:pPr>
          </w:p>
        </w:tc>
        <w:tc>
          <w:tcPr>
            <w:tcW w:w="5244" w:type="dxa"/>
            <w:shd w:val="clear" w:color="auto" w:fill="auto"/>
          </w:tcPr>
          <w:p>
            <w:pPr>
              <w:widowControl/>
              <w:spacing w:line="400" w:lineRule="exact"/>
              <w:rPr>
                <w:rFonts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rPr>
              <w:t>（37）肿瘤年龄标化发病率变化幅度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12" w:hRule="exact"/>
        </w:trPr>
        <w:tc>
          <w:tcPr>
            <w:tcW w:w="1582" w:type="dxa"/>
            <w:vMerge w:val="restart"/>
            <w:tcBorders>
              <w:top w:val="single" w:color="auto" w:sz="4" w:space="0"/>
              <w:left w:val="single" w:color="auto" w:sz="4" w:space="0"/>
              <w:right w:val="single" w:color="auto" w:sz="4" w:space="0"/>
            </w:tcBorders>
            <w:shd w:val="clear" w:color="auto" w:fill="auto"/>
            <w:vAlign w:val="center"/>
          </w:tcPr>
          <w:p>
            <w:pPr>
              <w:widowControl/>
              <w:jc w:val="left"/>
              <w:rPr>
                <w:rFonts w:ascii="楷体_GB2312" w:hAnsi="楷体_GB2312" w:eastAsia="楷体_GB2312" w:cs="楷体_GB2312"/>
                <w:sz w:val="32"/>
                <w:szCs w:val="32"/>
              </w:rPr>
            </w:pPr>
            <w:r>
              <w:rPr>
                <w:rFonts w:hint="eastAsia" w:ascii="楷体_GB2312" w:hAnsi="楷体_GB2312" w:eastAsia="楷体_GB2312" w:cs="楷体_GB2312"/>
                <w:sz w:val="32"/>
                <w:szCs w:val="32"/>
              </w:rPr>
              <w:t>健康文化</w:t>
            </w:r>
          </w:p>
        </w:tc>
        <w:tc>
          <w:tcPr>
            <w:tcW w:w="235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rPr>
              <w:t xml:space="preserve">18.健康素养 </w:t>
            </w:r>
          </w:p>
        </w:tc>
        <w:tc>
          <w:tcPr>
            <w:tcW w:w="5244" w:type="dxa"/>
            <w:tcBorders>
              <w:top w:val="single" w:color="auto" w:sz="4" w:space="0"/>
              <w:left w:val="single" w:color="auto" w:sz="4" w:space="0"/>
              <w:bottom w:val="single" w:color="auto" w:sz="4" w:space="0"/>
              <w:right w:val="single" w:color="auto" w:sz="4" w:space="0"/>
            </w:tcBorders>
            <w:shd w:val="clear" w:color="auto" w:fill="auto"/>
          </w:tcPr>
          <w:p>
            <w:pPr>
              <w:widowControl/>
              <w:spacing w:line="400" w:lineRule="exact"/>
              <w:rPr>
                <w:rFonts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rPr>
              <w:t>（38）居民健康素养水平</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trPr>
        <w:tc>
          <w:tcPr>
            <w:tcW w:w="1582" w:type="dxa"/>
            <w:vMerge w:val="continue"/>
            <w:tcBorders>
              <w:left w:val="single" w:color="auto" w:sz="4" w:space="0"/>
              <w:right w:val="single" w:color="auto" w:sz="4" w:space="0"/>
            </w:tcBorders>
            <w:shd w:val="clear" w:color="auto" w:fill="auto"/>
            <w:vAlign w:val="center"/>
          </w:tcPr>
          <w:p>
            <w:pPr>
              <w:widowControl/>
              <w:jc w:val="left"/>
            </w:pPr>
          </w:p>
        </w:tc>
        <w:tc>
          <w:tcPr>
            <w:tcW w:w="2354" w:type="dxa"/>
            <w:vMerge w:val="restart"/>
            <w:tcBorders>
              <w:top w:val="single" w:color="auto" w:sz="4" w:space="0"/>
              <w:left w:val="single" w:color="auto" w:sz="4" w:space="0"/>
              <w:right w:val="single" w:color="auto" w:sz="4" w:space="0"/>
            </w:tcBorders>
            <w:shd w:val="clear" w:color="auto" w:fill="auto"/>
            <w:vAlign w:val="center"/>
          </w:tcPr>
          <w:p>
            <w:pPr>
              <w:widowControl/>
              <w:jc w:val="left"/>
              <w:rPr>
                <w:rFonts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rPr>
              <w:t>19.健康行为</w:t>
            </w:r>
          </w:p>
        </w:tc>
        <w:tc>
          <w:tcPr>
            <w:tcW w:w="5244" w:type="dxa"/>
            <w:shd w:val="clear" w:color="auto" w:fill="auto"/>
          </w:tcPr>
          <w:p>
            <w:pPr>
              <w:widowControl/>
              <w:spacing w:line="400" w:lineRule="exact"/>
              <w:rPr>
                <w:rFonts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rPr>
              <w:t>（39）15 岁以上人群吸烟率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trPr>
        <w:tc>
          <w:tcPr>
            <w:tcW w:w="1582" w:type="dxa"/>
            <w:vMerge w:val="continue"/>
            <w:tcBorders>
              <w:left w:val="single" w:color="auto" w:sz="4" w:space="0"/>
              <w:right w:val="single" w:color="auto" w:sz="4" w:space="0"/>
            </w:tcBorders>
            <w:shd w:val="clear" w:color="auto" w:fill="auto"/>
            <w:vAlign w:val="center"/>
          </w:tcPr>
          <w:p>
            <w:pPr>
              <w:widowControl/>
              <w:jc w:val="left"/>
            </w:pPr>
          </w:p>
        </w:tc>
        <w:tc>
          <w:tcPr>
            <w:tcW w:w="2354" w:type="dxa"/>
            <w:vMerge w:val="continue"/>
            <w:tcBorders>
              <w:left w:val="single" w:color="auto" w:sz="4" w:space="0"/>
              <w:right w:val="single" w:color="auto" w:sz="4" w:space="0"/>
            </w:tcBorders>
            <w:shd w:val="clear" w:color="auto" w:fill="auto"/>
            <w:vAlign w:val="center"/>
          </w:tcPr>
          <w:p>
            <w:pPr>
              <w:rPr>
                <w:rFonts w:ascii="仿宋_GB2312" w:hAnsi="仿宋_GB2312" w:eastAsia="仿宋_GB2312" w:cs="仿宋_GB2312"/>
                <w:sz w:val="28"/>
                <w:szCs w:val="28"/>
              </w:rPr>
            </w:pPr>
          </w:p>
        </w:tc>
        <w:tc>
          <w:tcPr>
            <w:tcW w:w="5244" w:type="dxa"/>
            <w:shd w:val="clear" w:color="auto" w:fill="auto"/>
          </w:tcPr>
          <w:p>
            <w:pPr>
              <w:widowControl/>
              <w:spacing w:line="400" w:lineRule="exact"/>
              <w:rPr>
                <w:rFonts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rPr>
              <w:t>（40）经常参加体育锻炼人口比例</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trPr>
        <w:tc>
          <w:tcPr>
            <w:tcW w:w="1582" w:type="dxa"/>
            <w:vMerge w:val="continue"/>
            <w:tcBorders>
              <w:left w:val="single" w:color="auto" w:sz="4" w:space="0"/>
              <w:right w:val="single" w:color="auto" w:sz="4" w:space="0"/>
            </w:tcBorders>
            <w:shd w:val="clear" w:color="auto" w:fill="auto"/>
            <w:vAlign w:val="center"/>
          </w:tcPr>
          <w:p>
            <w:pPr>
              <w:widowControl/>
              <w:jc w:val="left"/>
            </w:pPr>
          </w:p>
        </w:tc>
        <w:tc>
          <w:tcPr>
            <w:tcW w:w="2354" w:type="dxa"/>
            <w:vMerge w:val="restart"/>
            <w:tcBorders>
              <w:top w:val="single" w:color="auto" w:sz="4" w:space="0"/>
              <w:left w:val="single" w:color="auto" w:sz="4" w:space="0"/>
              <w:right w:val="single" w:color="auto" w:sz="4" w:space="0"/>
            </w:tcBorders>
            <w:shd w:val="clear" w:color="auto" w:fill="auto"/>
            <w:vAlign w:val="center"/>
          </w:tcPr>
          <w:p>
            <w:pPr>
              <w:widowControl/>
              <w:jc w:val="left"/>
              <w:rPr>
                <w:rFonts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rPr>
              <w:t>20.健康氛围</w:t>
            </w:r>
          </w:p>
        </w:tc>
        <w:tc>
          <w:tcPr>
            <w:tcW w:w="5244" w:type="dxa"/>
            <w:shd w:val="clear" w:color="auto" w:fill="auto"/>
          </w:tcPr>
          <w:p>
            <w:pPr>
              <w:widowControl/>
              <w:spacing w:line="400" w:lineRule="exact"/>
              <w:rPr>
                <w:rFonts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rPr>
              <w:t>（41）媒体健康科普水平</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trPr>
        <w:tc>
          <w:tcPr>
            <w:tcW w:w="1582" w:type="dxa"/>
            <w:vMerge w:val="continue"/>
            <w:tcBorders>
              <w:left w:val="single" w:color="auto" w:sz="4" w:space="0"/>
              <w:bottom w:val="single" w:color="auto" w:sz="4" w:space="0"/>
              <w:right w:val="single" w:color="auto" w:sz="4" w:space="0"/>
            </w:tcBorders>
            <w:shd w:val="clear" w:color="auto" w:fill="auto"/>
            <w:vAlign w:val="center"/>
          </w:tcPr>
          <w:p>
            <w:pPr>
              <w:widowControl/>
              <w:jc w:val="left"/>
            </w:pPr>
          </w:p>
        </w:tc>
        <w:tc>
          <w:tcPr>
            <w:tcW w:w="2354" w:type="dxa"/>
            <w:vMerge w:val="continue"/>
            <w:tcBorders>
              <w:left w:val="single" w:color="auto" w:sz="4" w:space="0"/>
              <w:right w:val="single" w:color="auto" w:sz="4" w:space="0"/>
            </w:tcBorders>
            <w:shd w:val="clear" w:color="auto" w:fill="auto"/>
            <w:vAlign w:val="center"/>
          </w:tcPr>
          <w:p>
            <w:pPr>
              <w:rPr>
                <w:rFonts w:ascii="仿宋_GB2312" w:hAnsi="仿宋_GB2312" w:eastAsia="仿宋_GB2312" w:cs="仿宋_GB2312"/>
                <w:sz w:val="28"/>
                <w:szCs w:val="28"/>
              </w:rPr>
            </w:pPr>
          </w:p>
        </w:tc>
        <w:tc>
          <w:tcPr>
            <w:tcW w:w="5244" w:type="dxa"/>
            <w:shd w:val="clear" w:color="auto" w:fill="auto"/>
          </w:tcPr>
          <w:p>
            <w:pPr>
              <w:widowControl/>
              <w:spacing w:line="400" w:lineRule="exact"/>
              <w:rPr>
                <w:rFonts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rPr>
              <w:t>（42）注册志愿者比例</w:t>
            </w:r>
          </w:p>
        </w:tc>
      </w:tr>
    </w:tbl>
    <w:p>
      <w:pPr>
        <w:widowControl/>
        <w:ind w:left="632" w:hanging="634" w:hangingChars="200"/>
        <w:jc w:val="left"/>
      </w:pPr>
      <w:r>
        <w:rPr>
          <w:rFonts w:hint="eastAsia" w:ascii="仿宋_GB2312" w:hAnsi="仿宋_GB2312" w:eastAsia="仿宋_GB2312" w:cs="仿宋_GB2312"/>
          <w:color w:val="000000"/>
          <w:kern w:val="0"/>
          <w:sz w:val="32"/>
          <w:szCs w:val="32"/>
        </w:rPr>
        <w:t>※注：将根据“健康细胞”建设进展情况适时纳入评价。</w:t>
      </w:r>
      <w:r>
        <w:rPr>
          <w:rFonts w:hint="eastAsia" w:ascii="仿宋_GB2312" w:hAnsi="仿宋_GB2312" w:eastAsia="仿宋_GB2312" w:cs="仿宋_GB2312"/>
          <w:kern w:val="0"/>
          <w:sz w:val="32"/>
          <w:szCs w:val="32"/>
        </w:rPr>
        <w:t xml:space="preserve"> </w:t>
      </w: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spacing w:line="560" w:lineRule="exact"/>
        <w:rPr>
          <w:rFonts w:hint="eastAsia" w:ascii="仿宋_GB2312" w:hAnsi="仿宋_GB2312" w:eastAsia="仿宋_GB2312" w:cs="仿宋_GB2312"/>
          <w:sz w:val="32"/>
          <w:szCs w:val="32"/>
        </w:rPr>
      </w:pPr>
    </w:p>
    <w:p>
      <w:pPr>
        <w:spacing w:line="560" w:lineRule="exact"/>
        <w:rPr>
          <w:rFonts w:hint="eastAsia" w:ascii="仿宋_GB2312" w:hAnsi="仿宋_GB2312" w:eastAsia="仿宋_GB2312" w:cs="仿宋_GB2312"/>
          <w:sz w:val="32"/>
          <w:szCs w:val="32"/>
        </w:rPr>
      </w:pPr>
    </w:p>
    <w:p>
      <w:pPr>
        <w:spacing w:line="560" w:lineRule="exact"/>
        <w:rPr>
          <w:rFonts w:hint="eastAsia"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pBdr>
          <w:top w:val="single" w:color="auto" w:sz="4" w:space="0"/>
          <w:left w:val="none" w:color="auto" w:sz="0" w:space="4"/>
          <w:bottom w:val="single" w:color="auto" w:sz="4" w:space="1"/>
          <w:right w:val="none" w:color="auto" w:sz="0" w:space="4"/>
          <w:between w:val="single" w:color="auto" w:sz="4" w:space="0"/>
        </w:pBdr>
        <w:spacing w:line="600" w:lineRule="exact"/>
        <w:rPr>
          <w:rFonts w:ascii="宋体" w:hAnsi="宋体" w:eastAsia="宋体" w:cs="宋体"/>
          <w:sz w:val="24"/>
        </w:rPr>
      </w:pPr>
      <w:r>
        <w:rPr>
          <w:rFonts w:hint="eastAsia" w:ascii="仿宋_GB2312" w:hAnsi="宋体" w:eastAsia="仿宋_GB2312" w:cs="宋体"/>
          <w:kern w:val="0"/>
          <w:sz w:val="32"/>
          <w:szCs w:val="32"/>
        </w:rPr>
        <w:t>山亭区人民政府办公室                   2019年10月</w:t>
      </w:r>
      <w:r>
        <w:rPr>
          <w:rFonts w:hint="eastAsia" w:ascii="仿宋_GB2312" w:hAnsi="宋体" w:eastAsia="仿宋_GB2312" w:cs="宋体"/>
          <w:kern w:val="0"/>
          <w:sz w:val="32"/>
          <w:szCs w:val="32"/>
          <w:lang w:val="en-US" w:eastAsia="zh-CN"/>
        </w:rPr>
        <w:t>22</w:t>
      </w:r>
      <w:r>
        <w:rPr>
          <w:rFonts w:hint="eastAsia" w:ascii="仿宋_GB2312" w:hAnsi="宋体" w:eastAsia="仿宋_GB2312" w:cs="宋体"/>
          <w:kern w:val="0"/>
          <w:sz w:val="32"/>
          <w:szCs w:val="32"/>
        </w:rPr>
        <w:t>日印</w:t>
      </w:r>
    </w:p>
    <w:sectPr>
      <w:footerReference r:id="rId3" w:type="default"/>
      <w:pgSz w:w="11906" w:h="16838"/>
      <w:pgMar w:top="1984" w:right="1417" w:bottom="1984" w:left="1417" w:header="851" w:footer="992" w:gutter="0"/>
      <w:cols w:space="0" w:num="1"/>
      <w:docGrid w:type="linesAndChars" w:linePitch="536" w:charSpace="-78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FZXBSJW--GB1-0">
    <w:altName w:val="Segoe Print"/>
    <w:panose1 w:val="00000000000000000000"/>
    <w:charset w:val="00"/>
    <w:family w:val="auto"/>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02066"/>
      <w:docPartObj>
        <w:docPartGallery w:val="autotext"/>
      </w:docPartObj>
    </w:sdtPr>
    <w:sdtContent>
      <w:p>
        <w:pPr>
          <w:pStyle w:val="2"/>
          <w:jc w:val="center"/>
        </w:pPr>
        <w:r>
          <w:fldChar w:fldCharType="begin"/>
        </w:r>
        <w:r>
          <w:instrText xml:space="preserve"> PAGE   \* MERGEFORMAT </w:instrText>
        </w:r>
        <w:r>
          <w:fldChar w:fldCharType="separate"/>
        </w:r>
        <w:r>
          <w:rPr>
            <w:lang w:val="zh-CN"/>
          </w:rPr>
          <w:t>16</w:t>
        </w:r>
        <w:r>
          <w:rPr>
            <w:lang w:val="zh-CN"/>
          </w:rP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documentProtection w:enforcement="0"/>
  <w:defaultTabStop w:val="420"/>
  <w:drawingGridHorizontalSpacing w:val="103"/>
  <w:drawingGridVerticalSpacing w:val="268"/>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40997B8A"/>
    <w:rsid w:val="00395944"/>
    <w:rsid w:val="00706B2A"/>
    <w:rsid w:val="0217310C"/>
    <w:rsid w:val="03554707"/>
    <w:rsid w:val="05267B23"/>
    <w:rsid w:val="07650FBD"/>
    <w:rsid w:val="10D03BAC"/>
    <w:rsid w:val="13577FC5"/>
    <w:rsid w:val="19C93C9B"/>
    <w:rsid w:val="1B992112"/>
    <w:rsid w:val="20AE2239"/>
    <w:rsid w:val="25C95245"/>
    <w:rsid w:val="26D15A14"/>
    <w:rsid w:val="27854D29"/>
    <w:rsid w:val="287A37B7"/>
    <w:rsid w:val="29F436C2"/>
    <w:rsid w:val="3884439E"/>
    <w:rsid w:val="3BF34465"/>
    <w:rsid w:val="40997B8A"/>
    <w:rsid w:val="41406801"/>
    <w:rsid w:val="4D2C26E9"/>
    <w:rsid w:val="4D3842EA"/>
    <w:rsid w:val="539C1D70"/>
    <w:rsid w:val="5CB757A5"/>
    <w:rsid w:val="60E7782D"/>
    <w:rsid w:val="615C1B01"/>
    <w:rsid w:val="65884D83"/>
    <w:rsid w:val="67011675"/>
    <w:rsid w:val="7248063C"/>
    <w:rsid w:val="748401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14"/>
    <w:qFormat/>
    <w:uiPriority w:val="99"/>
    <w:pPr>
      <w:tabs>
        <w:tab w:val="center" w:pos="4153"/>
        <w:tab w:val="right" w:pos="8306"/>
      </w:tabs>
      <w:snapToGrid w:val="0"/>
      <w:jc w:val="left"/>
    </w:pPr>
    <w:rPr>
      <w:sz w:val="18"/>
      <w:szCs w:val="18"/>
    </w:rPr>
  </w:style>
  <w:style w:type="paragraph" w:styleId="3">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character" w:styleId="5">
    <w:name w:val="page number"/>
    <w:basedOn w:val="4"/>
    <w:qFormat/>
    <w:uiPriority w:val="0"/>
  </w:style>
  <w:style w:type="character" w:customStyle="1" w:styleId="7">
    <w:name w:val="fontstyle01"/>
    <w:basedOn w:val="4"/>
    <w:qFormat/>
    <w:uiPriority w:val="0"/>
    <w:rPr>
      <w:rFonts w:ascii="FZXBSJW--GB1-0" w:hAnsi="FZXBSJW--GB1-0" w:eastAsia="FZXBSJW--GB1-0" w:cs="FZXBSJW--GB1-0"/>
      <w:color w:val="000000"/>
      <w:sz w:val="44"/>
      <w:szCs w:val="44"/>
    </w:rPr>
  </w:style>
  <w:style w:type="character" w:customStyle="1" w:styleId="8">
    <w:name w:val="fontstyle11"/>
    <w:basedOn w:val="4"/>
    <w:qFormat/>
    <w:uiPriority w:val="0"/>
    <w:rPr>
      <w:rFonts w:ascii="仿宋_GB2312" w:hAnsi="仿宋_GB2312" w:eastAsia="仿宋_GB2312" w:cs="仿宋_GB2312"/>
      <w:color w:val="000000"/>
      <w:sz w:val="32"/>
      <w:szCs w:val="32"/>
    </w:rPr>
  </w:style>
  <w:style w:type="character" w:customStyle="1" w:styleId="9">
    <w:name w:val="fontstyle31"/>
    <w:basedOn w:val="4"/>
    <w:qFormat/>
    <w:uiPriority w:val="0"/>
    <w:rPr>
      <w:rFonts w:ascii="黑体" w:hAnsi="宋体" w:eastAsia="黑体" w:cs="黑体"/>
      <w:color w:val="000000"/>
      <w:sz w:val="32"/>
      <w:szCs w:val="32"/>
    </w:rPr>
  </w:style>
  <w:style w:type="character" w:customStyle="1" w:styleId="10">
    <w:name w:val="fontstyle41"/>
    <w:basedOn w:val="4"/>
    <w:qFormat/>
    <w:uiPriority w:val="0"/>
    <w:rPr>
      <w:rFonts w:ascii="楷体_GB2312" w:hAnsi="楷体_GB2312" w:eastAsia="楷体_GB2312" w:cs="楷体_GB2312"/>
      <w:color w:val="000000"/>
      <w:sz w:val="32"/>
      <w:szCs w:val="32"/>
    </w:rPr>
  </w:style>
  <w:style w:type="character" w:customStyle="1" w:styleId="11">
    <w:name w:val="fontstyle51"/>
    <w:basedOn w:val="4"/>
    <w:qFormat/>
    <w:uiPriority w:val="0"/>
    <w:rPr>
      <w:rFonts w:ascii="宋体" w:hAnsi="宋体" w:eastAsia="宋体" w:cs="宋体"/>
      <w:color w:val="000000"/>
      <w:sz w:val="28"/>
      <w:szCs w:val="28"/>
    </w:rPr>
  </w:style>
  <w:style w:type="character" w:customStyle="1" w:styleId="12">
    <w:name w:val="fontstyle21"/>
    <w:basedOn w:val="4"/>
    <w:qFormat/>
    <w:uiPriority w:val="0"/>
    <w:rPr>
      <w:rFonts w:ascii="宋体" w:hAnsi="宋体" w:eastAsia="宋体" w:cs="宋体"/>
      <w:color w:val="000000"/>
      <w:sz w:val="24"/>
      <w:szCs w:val="24"/>
    </w:rPr>
  </w:style>
  <w:style w:type="character" w:customStyle="1" w:styleId="13">
    <w:name w:val="页眉 Char"/>
    <w:basedOn w:val="4"/>
    <w:link w:val="3"/>
    <w:qFormat/>
    <w:uiPriority w:val="0"/>
    <w:rPr>
      <w:rFonts w:asciiTheme="minorHAnsi" w:hAnsiTheme="minorHAnsi" w:eastAsiaTheme="minorEastAsia" w:cstheme="minorBidi"/>
      <w:kern w:val="2"/>
      <w:sz w:val="18"/>
      <w:szCs w:val="18"/>
    </w:rPr>
  </w:style>
  <w:style w:type="character" w:customStyle="1" w:styleId="14">
    <w:name w:val="页脚 Char"/>
    <w:basedOn w:val="4"/>
    <w:link w:val="2"/>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7462</Words>
  <Characters>811</Characters>
  <Lines>6</Lines>
  <Paragraphs>16</Paragraphs>
  <TotalTime>18</TotalTime>
  <ScaleCrop>false</ScaleCrop>
  <LinksUpToDate>false</LinksUpToDate>
  <CharactersWithSpaces>8257</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2019-09-26T05:36:00Z</dcterms:created>
  <dc:creator>Admin</dc:creator>
  <cp:lastModifiedBy>Administrator</cp:lastModifiedBy>
  <cp:lastPrinted>2019-10-22T02:20:00Z</cp:lastPrinted>
  <dcterms:modified xsi:type="dcterms:W3CDTF">2019-10-24T08:14:11Z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