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eastAsia="仿宋_GB2312" w:cs="仿宋_GB2312"/>
          <w:color w:val="000000"/>
          <w:sz w:val="32"/>
          <w:szCs w:val="32"/>
        </w:rPr>
      </w:pPr>
    </w:p>
    <w:p>
      <w:pPr>
        <w:spacing w:line="700" w:lineRule="exact"/>
        <w:jc w:val="center"/>
        <w:rPr>
          <w:rFonts w:ascii="仿宋_GB2312" w:eastAsia="仿宋_GB2312" w:cs="仿宋_GB2312"/>
          <w:color w:val="000000"/>
          <w:sz w:val="32"/>
          <w:szCs w:val="32"/>
        </w:rPr>
      </w:pPr>
    </w:p>
    <w:p>
      <w:pPr>
        <w:spacing w:line="700" w:lineRule="exact"/>
        <w:jc w:val="center"/>
        <w:rPr>
          <w:rFonts w:ascii="仿宋_GB2312" w:eastAsia="仿宋_GB2312" w:cs="仿宋_GB2312"/>
          <w:color w:val="000000"/>
          <w:sz w:val="32"/>
          <w:szCs w:val="32"/>
        </w:rPr>
      </w:pPr>
    </w:p>
    <w:p>
      <w:pPr>
        <w:spacing w:line="700" w:lineRule="exact"/>
        <w:jc w:val="center"/>
        <w:rPr>
          <w:rFonts w:ascii="仿宋_GB2312" w:eastAsia="仿宋_GB2312" w:cs="仿宋_GB2312"/>
          <w:color w:val="000000"/>
          <w:sz w:val="32"/>
          <w:szCs w:val="32"/>
        </w:rPr>
      </w:pPr>
    </w:p>
    <w:p>
      <w:pPr>
        <w:keepNext w:val="0"/>
        <w:keepLines w:val="0"/>
        <w:pageBreakBefore w:val="0"/>
        <w:kinsoku/>
        <w:wordWrap/>
        <w:overflowPunct/>
        <w:topLinePunct w:val="0"/>
        <w:bidi w:val="0"/>
        <w:adjustRightInd/>
        <w:snapToGrid/>
        <w:spacing w:line="560" w:lineRule="exact"/>
        <w:jc w:val="center"/>
        <w:textAlignment w:val="auto"/>
        <w:rPr>
          <w:rFonts w:ascii="仿宋_GB2312" w:eastAsia="仿宋_GB2312" w:cs="仿宋_GB2312"/>
          <w:color w:val="000000"/>
          <w:sz w:val="32"/>
          <w:szCs w:val="32"/>
        </w:rPr>
      </w:pPr>
      <w:r>
        <w:rPr>
          <w:rFonts w:hint="eastAsia" w:ascii="仿宋_GB2312" w:hAnsi="仿宋_GB2312" w:eastAsia="仿宋_GB2312" w:cs="仿宋_GB2312"/>
          <w:color w:val="000000"/>
          <w:sz w:val="32"/>
          <w:szCs w:val="32"/>
        </w:rPr>
        <w:t>山政办发〔202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w:t>
      </w:r>
    </w:p>
    <w:p>
      <w:pPr>
        <w:keepNext w:val="0"/>
        <w:keepLines w:val="0"/>
        <w:pageBreakBefore w:val="0"/>
        <w:kinsoku/>
        <w:wordWrap/>
        <w:overflowPunct/>
        <w:topLinePunct w:val="0"/>
        <w:bidi w:val="0"/>
        <w:adjustRightInd/>
        <w:snapToGrid/>
        <w:spacing w:line="560" w:lineRule="exact"/>
        <w:jc w:val="center"/>
        <w:textAlignment w:val="auto"/>
        <w:rPr>
          <w:rFonts w:ascii="仿宋_GB2312" w:eastAsia="仿宋_GB2312" w:cs="仿宋_GB2312"/>
          <w:color w:val="000000"/>
          <w:sz w:val="32"/>
          <w:szCs w:val="32"/>
        </w:rPr>
      </w:pPr>
    </w:p>
    <w:p>
      <w:pPr>
        <w:keepNext w:val="0"/>
        <w:keepLines w:val="0"/>
        <w:pageBreakBefore w:val="0"/>
        <w:kinsoku/>
        <w:wordWrap/>
        <w:overflowPunct/>
        <w:topLinePunct w:val="0"/>
        <w:bidi w:val="0"/>
        <w:adjustRightInd/>
        <w:snapToGrid/>
        <w:spacing w:line="560" w:lineRule="exact"/>
        <w:jc w:val="center"/>
        <w:textAlignment w:val="auto"/>
        <w:rPr>
          <w:rFonts w:ascii="仿宋_GB2312" w:eastAsia="仿宋_GB2312" w:cs="仿宋_GB2312"/>
          <w:color w:val="000000"/>
          <w:sz w:val="32"/>
          <w:szCs w:val="32"/>
        </w:rPr>
      </w:pPr>
    </w:p>
    <w:p>
      <w:pPr>
        <w:pStyle w:val="3"/>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山亭区人民政府办公室</w:t>
      </w:r>
    </w:p>
    <w:p>
      <w:pPr>
        <w:pStyle w:val="3"/>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color w:val="000000"/>
          <w:kern w:val="0"/>
          <w:sz w:val="44"/>
          <w:szCs w:val="44"/>
        </w:rPr>
        <w:t>山亭区2023年度城乡居民基本</w:t>
      </w:r>
    </w:p>
    <w:p>
      <w:pPr>
        <w:pStyle w:val="3"/>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养老、基本医疗保险集中征缴工作</w:t>
      </w:r>
    </w:p>
    <w:p>
      <w:pPr>
        <w:pStyle w:val="3"/>
        <w:keepNext w:val="0"/>
        <w:keepLines w:val="0"/>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color w:val="000000"/>
          <w:sz w:val="44"/>
          <w:szCs w:val="44"/>
        </w:rPr>
      </w:pPr>
      <w:r>
        <w:rPr>
          <w:rFonts w:hint="eastAsia" w:ascii="方正小标宋简体" w:hAnsi="方正小标宋简体" w:eastAsia="方正小标宋简体" w:cs="方正小标宋简体"/>
          <w:color w:val="000000"/>
          <w:kern w:val="0"/>
          <w:sz w:val="44"/>
          <w:szCs w:val="44"/>
        </w:rPr>
        <w:t>实施方案</w:t>
      </w:r>
      <w:r>
        <w:rPr>
          <w:rFonts w:hint="eastAsia" w:ascii="方正小标宋简体" w:hAnsi="方正小标宋简体" w:eastAsia="方正小标宋简体" w:cs="方正小标宋简体"/>
          <w:sz w:val="44"/>
          <w:szCs w:val="44"/>
        </w:rPr>
        <w:t>》的通知</w:t>
      </w:r>
    </w:p>
    <w:p>
      <w:pPr>
        <w:keepNext w:val="0"/>
        <w:keepLines w:val="0"/>
        <w:pageBreakBefore w:val="0"/>
        <w:kinsoku/>
        <w:overflowPunct/>
        <w:topLinePunct w:val="0"/>
        <w:autoSpaceDE w:val="0"/>
        <w:autoSpaceDN/>
        <w:bidi w:val="0"/>
        <w:adjustRightInd/>
        <w:spacing w:line="560" w:lineRule="exact"/>
        <w:ind w:right="315" w:rightChars="15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0" w:firstLineChars="0"/>
        <w:jc w:val="left"/>
        <w:textAlignment w:val="auto"/>
        <w:rPr>
          <w:rFonts w:hint="eastAsia" w:ascii="仿宋_GB2312" w:eastAsia="仿宋_GB2312"/>
          <w:sz w:val="32"/>
          <w:szCs w:val="32"/>
        </w:rPr>
      </w:pPr>
      <w:r>
        <w:rPr>
          <w:rFonts w:hint="eastAsia" w:ascii="仿宋_GB2312" w:eastAsia="仿宋_GB2312"/>
          <w:sz w:val="32"/>
          <w:szCs w:val="32"/>
        </w:rPr>
        <w:t>各镇人民政府，山城街道办事处，</w:t>
      </w:r>
      <w:r>
        <w:rPr>
          <w:rFonts w:hint="eastAsia" w:ascii="仿宋_GB2312" w:eastAsia="仿宋_GB2312"/>
          <w:sz w:val="32"/>
          <w:szCs w:val="32"/>
          <w:lang w:val="en-US" w:eastAsia="zh-CN"/>
        </w:rPr>
        <w:t>山亭经济开发区管委会，</w:t>
      </w:r>
      <w:r>
        <w:rPr>
          <w:rFonts w:hint="eastAsia" w:ascii="仿宋_GB2312" w:eastAsia="仿宋_GB2312"/>
          <w:sz w:val="32"/>
          <w:szCs w:val="32"/>
        </w:rPr>
        <w:t>区</w:t>
      </w:r>
      <w:r>
        <w:rPr>
          <w:rFonts w:hint="eastAsia" w:ascii="仿宋_GB2312" w:eastAsia="仿宋_GB2312"/>
          <w:sz w:val="32"/>
          <w:szCs w:val="32"/>
          <w:lang w:eastAsia="zh-CN"/>
        </w:rPr>
        <w:t>直</w:t>
      </w:r>
      <w:r>
        <w:rPr>
          <w:rFonts w:hint="eastAsia" w:ascii="仿宋_GB2312" w:eastAsia="仿宋_GB2312"/>
          <w:sz w:val="32"/>
          <w:szCs w:val="32"/>
        </w:rPr>
        <w:t xml:space="preserve">有关部门单位： </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000000"/>
          <w:kern w:val="0"/>
          <w:sz w:val="32"/>
          <w:szCs w:val="32"/>
        </w:rPr>
        <w:t>山亭区202</w:t>
      </w:r>
      <w:r>
        <w:rPr>
          <w:rFonts w:hint="eastAsia" w:ascii="仿宋_GB2312" w:hAnsi="仿宋_GB2312" w:eastAsia="仿宋_GB2312" w:cs="仿宋_GB2312"/>
          <w:b w:val="0"/>
          <w:bCs w:val="0"/>
          <w:color w:val="000000"/>
          <w:kern w:val="0"/>
          <w:sz w:val="32"/>
          <w:szCs w:val="32"/>
          <w:lang w:val="en-US" w:eastAsia="zh-CN"/>
        </w:rPr>
        <w:t>3</w:t>
      </w:r>
      <w:r>
        <w:rPr>
          <w:rFonts w:hint="eastAsia" w:ascii="仿宋_GB2312" w:hAnsi="仿宋_GB2312" w:eastAsia="仿宋_GB2312" w:cs="仿宋_GB2312"/>
          <w:b w:val="0"/>
          <w:bCs w:val="0"/>
          <w:color w:val="000000"/>
          <w:kern w:val="0"/>
          <w:sz w:val="32"/>
          <w:szCs w:val="32"/>
        </w:rPr>
        <w:t>年度城乡居民基本养老、基本医疗保险集中征缴工作实施方案</w:t>
      </w:r>
      <w:r>
        <w:rPr>
          <w:rFonts w:hint="eastAsia" w:ascii="仿宋_GB2312" w:hAnsi="仿宋_GB2312" w:eastAsia="仿宋_GB2312" w:cs="仿宋_GB2312"/>
          <w:sz w:val="32"/>
          <w:szCs w:val="32"/>
        </w:rPr>
        <w:t>》已经区政府同意，现印发给你们，请</w:t>
      </w:r>
      <w:r>
        <w:rPr>
          <w:rFonts w:hint="eastAsia" w:ascii="仿宋_GB2312" w:hAnsi="仿宋_GB2312" w:eastAsia="仿宋_GB2312" w:cs="仿宋_GB2312"/>
          <w:sz w:val="32"/>
          <w:szCs w:val="32"/>
          <w:lang w:eastAsia="zh-CN"/>
        </w:rPr>
        <w:t>认真贯彻落实</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rPr>
      </w:pPr>
    </w:p>
    <w:p>
      <w:pPr>
        <w:pStyle w:val="2"/>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山亭区人民政府办公室</w:t>
      </w:r>
      <w:r>
        <w:rPr>
          <w:rFonts w:hint="eastAsia" w:hAnsi="仿宋_GB2312" w:cs="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2022年11月22日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此件公开发布</w:t>
      </w:r>
      <w:r>
        <w:rPr>
          <w:rFonts w:hint="eastAsia" w:ascii="Times New Roman" w:hAnsi="Times New Roman" w:eastAsia="仿宋_GB2312" w:cs="Times New Roman"/>
          <w:kern w:val="0"/>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山亭区2023年度城乡居民基本养老、基本</w:t>
      </w:r>
    </w:p>
    <w:p>
      <w:pPr>
        <w:pStyle w:val="3"/>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医疗保险集中征缴工作实施方案</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为认真做好全区城乡居民基本养老保险、基本医疗保险征缴工作，进一步整合基层社会保险经办内容，规范经办流程，提高征缴效率，巩固深化居民养老、医疗保险全覆盖成果，</w:t>
      </w:r>
      <w:r>
        <w:rPr>
          <w:rFonts w:hint="eastAsia" w:ascii="仿宋_GB2312" w:hAnsi="仿宋_GB2312" w:eastAsia="仿宋_GB2312" w:cs="仿宋_GB2312"/>
          <w:color w:val="000000"/>
          <w:sz w:val="32"/>
          <w:szCs w:val="32"/>
        </w:rPr>
        <w:t>根据省、市有关文件规定，结合我区实际，决定在全区</w:t>
      </w:r>
      <w:r>
        <w:rPr>
          <w:rFonts w:hint="eastAsia" w:ascii="仿宋_GB2312" w:hAnsi="仿宋_GB2312" w:eastAsia="仿宋_GB2312" w:cs="仿宋_GB2312"/>
          <w:kern w:val="0"/>
          <w:sz w:val="32"/>
          <w:szCs w:val="32"/>
        </w:rPr>
        <w:t>开展2023年度</w:t>
      </w:r>
      <w:r>
        <w:rPr>
          <w:rFonts w:hint="eastAsia" w:ascii="仿宋_GB2312" w:hAnsi="仿宋_GB2312" w:eastAsia="仿宋_GB2312" w:cs="仿宋_GB2312"/>
          <w:sz w:val="32"/>
          <w:szCs w:val="32"/>
        </w:rPr>
        <w:t>居民养老、医疗保险费“集中征缴”工作，特</w:t>
      </w:r>
      <w:r>
        <w:rPr>
          <w:rFonts w:hint="eastAsia" w:ascii="仿宋_GB2312" w:hAnsi="仿宋_GB2312" w:eastAsia="仿宋_GB2312" w:cs="仿宋_GB2312"/>
          <w:color w:val="000000"/>
          <w:sz w:val="32"/>
          <w:szCs w:val="32"/>
        </w:rPr>
        <w:t>制定实施方案如下：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rPr>
        <w:t>以习近平新时代中国特色社会主义思想为指导，全面贯彻党的二十大精神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坚持人民至上，积极引导、鼓励城乡居民参保缴费，进一步扩大参保覆盖范围，促进应保尽保，全面完成2023年度城乡居民两险参保征缴工作目标任务。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）坚持政府主责。</w:t>
      </w:r>
      <w:r>
        <w:rPr>
          <w:rFonts w:hint="default" w:ascii="Times New Roman" w:hAnsi="Times New Roman" w:eastAsia="仿宋_GB2312" w:cs="Times New Roman"/>
          <w:kern w:val="0"/>
          <w:sz w:val="32"/>
          <w:szCs w:val="32"/>
        </w:rPr>
        <w:t>镇（街）承担征缴工作的主体责任，加强对辖区城乡居民社会保险征缴工作的领导，充分发挥社区、村组等基层组织的作用，坚决支持税务、人社、医保等部门履行职责，平稳</w:t>
      </w:r>
      <w:r>
        <w:rPr>
          <w:rFonts w:hint="eastAsia" w:ascii="Times New Roman" w:hAnsi="Times New Roman" w:eastAsia="仿宋_GB2312" w:cs="Times New Roman"/>
          <w:kern w:val="0"/>
          <w:sz w:val="32"/>
          <w:szCs w:val="32"/>
          <w:lang w:eastAsia="zh-CN"/>
        </w:rPr>
        <w:t>有序的做好</w:t>
      </w:r>
      <w:r>
        <w:rPr>
          <w:rFonts w:hint="default" w:ascii="Times New Roman" w:hAnsi="Times New Roman" w:eastAsia="仿宋_GB2312" w:cs="Times New Roman"/>
          <w:kern w:val="0"/>
          <w:sz w:val="32"/>
          <w:szCs w:val="32"/>
        </w:rPr>
        <w:t>辖区范围内城乡居民社会保险费征缴工作。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）确保平稳有序。</w:t>
      </w:r>
      <w:r>
        <w:rPr>
          <w:rFonts w:hint="eastAsia" w:ascii="仿宋_GB2312" w:hAnsi="仿宋_GB2312" w:eastAsia="仿宋_GB2312" w:cs="仿宋_GB2312"/>
          <w:kern w:val="0"/>
          <w:sz w:val="32"/>
          <w:szCs w:val="32"/>
        </w:rPr>
        <w:t>保持原有征缴组织方式不变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流程运行顺畅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推行小程序、银行网点、办费窗口征缴渠道的同时，做到稳字当头，科学谋划，分级组织，稳步实施，切实防范风险，确保征缴工作有序衔接。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（三）突出服务便民。</w:t>
      </w:r>
      <w:r>
        <w:rPr>
          <w:rFonts w:hint="default" w:ascii="Times New Roman" w:hAnsi="Times New Roman" w:eastAsia="仿宋_GB2312" w:cs="Times New Roman"/>
          <w:kern w:val="0"/>
          <w:sz w:val="32"/>
          <w:szCs w:val="32"/>
        </w:rPr>
        <w:t>创新缴费服务方式，不断优化缴费渠道，大力推行电子税务局、微信小程序、支付宝、爱山东</w:t>
      </w:r>
      <w:r>
        <w:rPr>
          <w:rFonts w:hint="eastAsia" w:ascii="仿宋_GB2312" w:hAnsi="仿宋_GB2312" w:eastAsia="仿宋_GB2312" w:cs="仿宋_GB2312"/>
          <w:kern w:val="0"/>
          <w:sz w:val="32"/>
          <w:szCs w:val="32"/>
        </w:rPr>
        <w:t>App、移动pos机、银联商务二维码等“非接触式”信息化缴费方式，为缴费人提供多种便利高效的缴费服务。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imes New Roman" w:cs="Times New Roman"/>
          <w:sz w:val="32"/>
          <w:szCs w:val="32"/>
        </w:rPr>
      </w:pPr>
      <w:r>
        <w:rPr>
          <w:rFonts w:hint="eastAsia" w:ascii="楷体_GB2312" w:hAnsi="楷体_GB2312" w:eastAsia="楷体_GB2312" w:cs="楷体_GB2312"/>
          <w:kern w:val="0"/>
          <w:sz w:val="32"/>
          <w:szCs w:val="32"/>
        </w:rPr>
        <w:t>（四）疫情防控常态化。</w:t>
      </w:r>
      <w:r>
        <w:rPr>
          <w:rFonts w:hint="default" w:ascii="Times New Roman" w:hAnsi="Times New Roman" w:eastAsia="仿宋_GB2312" w:cs="Times New Roman"/>
          <w:kern w:val="0"/>
          <w:sz w:val="32"/>
          <w:szCs w:val="32"/>
        </w:rPr>
        <w:t>最大限度地减少人员聚集，尽可能做到非接触式缴费。按要求做好防护措施，杜绝疫情的发生。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三、任务目标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开展城乡居民养老、医疗保险费征收经办优</w:t>
      </w:r>
      <w:r>
        <w:rPr>
          <w:rFonts w:hint="eastAsia" w:ascii="仿宋_GB2312" w:hAnsi="仿宋_GB2312" w:eastAsia="仿宋_GB2312" w:cs="仿宋_GB2312"/>
          <w:sz w:val="32"/>
          <w:szCs w:val="32"/>
        </w:rPr>
        <w:t>化整合，进一步提高城乡居民养老、医疗保险覆盖率，优化养老、医疗保险参保缴费经办流程，</w:t>
      </w:r>
      <w:r>
        <w:rPr>
          <w:rFonts w:hint="eastAsia" w:ascii="仿宋_GB2312" w:hAnsi="仿宋_GB2312" w:eastAsia="仿宋_GB2312" w:cs="仿宋_GB2312"/>
          <w:color w:val="000000"/>
          <w:sz w:val="32"/>
          <w:szCs w:val="32"/>
        </w:rPr>
        <w:t>简化办事程序，提升经办效率，方便居民便捷、高效参保缴费，实现参保居民共享社会经济发展成果的目标。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城乡居民医疗保险：应保尽保。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城乡居民养老保险：45</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59岁人员参保缴费率达到95%以上；鼓励引导16-45岁的参保人员参保缴费率达到60%以上。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四、参保对象和范围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具有山亭区户籍且未参加城镇职工养老、医疗保险的城乡居民。在我区行政区域内长期居住且取得居住证的非本区户籍人员及其随迁子女，也可参加。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参加居民养老保险的须年满16周岁。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不含在校学生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五、资金筹集</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（一）个人缴费标准</w:t>
      </w:r>
    </w:p>
    <w:p>
      <w:pPr>
        <w:pStyle w:val="1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u w:val="single"/>
        </w:rPr>
      </w:pPr>
      <w:r>
        <w:rPr>
          <w:rFonts w:hint="default" w:ascii="Times New Roman" w:hAnsi="Times New Roman" w:eastAsia="仿宋_GB2312" w:cs="Times New Roman"/>
          <w:b/>
          <w:bCs/>
          <w:color w:val="000000"/>
          <w:sz w:val="32"/>
          <w:szCs w:val="32"/>
        </w:rPr>
        <w:t>城乡居民养老保险</w:t>
      </w:r>
      <w:r>
        <w:rPr>
          <w:rFonts w:hint="default"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标准</w:t>
      </w:r>
      <w:r>
        <w:rPr>
          <w:rFonts w:hint="eastAsia" w:ascii="仿宋_GB2312" w:hAnsi="仿宋_GB2312" w:eastAsia="仿宋_GB2312" w:cs="仿宋_GB2312"/>
          <w:sz w:val="32"/>
          <w:szCs w:val="32"/>
        </w:rPr>
        <w:t>为100、300、500、600、800、1000、1500、2000、2500、3000、4000、5000元，12个档次。其中，100元档次只适用于残疾、五保、低保、优抚和扶贫户五类缴费困难群体的最低标准。缴费标准为100和300元的，政府补贴30元；缴费标准为500、600元的，政府补贴为60元；800元及以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政府补贴为80元。对重度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一级、二级）残疾人，由政</w:t>
      </w:r>
      <w:r>
        <w:rPr>
          <w:rFonts w:hint="eastAsia" w:ascii="仿宋_GB2312" w:hAnsi="仿宋_GB2312" w:eastAsia="仿宋_GB2312" w:cs="仿宋_GB2312"/>
          <w:color w:val="000000"/>
          <w:sz w:val="32"/>
          <w:szCs w:val="32"/>
        </w:rPr>
        <w:t>府为其代缴养老保险费，缴费</w:t>
      </w:r>
      <w:r>
        <w:rPr>
          <w:rFonts w:hint="eastAsia" w:ascii="仿宋_GB2312" w:hAnsi="仿宋_GB2312" w:eastAsia="仿宋_GB2312" w:cs="仿宋_GB2312"/>
          <w:sz w:val="32"/>
          <w:szCs w:val="32"/>
        </w:rPr>
        <w:t>标准为每人每年100元。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rPr>
        <w:t>城乡居民医疗保险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sz w:val="32"/>
          <w:szCs w:val="32"/>
        </w:rPr>
        <w:t>2023年度标准为总额960元，个人缴纳350元，财政补助610元。</w:t>
      </w:r>
      <w:r>
        <w:rPr>
          <w:rFonts w:hint="eastAsia" w:ascii="仿宋_GB2312" w:hAnsi="仿宋_GB2312" w:eastAsia="仿宋_GB2312" w:cs="仿宋_GB2312"/>
          <w:color w:val="000000"/>
          <w:sz w:val="32"/>
          <w:szCs w:val="32"/>
        </w:rPr>
        <w:t>特困人员、城乡最低生活保障对象、返贫致贫人口、低保边缘家庭成员及防止返贫监测帮扶对象，70岁（含70岁）以上老年人个人缴费部分由参保地政府或部门按规定予以代缴；60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69岁的老年人个人缴费部分由参保地政府或部门承担50%。鼓励有条件的用人单位、镇（街）、村（居）集体经济组织等单位和个人对特殊人群和其他居民个人缴费部分给予全部或部分资助。</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（二）集中征缴时间</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val="0"/>
          <w:bCs/>
          <w:color w:val="000000"/>
          <w:sz w:val="32"/>
          <w:szCs w:val="32"/>
        </w:rPr>
        <w:t>2022年10月1日</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12月31日为我区2023年度城乡居民基本医疗保险集中缴费期。在</w:t>
      </w:r>
      <w:r>
        <w:rPr>
          <w:rFonts w:hint="eastAsia" w:ascii="仿宋_GB2312" w:hAnsi="仿宋_GB2312" w:eastAsia="仿宋_GB2312" w:cs="仿宋_GB2312"/>
          <w:color w:val="000000"/>
          <w:sz w:val="32"/>
          <w:szCs w:val="32"/>
        </w:rPr>
        <w:t>集中缴费期按时缴费的，</w:t>
      </w:r>
      <w:r>
        <w:rPr>
          <w:rFonts w:hint="eastAsia" w:ascii="仿宋_GB2312" w:hAnsi="仿宋_GB2312" w:eastAsia="仿宋_GB2312" w:cs="仿宋_GB2312"/>
          <w:bCs/>
          <w:kern w:val="0"/>
          <w:sz w:val="32"/>
          <w:szCs w:val="32"/>
        </w:rPr>
        <w:t>享受2023全年居民医保待遇。从2023年1月1日后缴纳当年城乡居民医保费的，居民只缴纳个人缴费部分，从缴费的次月起（含次月）设置3个月的待遇享受等待期。</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（三）征缴方式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城乡居民两险征缴方式主要包括以下几种：集中征缴期内委托代收、个人自行申报缴费以及特殊情形缴费。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城乡居民集中征缴期内委托代收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农村和部分城镇居民由于居住相对集中，以镇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为主体，组织辖区内村（社区）开展集中征缴工作。主要通过村居代办人员（裕农通、银联二维码）集中缴纳城乡居民基本养老和基本医疗保险费。</w:t>
      </w:r>
      <w:r>
        <w:rPr>
          <w:rFonts w:hint="eastAsia" w:ascii="仿宋_GB2312" w:hAnsi="仿宋_GB2312" w:eastAsia="仿宋_GB2312" w:cs="仿宋_GB2312"/>
          <w:b w:val="0"/>
          <w:bCs/>
          <w:color w:val="000000"/>
          <w:sz w:val="32"/>
          <w:szCs w:val="32"/>
        </w:rPr>
        <w:t>也可帮助缴费人通过</w:t>
      </w:r>
      <w:r>
        <w:rPr>
          <w:rFonts w:hint="eastAsia" w:ascii="仿宋_GB2312" w:hAnsi="仿宋_GB2312" w:eastAsia="仿宋_GB2312" w:cs="仿宋_GB2312"/>
          <w:b w:val="0"/>
          <w:bCs/>
          <w:sz w:val="32"/>
          <w:szCs w:val="32"/>
        </w:rPr>
        <w:t>电子税务局、微信、支付宝、爱山东App等</w:t>
      </w:r>
      <w:r>
        <w:rPr>
          <w:rFonts w:hint="eastAsia" w:ascii="仿宋_GB2312" w:hAnsi="仿宋_GB2312" w:eastAsia="仿宋_GB2312" w:cs="仿宋_GB2312"/>
          <w:b w:val="0"/>
          <w:bCs/>
          <w:color w:val="000000"/>
          <w:sz w:val="32"/>
          <w:szCs w:val="32"/>
        </w:rPr>
        <w:t>税务机关提供的多元化的缴费方式自行选择缴费。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个人自行申报缴费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在集中征缴期限内，对于个人不通过委托代办形式缴费的，可以通过</w:t>
      </w:r>
      <w:r>
        <w:rPr>
          <w:rFonts w:hint="eastAsia" w:ascii="仿宋_GB2312" w:hAnsi="仿宋_GB2312" w:eastAsia="仿宋_GB2312" w:cs="仿宋_GB2312"/>
          <w:sz w:val="32"/>
          <w:szCs w:val="32"/>
        </w:rPr>
        <w:t>电子税务局、微信、支付宝、爱山东App、银行等</w:t>
      </w:r>
      <w:r>
        <w:rPr>
          <w:rFonts w:hint="eastAsia" w:ascii="仿宋_GB2312" w:hAnsi="仿宋_GB2312" w:eastAsia="仿宋_GB2312" w:cs="仿宋_GB2312"/>
          <w:color w:val="000000"/>
          <w:sz w:val="32"/>
          <w:szCs w:val="32"/>
        </w:rPr>
        <w:t>税务机关提供的多元化的缴费方式自行选择缴费。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特殊人群和特殊情形缴费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特殊人群缴费，是指符合政府代缴社保费条件的低保、残疾、特困等人群，由相关职能部门统一集中缴费；特殊情形缴费，是指政策性补缴、中断补缴、集中征缴期外补缴等缴费业务。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（四）参保缴费流程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参保登记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办理参保登记或者登记信息发生变化的缴费人，需要本人或通过代办人员凭相关手续到人社、医保部门办理登记、变更手续。人社、医保部门根据各自职责，分别负责城乡居民两险的参保信息维护登记，并将人员身份、人员信息变更、起止缴费年月等相关信息通过共享平台传递税务部门；同时负责特殊群体身份信息的筛选、维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sz w:val="32"/>
          <w:szCs w:val="32"/>
        </w:rPr>
      </w:pPr>
      <w:r>
        <w:rPr>
          <w:rFonts w:hint="default" w:ascii="仿宋_GB2312" w:hAnsi="仿宋_GB2312" w:eastAsia="仿宋_GB2312" w:cs="仿宋_GB2312"/>
          <w:b/>
          <w:bCs/>
          <w:color w:val="000000"/>
          <w:sz w:val="32"/>
          <w:szCs w:val="32"/>
          <w:lang w:val="en-US" w:eastAsia="zh-CN"/>
        </w:rPr>
        <w:t>2.</w:t>
      </w:r>
      <w:r>
        <w:rPr>
          <w:rFonts w:hint="default" w:ascii="仿宋_GB2312" w:hAnsi="仿宋_GB2312" w:eastAsia="仿宋_GB2312" w:cs="仿宋_GB2312"/>
          <w:b/>
          <w:bCs/>
          <w:color w:val="000000"/>
          <w:sz w:val="32"/>
          <w:szCs w:val="32"/>
        </w:rPr>
        <w:t>信息关联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税务部门利用</w:t>
      </w:r>
      <w:r>
        <w:rPr>
          <w:rFonts w:hint="eastAsia" w:ascii="仿宋_GB2312" w:hAnsi="仿宋_GB2312" w:eastAsia="仿宋_GB2312" w:cs="仿宋_GB2312"/>
          <w:color w:val="000000"/>
          <w:sz w:val="32"/>
          <w:szCs w:val="32"/>
        </w:rPr>
        <w:t>“金三”</w:t>
      </w:r>
      <w:r>
        <w:rPr>
          <w:rFonts w:hint="default" w:ascii="Times New Roman" w:hAnsi="Times New Roman" w:eastAsia="仿宋_GB2312" w:cs="Times New Roman"/>
          <w:color w:val="000000"/>
          <w:sz w:val="32"/>
          <w:szCs w:val="32"/>
        </w:rPr>
        <w:t>系统自动调用来自人社、医保部门传递的城乡居民两险的参保登记信息，完成自然人信息采集和参保登记信息关联。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sz w:val="32"/>
          <w:szCs w:val="32"/>
        </w:rPr>
      </w:pPr>
      <w:r>
        <w:rPr>
          <w:rFonts w:hint="default" w:ascii="仿宋_GB2312" w:hAnsi="仿宋_GB2312" w:eastAsia="仿宋_GB2312" w:cs="仿宋_GB2312"/>
          <w:b/>
          <w:bCs/>
          <w:color w:val="000000"/>
          <w:sz w:val="32"/>
          <w:szCs w:val="32"/>
        </w:rPr>
        <w:t>3</w:t>
      </w:r>
      <w:r>
        <w:rPr>
          <w:rFonts w:hint="default" w:ascii="仿宋_GB2312" w:hAnsi="仿宋_GB2312" w:eastAsia="仿宋_GB2312" w:cs="仿宋_GB2312"/>
          <w:b/>
          <w:bCs/>
          <w:color w:val="000000"/>
          <w:sz w:val="32"/>
          <w:szCs w:val="32"/>
          <w:lang w:val="en-US" w:eastAsia="zh-CN"/>
        </w:rPr>
        <w:t>.</w:t>
      </w:r>
      <w:r>
        <w:rPr>
          <w:rFonts w:hint="default" w:ascii="仿宋_GB2312" w:hAnsi="仿宋_GB2312" w:eastAsia="仿宋_GB2312" w:cs="仿宋_GB2312"/>
          <w:b/>
          <w:bCs/>
          <w:color w:val="000000"/>
          <w:sz w:val="32"/>
          <w:szCs w:val="32"/>
        </w:rPr>
        <w:t>下发清册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税务部门根据</w:t>
      </w:r>
      <w:r>
        <w:rPr>
          <w:rFonts w:hint="eastAsia" w:ascii="仿宋_GB2312" w:hAnsi="仿宋_GB2312" w:eastAsia="仿宋_GB2312" w:cs="仿宋_GB2312"/>
          <w:color w:val="000000"/>
          <w:sz w:val="32"/>
          <w:szCs w:val="32"/>
        </w:rPr>
        <w:t>“金三”</w:t>
      </w:r>
      <w:r>
        <w:rPr>
          <w:rFonts w:hint="default" w:ascii="Times New Roman" w:hAnsi="Times New Roman" w:eastAsia="仿宋_GB2312" w:cs="Times New Roman"/>
          <w:color w:val="000000"/>
          <w:sz w:val="32"/>
          <w:szCs w:val="32"/>
        </w:rPr>
        <w:t>系统历史缴费记录，生成缴费信息清册，作为基层税务分局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和人社、医保中心对所辖行政区划内居民本年度缴费参照依据。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sz w:val="32"/>
          <w:szCs w:val="32"/>
        </w:rPr>
      </w:pPr>
      <w:r>
        <w:rPr>
          <w:rFonts w:hint="default" w:ascii="仿宋_GB2312" w:hAnsi="仿宋_GB2312" w:eastAsia="仿宋_GB2312" w:cs="仿宋_GB2312"/>
          <w:b/>
          <w:bCs/>
          <w:color w:val="000000"/>
          <w:sz w:val="32"/>
          <w:szCs w:val="32"/>
        </w:rPr>
        <w:t>4</w:t>
      </w:r>
      <w:r>
        <w:rPr>
          <w:rFonts w:hint="default" w:ascii="仿宋_GB2312" w:hAnsi="仿宋_GB2312" w:eastAsia="仿宋_GB2312" w:cs="仿宋_GB2312"/>
          <w:b/>
          <w:bCs/>
          <w:color w:val="000000"/>
          <w:sz w:val="32"/>
          <w:szCs w:val="32"/>
          <w:lang w:val="en-US" w:eastAsia="zh-CN"/>
        </w:rPr>
        <w:t>.</w:t>
      </w:r>
      <w:r>
        <w:rPr>
          <w:rFonts w:hint="default" w:ascii="仿宋_GB2312" w:hAnsi="仿宋_GB2312" w:eastAsia="仿宋_GB2312" w:cs="仿宋_GB2312"/>
          <w:b/>
          <w:bCs/>
          <w:color w:val="000000"/>
          <w:sz w:val="32"/>
          <w:szCs w:val="32"/>
        </w:rPr>
        <w:t>社保费征缴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各委托代收单位代办员参照清册，在规定的集中征收期内进行收费。使用建行</w:t>
      </w:r>
      <w:r>
        <w:rPr>
          <w:rFonts w:hint="eastAsia" w:ascii="仿宋_GB2312" w:hAnsi="仿宋_GB2312" w:eastAsia="仿宋_GB2312" w:cs="仿宋_GB2312"/>
          <w:color w:val="000000"/>
          <w:sz w:val="32"/>
          <w:szCs w:val="32"/>
        </w:rPr>
        <w:t>移动POS机缴费的</w:t>
      </w:r>
      <w:r>
        <w:rPr>
          <w:rFonts w:hint="default" w:ascii="Times New Roman" w:hAnsi="Times New Roman" w:eastAsia="仿宋_GB2312" w:cs="Times New Roman"/>
          <w:color w:val="000000"/>
          <w:sz w:val="32"/>
          <w:szCs w:val="32"/>
        </w:rPr>
        <w:t>，应根据操作步骤规范操作。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30"/>
          <w:sz w:val="32"/>
          <w:szCs w:val="32"/>
        </w:rPr>
      </w:pPr>
      <w:r>
        <w:rPr>
          <w:rFonts w:hint="default" w:ascii="Times New Roman" w:hAnsi="Times New Roman" w:eastAsia="黑体" w:cs="Times New Roman"/>
          <w:color w:val="000000"/>
          <w:kern w:val="30"/>
          <w:sz w:val="32"/>
          <w:szCs w:val="32"/>
        </w:rPr>
        <w:t>六、工作分工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一</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镇（街）政府（办事处）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根据区政府的统一部署，制定下发辖区城乡居民两险征缴工作实施方案；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成立辖区城乡居民两险征缴领导小组，负责组织征缴工作，召开动员会，统筹推进集中征缴工作；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负责辖区城乡居民两险征缴政策的宣传；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负责辖区城乡居民两险征缴工作的督导及考核。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集中缴费期完成后根据税务部门提供的缴费清册，各镇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安排村居及时将清册在各村居进行公示，接受缴费人监督。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二</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区人社局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负责城乡居民基本养老保险的政策宣传等工作；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负责城乡居民基本养老保险的参保登记、变更注销和信息维护；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负责城乡居民基本养老保险参保人员的信息传递工作；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负责城乡居民基本养老保险特殊群体身份相关信息的筛选和维护；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负责政策性补缴、中断补缴等业务的核定工作；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6.做好退费相关工作；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7.提供城乡居民基本养老保险查询业务。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三</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区医保局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负责城乡居民基本医疗保险的政策宣传等工作；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负责城乡居民基本医疗保险的参保登记、变更注销和信息维护；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负责城乡居民基本医疗保险参保人员信息的传递工作；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负责城乡居民基本医疗保险特殊群体身份相关信息的维护、传递；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负责政策性补缴、中断补缴、新生儿缴费等业务的核定工作；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做好退费相关工作；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提供城乡居民基本医疗保险查询业务。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四</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区税务局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做好征收宣传工作；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负责城乡居民两险申报受理、费款征收、退费受理等工作；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根据人社、医保部门传递的城乡居民缴费信息，形成征收清册，并通过镇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下发到代收单位；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协同委托代收费款的核对和申报入库工作；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负责回传人社、医保等部门征收信息；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按照职责开具相应缴费凭证和证明，并提供城乡居民两险查询业务；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协调人社、医保、银行部门开展代办员征缴业务培训；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持续优化服务，拓展多元化缴费渠道，提高征缴效率。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五</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负责将城乡居民两险政府代缴补助资金列入财政预算，按时足额拨付到位；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确保城乡居民两险专项经费和工作经费及时到位；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协助税务部门做好社保费征缴等工作；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做好退费相关工作。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六</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区民政、区残联、区卫</w:t>
      </w:r>
      <w:r>
        <w:rPr>
          <w:rFonts w:hint="eastAsia" w:ascii="楷体_GB2312" w:hAnsi="楷体_GB2312" w:eastAsia="楷体_GB2312" w:cs="楷体_GB2312"/>
          <w:b w:val="0"/>
          <w:bCs/>
          <w:color w:val="000000"/>
          <w:sz w:val="32"/>
          <w:szCs w:val="32"/>
          <w:lang w:val="en-US" w:eastAsia="zh-CN"/>
        </w:rPr>
        <w:t>健</w:t>
      </w:r>
      <w:r>
        <w:rPr>
          <w:rFonts w:hint="eastAsia" w:ascii="楷体_GB2312" w:hAnsi="楷体_GB2312" w:eastAsia="楷体_GB2312" w:cs="楷体_GB2312"/>
          <w:b w:val="0"/>
          <w:bCs/>
          <w:color w:val="000000"/>
          <w:sz w:val="32"/>
          <w:szCs w:val="32"/>
        </w:rPr>
        <w:t>局、区乡村振兴局、区退役军人事务局等部门</w:t>
      </w:r>
    </w:p>
    <w:p>
      <w:pPr>
        <w:pStyle w:val="1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负责核实各类资助人员和代缴人员详细信息，做好资格确认工作，避免基本保险重复缴费和死亡后缴费，并及时上报财政局相关部门；10月31日前将资助人员基本信息电子版和纸质版（加盖公章）发至各镇（街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；经验证后人员名单报送区人社、医保局，各单位按照相关信息在本系统中相应人员做好标记。同时区、镇（街）公安、民政部门每月5日前将死亡人员信息通报到同级人社、医保部门。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七</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区融媒体中心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负责做好居民养老、医疗“集中征缴”宣传工作，定期播放《山亭区2023年度居民养老、医疗保险集中征缴工作实施方案》和政策问答等宣传事项。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（八）区公安</w:t>
      </w:r>
      <w:r>
        <w:rPr>
          <w:rFonts w:hint="eastAsia" w:ascii="楷体_GB2312" w:hAnsi="楷体_GB2312" w:eastAsia="楷体_GB2312" w:cs="楷体_GB2312"/>
          <w:b w:val="0"/>
          <w:bCs/>
          <w:color w:val="000000"/>
          <w:sz w:val="32"/>
          <w:szCs w:val="32"/>
          <w:lang w:val="en-US" w:eastAsia="zh-CN"/>
        </w:rPr>
        <w:t>分</w:t>
      </w:r>
      <w:r>
        <w:rPr>
          <w:rFonts w:hint="eastAsia" w:ascii="楷体_GB2312" w:hAnsi="楷体_GB2312" w:eastAsia="楷体_GB2312" w:cs="楷体_GB2312"/>
          <w:b w:val="0"/>
          <w:bCs/>
          <w:color w:val="000000"/>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负责提供户籍信息、死亡、销户人员信息。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九</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区审计局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imes New Roman" w:cs="Times New Roman"/>
          <w:color w:val="000000"/>
          <w:sz w:val="32"/>
          <w:szCs w:val="32"/>
        </w:rPr>
      </w:pPr>
      <w:r>
        <w:rPr>
          <w:rFonts w:hint="default" w:ascii="Times New Roman" w:hAnsi="Times New Roman" w:eastAsia="仿宋_GB2312" w:cs="Times New Roman"/>
          <w:color w:val="000000"/>
          <w:sz w:val="32"/>
          <w:szCs w:val="32"/>
        </w:rPr>
        <w:t>负责监督社会保险费征缴全程，严查截留、挪用社保金、超标准收费等违规违法现象。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七</w:t>
      </w:r>
      <w:r>
        <w:rPr>
          <w:rFonts w:hint="default" w:ascii="Times New Roman" w:hAnsi="Times New Roman" w:eastAsia="黑体" w:cs="Times New Roman"/>
          <w:color w:val="000000"/>
          <w:sz w:val="32"/>
          <w:szCs w:val="32"/>
        </w:rPr>
        <w:t>、实施步骤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val="0"/>
          <w:bCs/>
          <w:color w:val="000000"/>
          <w:sz w:val="32"/>
          <w:szCs w:val="32"/>
        </w:rPr>
        <w:t>（一）征缴准备阶段（10月1日</w:t>
      </w:r>
      <w:r>
        <w:rPr>
          <w:rFonts w:hint="eastAsia" w:ascii="楷体_GB2312" w:hAnsi="楷体_GB2312" w:eastAsia="楷体_GB2312" w:cs="楷体_GB2312"/>
          <w:b w:val="0"/>
          <w:bCs/>
          <w:color w:val="000000"/>
          <w:sz w:val="32"/>
          <w:szCs w:val="32"/>
          <w:lang w:val="en-US" w:eastAsia="zh-CN"/>
        </w:rPr>
        <w:t>-</w:t>
      </w:r>
      <w:r>
        <w:rPr>
          <w:rFonts w:hint="eastAsia" w:ascii="楷体_GB2312" w:hAnsi="楷体_GB2312" w:eastAsia="楷体_GB2312" w:cs="楷体_GB2312"/>
          <w:b w:val="0"/>
          <w:bCs/>
          <w:color w:val="000000"/>
          <w:sz w:val="32"/>
          <w:szCs w:val="32"/>
        </w:rPr>
        <w:t>10月15日）。</w:t>
      </w:r>
      <w:r>
        <w:rPr>
          <w:rFonts w:hint="default" w:ascii="Times New Roman" w:hAnsi="Times New Roman" w:eastAsia="仿宋_GB2312" w:cs="Times New Roman"/>
          <w:color w:val="000000"/>
          <w:sz w:val="32"/>
          <w:szCs w:val="32"/>
        </w:rPr>
        <w:t>召开山亭区居民养老、医疗保险集中征缴工作动员会议，安排部署居民养老、医疗保险集中征缴工作，动员广大群众，利用各种媒体，采取各种形式，大力宣传居民养老、医疗保险集中征缴政策和意义，营造浓厚的社会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val="0"/>
          <w:bCs/>
          <w:color w:val="000000"/>
          <w:sz w:val="32"/>
          <w:szCs w:val="32"/>
        </w:rPr>
        <w:t>（二）集中缴费阶段</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10月16日</w:t>
      </w:r>
      <w:r>
        <w:rPr>
          <w:rFonts w:hint="eastAsia" w:ascii="楷体_GB2312" w:hAnsi="楷体_GB2312" w:eastAsia="楷体_GB2312" w:cs="楷体_GB2312"/>
          <w:b w:val="0"/>
          <w:bCs/>
          <w:color w:val="000000"/>
          <w:sz w:val="32"/>
          <w:szCs w:val="32"/>
          <w:lang w:val="en-US" w:eastAsia="zh-CN"/>
        </w:rPr>
        <w:t>-</w:t>
      </w:r>
      <w:r>
        <w:rPr>
          <w:rFonts w:hint="eastAsia" w:ascii="楷体_GB2312" w:hAnsi="楷体_GB2312" w:eastAsia="楷体_GB2312" w:cs="楷体_GB2312"/>
          <w:b w:val="0"/>
          <w:bCs/>
          <w:color w:val="000000"/>
          <w:sz w:val="32"/>
          <w:szCs w:val="32"/>
        </w:rPr>
        <w:t>12月31日</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w:t>
      </w:r>
      <w:r>
        <w:rPr>
          <w:rFonts w:hint="default" w:ascii="Times New Roman" w:hAnsi="Times New Roman" w:eastAsia="仿宋_GB2312" w:cs="Times New Roman"/>
          <w:color w:val="000000"/>
          <w:sz w:val="32"/>
          <w:szCs w:val="32"/>
        </w:rPr>
        <w:t>全面开展居民养老、医疗保险参保登记和缴费工作，严禁通过个人存款账户归集居民个人缴费，严禁在征缴中出现垫资缴费、滞留资金和提供虚假信息等情况，做到钱表相符。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color w:val="000000"/>
          <w:sz w:val="32"/>
          <w:szCs w:val="32"/>
        </w:rPr>
        <w:t>（三）公示阶段（集中征缴期后</w:t>
      </w:r>
      <w:r>
        <w:rPr>
          <w:rFonts w:hint="eastAsia" w:ascii="楷体_GB2312" w:hAnsi="楷体_GB2312" w:eastAsia="楷体_GB2312" w:cs="楷体_GB2312"/>
          <w:b w:val="0"/>
          <w:bCs/>
          <w:color w:val="000000"/>
          <w:sz w:val="32"/>
          <w:szCs w:val="32"/>
          <w:lang w:val="en-US" w:eastAsia="zh-CN"/>
        </w:rPr>
        <w:t>-</w:t>
      </w:r>
      <w:r>
        <w:rPr>
          <w:rFonts w:hint="eastAsia" w:ascii="楷体_GB2312" w:hAnsi="楷体_GB2312" w:eastAsia="楷体_GB2312" w:cs="楷体_GB2312"/>
          <w:b w:val="0"/>
          <w:bCs/>
          <w:color w:val="000000"/>
          <w:sz w:val="32"/>
          <w:szCs w:val="32"/>
        </w:rPr>
        <w:t>次年1月31日）。</w:t>
      </w:r>
      <w:r>
        <w:rPr>
          <w:rFonts w:hint="default" w:ascii="Times New Roman" w:hAnsi="Times New Roman" w:eastAsia="仿宋_GB2312" w:cs="Times New Roman"/>
          <w:sz w:val="32"/>
          <w:szCs w:val="32"/>
        </w:rPr>
        <w:t>集中征缴期结束后由税务部门提供缴费清册，各镇（街）安排进行公示。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区各有关部门要围绕任务目标，按时间要求，制定工作方案，充分宣传发动，调动广大居民的参保积极性和主动性。各镇（街）要充分认识开展居民养老、医疗保险集中征缴工作的重大意义，切实加强组织领导。区人社局、医保局、税务局要定期指导和督导各项征缴工作，掌握工作进展进度等情况，区政府将定期通报，确保圆满完成全区2023年度居民养老、医疗保险参保筹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0"/>
          <w:sz w:val="32"/>
          <w:szCs w:val="32"/>
        </w:rPr>
        <w:t>1.山亭区2023年度居民养老、医疗保险征缴工作领导小组</w:t>
      </w:r>
      <w:r>
        <w:rPr>
          <w:rFonts w:hint="eastAsia" w:ascii="仿宋_GB2312" w:hAnsi="仿宋_GB2312" w:eastAsia="仿宋_GB2312" w:cs="仿宋_GB2312"/>
          <w:spacing w:val="0"/>
          <w:sz w:val="32"/>
          <w:szCs w:val="32"/>
          <w:lang w:val="en-US" w:eastAsia="zh-CN"/>
        </w:rPr>
        <w:t>成员名单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2.山亭区2023年度居民社会保险费征缴统计参照表</w:t>
      </w: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eastAsia="Times New Roman" w:cs="Times New Roman"/>
          <w:sz w:val="32"/>
          <w:szCs w:val="32"/>
        </w:rPr>
        <w:sectPr>
          <w:footerReference r:id="rId3" w:type="default"/>
          <w:pgSz w:w="11906" w:h="16838"/>
          <w:pgMar w:top="2098" w:right="1587" w:bottom="1984" w:left="1587" w:header="851" w:footer="1418" w:gutter="0"/>
          <w:pgNumType w:fmt="numberInDash"/>
          <w:cols w:space="720" w:num="1"/>
          <w:docGrid w:type="lines" w:linePitch="314" w:charSpace="0"/>
        </w:sectPr>
      </w:pPr>
    </w:p>
    <w:p>
      <w:pPr>
        <w:keepNext w:val="0"/>
        <w:keepLines w:val="0"/>
        <w:pageBreakBefore w:val="0"/>
        <w:widowControl w:val="0"/>
        <w:tabs>
          <w:tab w:val="left" w:pos="1275"/>
        </w:tabs>
        <w:kinsoku/>
        <w:wordWrap/>
        <w:overflowPunct/>
        <w:topLinePunct w:val="0"/>
        <w:autoSpaceDE/>
        <w:autoSpaceDN/>
        <w:bidi w:val="0"/>
        <w:adjustRightInd/>
        <w:snapToGrid/>
        <w:spacing w:after="158" w:afterLines="50" w:line="560" w:lineRule="exact"/>
        <w:jc w:val="left"/>
        <w:textAlignment w:val="auto"/>
        <w:rPr>
          <w:rFonts w:hint="eastAsia"/>
        </w:rPr>
      </w:pPr>
      <w:r>
        <w:rPr>
          <w:rFonts w:hint="eastAsia" w:ascii="黑体" w:hAnsi="黑体" w:eastAsia="黑体" w:cs="黑体"/>
          <w:b w:val="0"/>
          <w:bCs w:val="0"/>
          <w:sz w:val="32"/>
          <w:szCs w:val="32"/>
        </w:rPr>
        <w:t>附件1</w:t>
      </w:r>
    </w:p>
    <w:p>
      <w:pPr>
        <w:keepNext w:val="0"/>
        <w:keepLines w:val="0"/>
        <w:pageBreakBefore w:val="0"/>
        <w:tabs>
          <w:tab w:val="left" w:pos="12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100"/>
          <w:sz w:val="44"/>
          <w:szCs w:val="44"/>
        </w:rPr>
        <w:t>山亭区2023年度居民养老、医疗保险征缴工作领导小组成员名单</w:t>
      </w:r>
    </w:p>
    <w:p>
      <w:pPr>
        <w:keepNext w:val="0"/>
        <w:keepLines w:val="0"/>
        <w:pageBreakBefore w:val="0"/>
        <w:tabs>
          <w:tab w:val="left" w:pos="12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组　长：</w:t>
      </w:r>
      <w:r>
        <w:rPr>
          <w:rFonts w:hint="eastAsia" w:ascii="仿宋_GB2312" w:hAnsi="仿宋_GB2312" w:eastAsia="仿宋_GB2312" w:cs="仿宋_GB2312"/>
          <w:color w:val="000000"/>
          <w:sz w:val="32"/>
          <w:szCs w:val="32"/>
        </w:rPr>
        <w:t>王  彪  区委常委、区政府副区长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副组长：</w:t>
      </w:r>
      <w:r>
        <w:rPr>
          <w:rFonts w:hint="eastAsia" w:ascii="仿宋_GB2312" w:hAnsi="仿宋_GB2312" w:eastAsia="仿宋_GB2312" w:cs="仿宋_GB2312"/>
          <w:color w:val="000000"/>
          <w:sz w:val="32"/>
          <w:szCs w:val="32"/>
        </w:rPr>
        <w:t>赵传甲  区政府副区长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rPr>
        <w:t>孔  伟  区税务局局长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雷  杰  区人社局局长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伟  区医保局局长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  辉  区财政局副局长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周一鸣  区公安分局副局长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黄玉国  区卫健局党组</w:t>
      </w:r>
      <w:r>
        <w:rPr>
          <w:rFonts w:hint="eastAsia" w:ascii="仿宋_GB2312" w:hAnsi="仿宋_GB2312" w:eastAsia="仿宋_GB2312" w:cs="仿宋_GB2312"/>
          <w:color w:val="000000"/>
          <w:sz w:val="32"/>
          <w:szCs w:val="32"/>
          <w:lang w:val="en-US" w:eastAsia="zh-CN"/>
        </w:rPr>
        <w:t>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褚云龙  </w:t>
      </w:r>
      <w:r>
        <w:rPr>
          <w:rFonts w:hint="eastAsia" w:ascii="仿宋_GB2312" w:hAnsi="仿宋_GB2312" w:eastAsia="仿宋_GB2312" w:cs="仿宋_GB2312"/>
          <w:color w:val="000000"/>
          <w:spacing w:val="-34"/>
          <w:sz w:val="32"/>
          <w:szCs w:val="32"/>
        </w:rPr>
        <w:t>区民政局党组成员</w:t>
      </w:r>
      <w:r>
        <w:rPr>
          <w:rFonts w:hint="eastAsia" w:ascii="仿宋_GB2312" w:hAnsi="仿宋_GB2312" w:eastAsia="仿宋_GB2312" w:cs="仿宋_GB2312"/>
          <w:color w:val="000000"/>
          <w:spacing w:val="-34"/>
          <w:sz w:val="32"/>
          <w:szCs w:val="32"/>
          <w:lang w:eastAsia="zh-CN"/>
        </w:rPr>
        <w:t>、</w:t>
      </w:r>
      <w:r>
        <w:rPr>
          <w:rFonts w:hint="eastAsia" w:ascii="仿宋_GB2312" w:hAnsi="仿宋_GB2312" w:eastAsia="仿宋_GB2312" w:cs="仿宋_GB2312"/>
          <w:color w:val="000000"/>
          <w:spacing w:val="-34"/>
          <w:sz w:val="32"/>
          <w:szCs w:val="32"/>
          <w:lang w:val="en-US" w:eastAsia="zh-CN"/>
        </w:rPr>
        <w:t>区社会救助综合服务中心主任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  刚  区乡村振兴局副局长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刘春平</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区审计局副局长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  贵  区退役军人事务局副局长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  志  区残联副理事长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褚</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区融媒体中心</w:t>
      </w:r>
      <w:r>
        <w:rPr>
          <w:rFonts w:hint="eastAsia" w:ascii="仿宋_GB2312" w:hAnsi="仿宋_GB2312" w:eastAsia="仿宋_GB2312" w:cs="仿宋_GB2312"/>
          <w:color w:val="000000"/>
          <w:sz w:val="32"/>
          <w:szCs w:val="32"/>
          <w:lang w:eastAsia="zh-CN"/>
        </w:rPr>
        <w:t>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王  斌  </w:t>
      </w:r>
      <w:r>
        <w:rPr>
          <w:rFonts w:hint="eastAsia" w:ascii="仿宋_GB2312" w:hAnsi="仿宋_GB2312" w:eastAsia="仿宋_GB2312" w:cs="仿宋_GB2312"/>
          <w:color w:val="000000"/>
          <w:spacing w:val="-23"/>
          <w:sz w:val="32"/>
          <w:szCs w:val="32"/>
          <w:lang w:val="en-US" w:eastAsia="zh-CN"/>
        </w:rPr>
        <w:t>区人社局党组副书记、</w:t>
      </w:r>
      <w:r>
        <w:rPr>
          <w:rFonts w:hint="eastAsia" w:ascii="仿宋_GB2312" w:hAnsi="仿宋_GB2312" w:eastAsia="仿宋_GB2312" w:cs="仿宋_GB2312"/>
          <w:color w:val="000000"/>
          <w:spacing w:val="-23"/>
          <w:sz w:val="32"/>
          <w:szCs w:val="32"/>
        </w:rPr>
        <w:t>区社会保险事业中心主任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王连稳  </w:t>
      </w:r>
      <w:r>
        <w:rPr>
          <w:rFonts w:hint="eastAsia" w:ascii="仿宋_GB2312" w:hAnsi="仿宋_GB2312" w:eastAsia="仿宋_GB2312" w:cs="仿宋_GB2312"/>
          <w:spacing w:val="-17"/>
          <w:sz w:val="32"/>
          <w:szCs w:val="32"/>
        </w:rPr>
        <w:t>区</w:t>
      </w:r>
      <w:r>
        <w:rPr>
          <w:rFonts w:hint="eastAsia" w:ascii="仿宋_GB2312" w:hAnsi="仿宋_GB2312" w:eastAsia="仿宋_GB2312" w:cs="仿宋_GB2312"/>
          <w:spacing w:val="-17"/>
          <w:sz w:val="32"/>
          <w:szCs w:val="32"/>
          <w:lang w:val="en-US" w:eastAsia="zh-CN"/>
        </w:rPr>
        <w:t>医保局党组成员、区</w:t>
      </w:r>
      <w:r>
        <w:rPr>
          <w:rFonts w:hint="eastAsia" w:ascii="仿宋_GB2312" w:hAnsi="仿宋_GB2312" w:eastAsia="仿宋_GB2312" w:cs="仿宋_GB2312"/>
          <w:spacing w:val="-17"/>
          <w:sz w:val="32"/>
          <w:szCs w:val="32"/>
        </w:rPr>
        <w:t>医疗保险事业中心主任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王大瑞  区税务局副局长</w:t>
      </w:r>
    </w:p>
    <w:p>
      <w:pPr>
        <w:keepNext w:val="0"/>
        <w:keepLines w:val="0"/>
        <w:pageBreakBefore w:val="0"/>
        <w:widowControl w:val="0"/>
        <w:tabs>
          <w:tab w:val="left" w:pos="127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sectPr>
          <w:pgSz w:w="11906" w:h="16838"/>
          <w:pgMar w:top="1701" w:right="1474" w:bottom="1588" w:left="1588" w:header="851" w:footer="1418" w:gutter="0"/>
          <w:pgNumType w:fmt="numberInDash"/>
          <w:cols w:space="720" w:num="1"/>
          <w:docGrid w:type="lines" w:linePitch="314" w:charSpace="0"/>
        </w:sectPr>
      </w:pPr>
      <w:r>
        <w:rPr>
          <w:rFonts w:hint="eastAsia" w:ascii="仿宋_GB2312" w:hAnsi="仿宋_GB2312" w:eastAsia="仿宋_GB2312" w:cs="仿宋_GB2312"/>
          <w:sz w:val="32"/>
          <w:szCs w:val="32"/>
        </w:rPr>
        <w:t>领导小组下设办公室，办公室设在区税务局，王大瑞</w:t>
      </w:r>
      <w:r>
        <w:rPr>
          <w:rFonts w:hint="eastAsia" w:ascii="仿宋_GB2312" w:hAnsi="仿宋_GB2312" w:eastAsia="仿宋_GB2312" w:cs="仿宋_GB2312"/>
          <w:sz w:val="32"/>
          <w:szCs w:val="32"/>
          <w:lang w:val="en-US" w:eastAsia="zh-CN"/>
        </w:rPr>
        <w:t>兼</w:t>
      </w:r>
      <w:r>
        <w:rPr>
          <w:rFonts w:hint="eastAsia" w:ascii="仿宋_GB2312" w:hAnsi="仿宋_GB2312" w:eastAsia="仿宋_GB2312" w:cs="仿宋_GB2312"/>
          <w:sz w:val="32"/>
          <w:szCs w:val="32"/>
        </w:rPr>
        <w:t>任办公室主任。</w:t>
      </w:r>
    </w:p>
    <w:p>
      <w:pPr>
        <w:tabs>
          <w:tab w:val="left" w:pos="1275"/>
        </w:tabs>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tbl>
      <w:tblPr>
        <w:tblStyle w:val="9"/>
        <w:tblW w:w="4893" w:type="pct"/>
        <w:jc w:val="center"/>
        <w:tblLayout w:type="fixed"/>
        <w:tblCellMar>
          <w:top w:w="0" w:type="dxa"/>
          <w:left w:w="108" w:type="dxa"/>
          <w:bottom w:w="0" w:type="dxa"/>
          <w:right w:w="108" w:type="dxa"/>
        </w:tblCellMar>
      </w:tblPr>
      <w:tblGrid>
        <w:gridCol w:w="1878"/>
        <w:gridCol w:w="1843"/>
        <w:gridCol w:w="2901"/>
        <w:gridCol w:w="2901"/>
        <w:gridCol w:w="3947"/>
      </w:tblGrid>
      <w:tr>
        <w:tblPrEx>
          <w:tblCellMar>
            <w:top w:w="0" w:type="dxa"/>
            <w:left w:w="108" w:type="dxa"/>
            <w:bottom w:w="0" w:type="dxa"/>
            <w:right w:w="108" w:type="dxa"/>
          </w:tblCellMar>
        </w:tblPrEx>
        <w:trPr>
          <w:trHeight w:val="90" w:hRule="atLeast"/>
          <w:jc w:val="center"/>
        </w:trPr>
        <w:tc>
          <w:tcPr>
            <w:tcW w:w="5000" w:type="pct"/>
            <w:gridSpan w:val="5"/>
            <w:tcBorders>
              <w:top w:val="nil"/>
              <w:left w:val="nil"/>
              <w:bottom w:val="nil"/>
              <w:right w:val="nil"/>
            </w:tcBorders>
            <w:noWrap/>
            <w:vAlign w:val="bottom"/>
          </w:tcPr>
          <w:p>
            <w:pPr>
              <w:widowControl/>
              <w:jc w:val="center"/>
              <w:rPr>
                <w:rFonts w:ascii="宋体" w:cs="宋体"/>
                <w:b/>
                <w:bCs/>
                <w:color w:val="000000"/>
                <w:kern w:val="0"/>
                <w:sz w:val="30"/>
                <w:szCs w:val="30"/>
              </w:rPr>
            </w:pPr>
            <w:r>
              <w:rPr>
                <w:rFonts w:hint="eastAsia" w:ascii="方正小标宋简体" w:hAnsi="方正小标宋简体" w:eastAsia="方正小标宋简体" w:cs="方正小标宋简体"/>
                <w:b w:val="0"/>
                <w:bCs w:val="0"/>
                <w:color w:val="000000"/>
                <w:kern w:val="0"/>
                <w:sz w:val="44"/>
                <w:szCs w:val="44"/>
              </w:rPr>
              <w:t>山亭区2023年度居民社会保险费征缴统计参照表</w:t>
            </w:r>
          </w:p>
        </w:tc>
      </w:tr>
      <w:tr>
        <w:tblPrEx>
          <w:tblCellMar>
            <w:top w:w="0" w:type="dxa"/>
            <w:left w:w="108" w:type="dxa"/>
            <w:bottom w:w="0" w:type="dxa"/>
            <w:right w:w="108" w:type="dxa"/>
          </w:tblCellMar>
        </w:tblPrEx>
        <w:trPr>
          <w:trHeight w:val="450" w:hRule="atLeast"/>
          <w:jc w:val="center"/>
        </w:trPr>
        <w:tc>
          <w:tcPr>
            <w:tcW w:w="69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镇</w:t>
            </w:r>
            <w:r>
              <w:rPr>
                <w:rFonts w:hint="eastAsia" w:ascii="黑体" w:hAnsi="宋体" w:eastAsia="黑体" w:cs="宋体"/>
                <w:color w:val="000000"/>
                <w:kern w:val="0"/>
                <w:sz w:val="24"/>
                <w:lang w:eastAsia="zh-CN"/>
              </w:rPr>
              <w:t>（</w:t>
            </w:r>
            <w:r>
              <w:rPr>
                <w:rFonts w:hint="eastAsia" w:ascii="黑体" w:hAnsi="宋体" w:eastAsia="黑体" w:cs="宋体"/>
                <w:color w:val="000000"/>
                <w:kern w:val="0"/>
                <w:sz w:val="24"/>
              </w:rPr>
              <w:t>街道</w:t>
            </w:r>
            <w:r>
              <w:rPr>
                <w:rFonts w:hint="eastAsia" w:ascii="黑体" w:hAnsi="宋体" w:eastAsia="黑体" w:cs="宋体"/>
                <w:color w:val="000000"/>
                <w:kern w:val="0"/>
                <w:sz w:val="24"/>
                <w:lang w:eastAsia="zh-CN"/>
              </w:rPr>
              <w:t>）</w:t>
            </w:r>
          </w:p>
        </w:tc>
        <w:tc>
          <w:tcPr>
            <w:tcW w:w="68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村</w:t>
            </w:r>
            <w:r>
              <w:rPr>
                <w:rFonts w:hint="eastAsia" w:ascii="黑体" w:hAnsi="宋体" w:eastAsia="黑体" w:cs="宋体"/>
                <w:color w:val="000000"/>
                <w:kern w:val="0"/>
                <w:sz w:val="24"/>
                <w:lang w:eastAsia="zh-CN"/>
              </w:rPr>
              <w:t>（</w:t>
            </w:r>
            <w:r>
              <w:rPr>
                <w:rFonts w:hint="eastAsia" w:ascii="黑体" w:hAnsi="宋体" w:eastAsia="黑体" w:cs="宋体"/>
                <w:color w:val="000000"/>
                <w:kern w:val="0"/>
                <w:sz w:val="24"/>
              </w:rPr>
              <w:t>居</w:t>
            </w:r>
            <w:r>
              <w:rPr>
                <w:rFonts w:hint="eastAsia" w:ascii="黑体" w:hAnsi="宋体" w:eastAsia="黑体" w:cs="宋体"/>
                <w:color w:val="000000"/>
                <w:kern w:val="0"/>
                <w:sz w:val="24"/>
                <w:lang w:eastAsia="zh-CN"/>
              </w:rPr>
              <w:t>）</w:t>
            </w:r>
            <w:r>
              <w:rPr>
                <w:rFonts w:hint="eastAsia" w:ascii="黑体" w:hAnsi="宋体" w:eastAsia="黑体" w:cs="宋体"/>
                <w:color w:val="000000"/>
                <w:kern w:val="0"/>
                <w:sz w:val="24"/>
              </w:rPr>
              <w:t>数</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lang w:eastAsia="zh-CN"/>
              </w:rPr>
              <w:t>（</w:t>
            </w:r>
            <w:r>
              <w:rPr>
                <w:rFonts w:hint="eastAsia" w:ascii="黑体" w:hAnsi="宋体" w:eastAsia="黑体" w:cs="宋体"/>
                <w:color w:val="000000"/>
                <w:kern w:val="0"/>
                <w:sz w:val="24"/>
              </w:rPr>
              <w:t>以医保为准</w:t>
            </w:r>
            <w:r>
              <w:rPr>
                <w:rFonts w:hint="eastAsia" w:ascii="黑体" w:hAnsi="宋体" w:eastAsia="黑体" w:cs="宋体"/>
                <w:color w:val="000000"/>
                <w:kern w:val="0"/>
                <w:sz w:val="24"/>
                <w:lang w:eastAsia="zh-CN"/>
              </w:rPr>
              <w:t>）</w:t>
            </w:r>
          </w:p>
        </w:tc>
        <w:tc>
          <w:tcPr>
            <w:tcW w:w="1077" w:type="pct"/>
            <w:tcBorders>
              <w:top w:val="single" w:color="auto" w:sz="4" w:space="0"/>
              <w:left w:val="nil"/>
              <w:bottom w:val="single" w:color="auto" w:sz="4" w:space="0"/>
              <w:right w:val="single" w:color="auto" w:sz="4" w:space="0"/>
            </w:tcBorders>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养老保险</w:t>
            </w:r>
          </w:p>
        </w:tc>
        <w:tc>
          <w:tcPr>
            <w:tcW w:w="1077" w:type="pct"/>
            <w:tcBorders>
              <w:top w:val="single" w:color="auto" w:sz="4" w:space="0"/>
              <w:left w:val="nil"/>
              <w:bottom w:val="single" w:color="auto" w:sz="4" w:space="0"/>
              <w:right w:val="single" w:color="auto" w:sz="4" w:space="0"/>
            </w:tcBorders>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医疗保险</w:t>
            </w:r>
          </w:p>
        </w:tc>
        <w:tc>
          <w:tcPr>
            <w:tcW w:w="14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备注</w:t>
            </w:r>
          </w:p>
        </w:tc>
      </w:tr>
      <w:tr>
        <w:tblPrEx>
          <w:tblCellMar>
            <w:top w:w="0" w:type="dxa"/>
            <w:left w:w="108" w:type="dxa"/>
            <w:bottom w:w="0" w:type="dxa"/>
            <w:right w:w="108" w:type="dxa"/>
          </w:tblCellMar>
        </w:tblPrEx>
        <w:trPr>
          <w:trHeight w:val="537" w:hRule="atLeast"/>
          <w:jc w:val="center"/>
        </w:trPr>
        <w:tc>
          <w:tcPr>
            <w:tcW w:w="697"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宋体" w:eastAsia="黑体" w:cs="宋体"/>
                <w:color w:val="000000"/>
                <w:kern w:val="0"/>
                <w:sz w:val="24"/>
              </w:rPr>
            </w:pPr>
          </w:p>
        </w:tc>
        <w:tc>
          <w:tcPr>
            <w:tcW w:w="68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宋体" w:eastAsia="黑体" w:cs="宋体"/>
                <w:color w:val="000000"/>
                <w:kern w:val="0"/>
                <w:sz w:val="24"/>
              </w:rPr>
            </w:pPr>
          </w:p>
        </w:tc>
        <w:tc>
          <w:tcPr>
            <w:tcW w:w="1077" w:type="pct"/>
            <w:tcBorders>
              <w:top w:val="nil"/>
              <w:left w:val="nil"/>
              <w:bottom w:val="single" w:color="auto" w:sz="4" w:space="0"/>
              <w:right w:val="single" w:color="auto" w:sz="4" w:space="0"/>
            </w:tcBorders>
            <w:noWrap/>
            <w:vAlign w:val="center"/>
          </w:tcPr>
          <w:p>
            <w:pPr>
              <w:widowControl/>
              <w:spacing w:line="400" w:lineRule="exact"/>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人数</w:t>
            </w:r>
          </w:p>
        </w:tc>
        <w:tc>
          <w:tcPr>
            <w:tcW w:w="1077" w:type="pct"/>
            <w:tcBorders>
              <w:top w:val="nil"/>
              <w:left w:val="nil"/>
              <w:bottom w:val="single" w:color="auto" w:sz="4" w:space="0"/>
              <w:right w:val="single" w:color="auto" w:sz="4" w:space="0"/>
            </w:tcBorders>
            <w:noWrap/>
            <w:vAlign w:val="center"/>
          </w:tcPr>
          <w:p>
            <w:pPr>
              <w:widowControl/>
              <w:spacing w:line="400" w:lineRule="exact"/>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人数</w:t>
            </w:r>
          </w:p>
        </w:tc>
        <w:tc>
          <w:tcPr>
            <w:tcW w:w="1463" w:type="pct"/>
            <w:tcBorders>
              <w:top w:val="single" w:color="auto" w:sz="4" w:space="0"/>
              <w:left w:val="single" w:color="auto" w:sz="4" w:space="0"/>
              <w:right w:val="single" w:color="auto" w:sz="4" w:space="0"/>
            </w:tcBorders>
            <w:noWrap/>
            <w:vAlign w:val="center"/>
          </w:tcPr>
          <w:p>
            <w:pPr>
              <w:widowControl/>
              <w:jc w:val="left"/>
              <w:rPr>
                <w:rFonts w:ascii="黑体" w:hAnsi="宋体" w:eastAsia="黑体" w:cs="宋体"/>
                <w:color w:val="000000"/>
                <w:kern w:val="0"/>
                <w:sz w:val="24"/>
              </w:rPr>
            </w:pPr>
          </w:p>
        </w:tc>
      </w:tr>
      <w:tr>
        <w:tblPrEx>
          <w:tblCellMar>
            <w:top w:w="0" w:type="dxa"/>
            <w:left w:w="108" w:type="dxa"/>
            <w:bottom w:w="0" w:type="dxa"/>
            <w:right w:w="108" w:type="dxa"/>
          </w:tblCellMar>
        </w:tblPrEx>
        <w:trPr>
          <w:trHeight w:val="546"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山城街道</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53</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12054</w:t>
            </w:r>
          </w:p>
        </w:tc>
        <w:tc>
          <w:tcPr>
            <w:tcW w:w="1077" w:type="pct"/>
            <w:tcBorders>
              <w:top w:val="nil"/>
              <w:left w:val="nil"/>
              <w:bottom w:val="single" w:color="auto" w:sz="4" w:space="0"/>
              <w:right w:val="single" w:color="auto" w:sz="4" w:space="0"/>
            </w:tcBorders>
            <w:noWrap/>
            <w:vAlign w:val="center"/>
          </w:tcPr>
          <w:p>
            <w:pPr>
              <w:widowControl/>
              <w:jc w:val="center"/>
              <w:textAlignment w:val="center"/>
              <w:rPr>
                <w:rFonts w:ascii="宋体" w:cs="宋体"/>
                <w:color w:val="000000" w:themeColor="text1"/>
                <w:sz w:val="22"/>
              </w:rPr>
            </w:pPr>
            <w:r>
              <w:rPr>
                <w:rFonts w:ascii="宋体" w:cs="宋体"/>
                <w:color w:val="000000" w:themeColor="text1"/>
                <w:sz w:val="24"/>
                <w:szCs w:val="24"/>
              </w:rPr>
              <w:t>68936</w:t>
            </w:r>
          </w:p>
        </w:tc>
        <w:tc>
          <w:tcPr>
            <w:tcW w:w="1463" w:type="pct"/>
            <w:vMerge w:val="restart"/>
            <w:tcBorders>
              <w:top w:val="nil"/>
              <w:left w:val="single" w:color="auto" w:sz="4" w:space="0"/>
              <w:bottom w:val="single" w:color="000000" w:sz="4" w:space="0"/>
              <w:right w:val="single" w:color="auto" w:sz="4" w:space="0"/>
            </w:tcBorders>
            <w:noWrap/>
            <w:vAlign w:val="center"/>
          </w:tcPr>
          <w:p>
            <w:pPr>
              <w:rPr>
                <w:sz w:val="24"/>
              </w:rPr>
            </w:pPr>
            <w:r>
              <w:rPr>
                <w:rFonts w:hint="eastAsia"/>
                <w:sz w:val="24"/>
              </w:rPr>
              <w:t>养老、医疗保险征缴人数统计口径均不包括免缴费认定人群数量。</w:t>
            </w:r>
          </w:p>
        </w:tc>
      </w:tr>
      <w:tr>
        <w:trPr>
          <w:trHeight w:val="53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西集镇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15</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5554</w:t>
            </w:r>
          </w:p>
        </w:tc>
        <w:tc>
          <w:tcPr>
            <w:tcW w:w="1077" w:type="pct"/>
            <w:tcBorders>
              <w:top w:val="nil"/>
              <w:left w:val="nil"/>
              <w:bottom w:val="single" w:color="auto" w:sz="4" w:space="0"/>
              <w:right w:val="single" w:color="auto" w:sz="4" w:space="0"/>
            </w:tcBorders>
            <w:noWrap/>
            <w:vAlign w:val="center"/>
          </w:tcPr>
          <w:p>
            <w:pPr>
              <w:widowControl/>
              <w:jc w:val="center"/>
              <w:textAlignment w:val="center"/>
              <w:rPr>
                <w:rFonts w:ascii="宋体" w:cs="宋体"/>
                <w:color w:val="000000" w:themeColor="text1"/>
                <w:sz w:val="22"/>
              </w:rPr>
            </w:pPr>
            <w:r>
              <w:rPr>
                <w:rFonts w:ascii="宋体" w:cs="宋体"/>
                <w:color w:val="000000" w:themeColor="text1"/>
                <w:sz w:val="24"/>
                <w:szCs w:val="24"/>
              </w:rPr>
              <w:t>21841</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45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城头镇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22</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10532</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31724</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45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桑村镇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22</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12416</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44177</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45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凫城镇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18</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4683</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18852</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45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北庄镇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21</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9306</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28057</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45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水泉镇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36</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9203</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29817</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45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冯卯镇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35</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10693</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36562</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45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店子镇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17</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9040</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24647</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450"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徐庄镇</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42</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12798</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39127</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r>
        <w:tblPrEx>
          <w:tblCellMar>
            <w:top w:w="0" w:type="dxa"/>
            <w:left w:w="108" w:type="dxa"/>
            <w:bottom w:w="0" w:type="dxa"/>
            <w:right w:w="108" w:type="dxa"/>
          </w:tblCellMar>
        </w:tblPrEx>
        <w:trPr>
          <w:trHeight w:val="276" w:hRule="atLeast"/>
          <w:jc w:val="center"/>
        </w:trPr>
        <w:tc>
          <w:tcPr>
            <w:tcW w:w="697" w:type="pct"/>
            <w:tcBorders>
              <w:top w:val="nil"/>
              <w:left w:val="single" w:color="auto" w:sz="4" w:space="0"/>
              <w:bottom w:val="single" w:color="auto" w:sz="4" w:space="0"/>
              <w:right w:val="single" w:color="auto" w:sz="4" w:space="0"/>
            </w:tcBorders>
            <w:noWrap/>
            <w:vAlign w:val="center"/>
          </w:tcPr>
          <w:p>
            <w:pPr>
              <w:widowControl/>
              <w:spacing w:line="440" w:lineRule="exact"/>
              <w:jc w:val="center"/>
              <w:rPr>
                <w:rFonts w:ascii="宋体" w:cs="宋体"/>
                <w:kern w:val="0"/>
                <w:sz w:val="24"/>
              </w:rPr>
            </w:pPr>
            <w:r>
              <w:rPr>
                <w:rFonts w:hint="eastAsia" w:ascii="宋体" w:hAnsi="宋体" w:cs="宋体"/>
                <w:kern w:val="0"/>
                <w:sz w:val="24"/>
              </w:rPr>
              <w:t>合计</w:t>
            </w:r>
          </w:p>
        </w:tc>
        <w:tc>
          <w:tcPr>
            <w:tcW w:w="684"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281</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96279</w:t>
            </w:r>
          </w:p>
        </w:tc>
        <w:tc>
          <w:tcPr>
            <w:tcW w:w="1077" w:type="pct"/>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themeColor="text1"/>
                <w:kern w:val="0"/>
                <w:sz w:val="24"/>
              </w:rPr>
            </w:pPr>
            <w:r>
              <w:rPr>
                <w:rFonts w:ascii="宋体" w:cs="宋体"/>
                <w:color w:val="000000" w:themeColor="text1"/>
                <w:kern w:val="0"/>
                <w:sz w:val="24"/>
              </w:rPr>
              <w:t>343740</w:t>
            </w:r>
          </w:p>
        </w:tc>
        <w:tc>
          <w:tcPr>
            <w:tcW w:w="1463" w:type="pct"/>
            <w:vMerge w:val="continue"/>
            <w:tcBorders>
              <w:top w:val="nil"/>
              <w:left w:val="single" w:color="auto" w:sz="4" w:space="0"/>
              <w:bottom w:val="single" w:color="000000" w:sz="4" w:space="0"/>
              <w:right w:val="single" w:color="auto" w:sz="4" w:space="0"/>
            </w:tcBorders>
            <w:noWrap/>
            <w:vAlign w:val="center"/>
          </w:tcPr>
          <w:p>
            <w:pPr>
              <w:widowControl/>
              <w:jc w:val="left"/>
              <w:rPr>
                <w:rFonts w:ascii="Arial" w:hAnsi="Arial" w:cs="Arial"/>
                <w:color w:val="000000"/>
                <w:kern w:val="0"/>
                <w:sz w:val="24"/>
              </w:rPr>
            </w:pPr>
          </w:p>
        </w:tc>
      </w:tr>
    </w:tbl>
    <w:p>
      <w:pPr>
        <w:tabs>
          <w:tab w:val="left" w:pos="1275"/>
        </w:tabs>
        <w:spacing w:line="560" w:lineRule="exact"/>
        <w:ind w:firstLine="420" w:firstLineChars="200"/>
        <w:jc w:val="left"/>
        <w:rPr>
          <w:rFonts w:hint="eastAsia" w:ascii="宋体" w:hAnsi="宋体" w:eastAsia="宋体" w:cs="宋体"/>
          <w:sz w:val="21"/>
          <w:szCs w:val="21"/>
          <w:lang w:eastAsia="zh-CN"/>
        </w:rPr>
        <w:sectPr>
          <w:pgSz w:w="16838" w:h="11906" w:orient="landscape"/>
          <w:pgMar w:top="1588" w:right="1701" w:bottom="1474" w:left="1588" w:header="851" w:footer="1134" w:gutter="0"/>
          <w:pgNumType w:fmt="numberInDash"/>
          <w:cols w:space="720" w:num="1"/>
          <w:docGrid w:type="linesAndChars" w:linePitch="314" w:charSpace="0"/>
        </w:sectPr>
      </w:pPr>
      <w:r>
        <w:rPr>
          <w:rFonts w:hint="eastAsia" w:ascii="宋体" w:hAnsi="宋体" w:cs="宋体"/>
          <w:sz w:val="21"/>
          <w:szCs w:val="21"/>
        </w:rPr>
        <w:t>备注：表中数据为测算计划数据，以</w:t>
      </w:r>
      <w:r>
        <w:rPr>
          <w:rFonts w:eastAsia="Times New Roman"/>
          <w:sz w:val="21"/>
          <w:szCs w:val="21"/>
        </w:rPr>
        <w:t>2022</w:t>
      </w:r>
      <w:r>
        <w:rPr>
          <w:rFonts w:hint="eastAsia" w:ascii="宋体" w:hAnsi="宋体" w:cs="宋体"/>
          <w:sz w:val="21"/>
          <w:szCs w:val="21"/>
        </w:rPr>
        <w:t>年度征缴公示人数为标准设定（养老保险征缴人数为</w:t>
      </w:r>
      <w:r>
        <w:rPr>
          <w:rFonts w:hint="eastAsia" w:ascii="宋体" w:hAnsi="宋体" w:cs="宋体"/>
          <w:sz w:val="21"/>
          <w:szCs w:val="21"/>
          <w:lang w:eastAsia="zh-CN"/>
        </w:rPr>
        <w:t>截至目前</w:t>
      </w:r>
      <w:r>
        <w:rPr>
          <w:rFonts w:hint="eastAsia" w:ascii="宋体" w:hAnsi="宋体" w:cs="宋体"/>
          <w:sz w:val="21"/>
          <w:szCs w:val="21"/>
        </w:rPr>
        <w:t>缴费人数）</w:t>
      </w:r>
      <w:r>
        <w:rPr>
          <w:rFonts w:hint="eastAsia" w:ascii="宋体" w:hAnsi="宋体" w:cs="宋体"/>
          <w:sz w:val="21"/>
          <w:szCs w:val="21"/>
          <w:lang w:eastAsia="zh-CN"/>
        </w:rPr>
        <w:t>。</w:t>
      </w: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pStyle w:val="2"/>
        <w:rPr>
          <w:rFonts w:hint="eastAsia" w:eastAsia="宋体"/>
          <w:b w:val="0"/>
          <w:bCs w:val="0"/>
          <w:lang w:eastAsia="zh-CN"/>
        </w:rPr>
      </w:pPr>
    </w:p>
    <w:p>
      <w:pPr>
        <w:rPr>
          <w:rFonts w:hint="eastAsia" w:eastAsia="宋体"/>
          <w:b w:val="0"/>
          <w:bCs w:val="0"/>
          <w:lang w:eastAsia="zh-CN"/>
        </w:rPr>
      </w:pPr>
    </w:p>
    <w:p>
      <w:pPr>
        <w:pStyle w:val="2"/>
        <w:rPr>
          <w:rFonts w:hint="eastAsia" w:eastAsia="宋体"/>
          <w:b w:val="0"/>
          <w:bCs w:val="0"/>
          <w:lang w:eastAsia="zh-CN"/>
        </w:rPr>
      </w:pPr>
    </w:p>
    <w:p>
      <w:pPr>
        <w:rPr>
          <w:rFonts w:hint="eastAsia" w:eastAsia="宋体"/>
          <w:b w:val="0"/>
          <w:bCs w:val="0"/>
          <w:lang w:eastAsia="zh-CN"/>
        </w:rPr>
      </w:pPr>
    </w:p>
    <w:p>
      <w:pPr>
        <w:pStyle w:val="2"/>
        <w:rPr>
          <w:rFonts w:hint="eastAsia" w:eastAsia="宋体"/>
          <w:b w:val="0"/>
          <w:bCs w:val="0"/>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keepNext w:val="0"/>
        <w:keepLines w:val="0"/>
        <w:pageBreakBefore w:val="0"/>
        <w:kinsoku/>
        <w:overflowPunct/>
        <w:topLinePunct w:val="0"/>
        <w:autoSpaceDN/>
        <w:bidi w:val="0"/>
        <w:adjustRightInd/>
        <w:spacing w:line="560" w:lineRule="exact"/>
        <w:ind w:firstLine="614" w:firstLineChars="200"/>
        <w:textAlignment w:val="auto"/>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ascii="黑体" w:hAnsi="黑体" w:eastAsia="黑体"/>
          <w:spacing w:val="-8"/>
          <w:sz w:val="32"/>
          <w:szCs w:val="32"/>
        </w:rPr>
      </w:pPr>
    </w:p>
    <w:p>
      <w:pPr>
        <w:pStyle w:val="2"/>
        <w:rPr>
          <w:rFonts w:hint="eastAsia" w:ascii="黑体" w:hAnsi="黑体" w:eastAsia="黑体"/>
          <w:spacing w:val="-8"/>
          <w:sz w:val="32"/>
          <w:szCs w:val="32"/>
        </w:rPr>
      </w:pPr>
    </w:p>
    <w:p>
      <w:pPr>
        <w:rPr>
          <w:rFonts w:hint="eastAsia"/>
        </w:rPr>
      </w:pPr>
    </w:p>
    <w:p>
      <w:pPr>
        <w:keepNext w:val="0"/>
        <w:keepLines w:val="0"/>
        <w:pageBreakBefore w:val="0"/>
        <w:kinsoku/>
        <w:overflowPunct/>
        <w:topLinePunct w:val="0"/>
        <w:autoSpaceDN/>
        <w:bidi w:val="0"/>
        <w:adjustRightInd/>
        <w:spacing w:line="560" w:lineRule="exact"/>
        <w:ind w:firstLine="614" w:firstLineChars="200"/>
        <w:textAlignment w:val="auto"/>
        <w:rPr>
          <w:rFonts w:hint="eastAsia" w:ascii="黑体" w:hAnsi="黑体" w:eastAsia="黑体"/>
          <w:spacing w:val="-8"/>
          <w:sz w:val="32"/>
          <w:szCs w:val="32"/>
        </w:rPr>
      </w:pPr>
    </w:p>
    <w:p>
      <w:pPr>
        <w:keepNext w:val="0"/>
        <w:keepLines w:val="0"/>
        <w:pageBreakBefore w:val="0"/>
        <w:pBdr>
          <w:top w:val="single" w:color="auto" w:sz="4" w:space="1"/>
          <w:bottom w:val="single" w:color="auto" w:sz="4" w:space="1"/>
        </w:pBdr>
        <w:kinsoku/>
        <w:overflowPunct/>
        <w:topLinePunct w:val="0"/>
        <w:autoSpaceDN/>
        <w:bidi w:val="0"/>
        <w:adjustRightInd/>
        <w:spacing w:line="560" w:lineRule="exact"/>
        <w:ind w:firstLine="267" w:firstLineChars="100"/>
        <w:textAlignment w:val="auto"/>
        <w:rPr>
          <w:rFonts w:hint="eastAsia" w:eastAsia="仿宋_GB2312"/>
          <w:b w:val="0"/>
          <w:bCs w:val="0"/>
          <w:sz w:val="28"/>
          <w:szCs w:val="28"/>
          <w:lang w:val="en" w:eastAsia="zh-CN"/>
        </w:rPr>
      </w:pPr>
      <w:r>
        <w:rPr>
          <w:rFonts w:hint="eastAsia" w:ascii="仿宋_GB2312" w:hAnsi="黑体" w:eastAsia="仿宋_GB2312"/>
          <w:spacing w:val="-8"/>
          <w:sz w:val="28"/>
          <w:szCs w:val="28"/>
        </w:rPr>
        <w:t xml:space="preserve">山亭区人民政府办公室         </w:t>
      </w:r>
      <w:r>
        <w:rPr>
          <w:rFonts w:hint="eastAsia" w:ascii="仿宋_GB2312" w:hAnsi="黑体" w:eastAsia="仿宋_GB2312"/>
          <w:spacing w:val="-8"/>
          <w:sz w:val="28"/>
          <w:szCs w:val="28"/>
          <w:lang w:val="en-US" w:eastAsia="zh-CN"/>
        </w:rPr>
        <w:t xml:space="preserve">   </w:t>
      </w:r>
      <w:r>
        <w:rPr>
          <w:rFonts w:hint="eastAsia" w:ascii="仿宋_GB2312" w:hAnsi="黑体" w:eastAsia="仿宋_GB2312"/>
          <w:spacing w:val="-8"/>
          <w:sz w:val="28"/>
          <w:szCs w:val="28"/>
        </w:rPr>
        <w:t xml:space="preserve">     </w:t>
      </w:r>
      <w:r>
        <w:rPr>
          <w:rFonts w:hint="eastAsia" w:ascii="仿宋_GB2312" w:hAnsi="黑体" w:eastAsia="仿宋_GB2312"/>
          <w:spacing w:val="-8"/>
          <w:sz w:val="28"/>
          <w:szCs w:val="28"/>
          <w:lang w:val="en-US" w:eastAsia="zh-CN"/>
        </w:rPr>
        <w:t xml:space="preserve"> </w:t>
      </w:r>
      <w:r>
        <w:rPr>
          <w:rFonts w:hint="eastAsia" w:ascii="仿宋_GB2312" w:hAnsi="黑体" w:eastAsia="仿宋_GB2312"/>
          <w:spacing w:val="-8"/>
          <w:sz w:val="28"/>
          <w:szCs w:val="28"/>
        </w:rPr>
        <w:t xml:space="preserve"> </w:t>
      </w:r>
      <w:r>
        <w:rPr>
          <w:rFonts w:hint="eastAsia" w:ascii="仿宋_GB2312" w:hAnsi="黑体" w:eastAsia="仿宋_GB2312"/>
          <w:spacing w:val="-8"/>
          <w:sz w:val="28"/>
          <w:szCs w:val="28"/>
          <w:lang w:val="en-US" w:eastAsia="zh-CN"/>
        </w:rPr>
        <w:t xml:space="preserve">    </w:t>
      </w:r>
      <w:r>
        <w:rPr>
          <w:rFonts w:hint="eastAsia" w:ascii="仿宋_GB2312" w:hAnsi="黑体" w:eastAsia="仿宋_GB2312"/>
          <w:spacing w:val="-8"/>
          <w:sz w:val="28"/>
          <w:szCs w:val="28"/>
        </w:rPr>
        <w:t>202</w:t>
      </w:r>
      <w:r>
        <w:rPr>
          <w:rFonts w:hint="eastAsia" w:ascii="仿宋_GB2312" w:hAnsi="黑体" w:eastAsia="仿宋_GB2312"/>
          <w:spacing w:val="-8"/>
          <w:sz w:val="28"/>
          <w:szCs w:val="28"/>
          <w:lang w:val="en-US" w:eastAsia="zh-CN"/>
        </w:rPr>
        <w:t>2</w:t>
      </w:r>
      <w:r>
        <w:rPr>
          <w:rFonts w:hint="eastAsia" w:ascii="仿宋_GB2312" w:hAnsi="黑体" w:eastAsia="仿宋_GB2312"/>
          <w:spacing w:val="-8"/>
          <w:sz w:val="28"/>
          <w:szCs w:val="28"/>
        </w:rPr>
        <w:t>年</w:t>
      </w:r>
      <w:r>
        <w:rPr>
          <w:rFonts w:hint="eastAsia" w:ascii="仿宋_GB2312" w:hAnsi="黑体" w:eastAsia="仿宋_GB2312"/>
          <w:spacing w:val="-8"/>
          <w:sz w:val="28"/>
          <w:szCs w:val="28"/>
          <w:lang w:val="en-US" w:eastAsia="zh-CN"/>
        </w:rPr>
        <w:t>11</w:t>
      </w:r>
      <w:r>
        <w:rPr>
          <w:rFonts w:hint="eastAsia" w:ascii="仿宋_GB2312" w:hAnsi="黑体" w:eastAsia="仿宋_GB2312"/>
          <w:spacing w:val="-8"/>
          <w:sz w:val="28"/>
          <w:szCs w:val="28"/>
        </w:rPr>
        <w:t>月</w:t>
      </w:r>
      <w:r>
        <w:rPr>
          <w:rFonts w:hint="eastAsia" w:ascii="仿宋_GB2312" w:hAnsi="黑体" w:eastAsia="仿宋_GB2312"/>
          <w:spacing w:val="-8"/>
          <w:sz w:val="28"/>
          <w:szCs w:val="28"/>
          <w:lang w:val="en-US" w:eastAsia="zh-CN"/>
        </w:rPr>
        <w:t>22</w:t>
      </w:r>
      <w:r>
        <w:rPr>
          <w:rFonts w:hint="eastAsia" w:ascii="仿宋_GB2312" w:hAnsi="黑体" w:eastAsia="仿宋_GB2312"/>
          <w:spacing w:val="-8"/>
          <w:sz w:val="28"/>
          <w:szCs w:val="28"/>
        </w:rPr>
        <w:t>日印</w:t>
      </w:r>
      <w:r>
        <w:rPr>
          <w:rFonts w:hint="eastAsia" w:ascii="仿宋_GB2312" w:hAnsi="黑体" w:eastAsia="仿宋_GB2312"/>
          <w:spacing w:val="-8"/>
          <w:sz w:val="28"/>
          <w:szCs w:val="28"/>
          <w:lang w:eastAsia="zh-CN"/>
        </w:rPr>
        <w:t>发</w:t>
      </w:r>
    </w:p>
    <w:sectPr>
      <w:pgSz w:w="11906" w:h="16838"/>
      <w:pgMar w:top="1984" w:right="1474" w:bottom="1871" w:left="1587" w:header="851" w:footer="992" w:gutter="0"/>
      <w:pgNumType w:fmt="numberInDash"/>
      <w:cols w:space="425" w:num="1"/>
      <w:rtlGutter w:val="0"/>
      <w:docGrid w:type="linesAndChars" w:linePitch="521" w:char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JhY2FiMDY5MDA1N2QxOTc3MDk1MmJhZDNkN2Y4MmMifQ=="/>
  </w:docVars>
  <w:rsids>
    <w:rsidRoot w:val="75AE5F09"/>
    <w:rsid w:val="000039F8"/>
    <w:rsid w:val="0001646B"/>
    <w:rsid w:val="000233FE"/>
    <w:rsid w:val="0004352A"/>
    <w:rsid w:val="00051875"/>
    <w:rsid w:val="00066FBD"/>
    <w:rsid w:val="000A5DE9"/>
    <w:rsid w:val="000C2735"/>
    <w:rsid w:val="000E204A"/>
    <w:rsid w:val="00104D9E"/>
    <w:rsid w:val="0012308A"/>
    <w:rsid w:val="00130B00"/>
    <w:rsid w:val="0013419B"/>
    <w:rsid w:val="001358B5"/>
    <w:rsid w:val="0014073A"/>
    <w:rsid w:val="00141CEA"/>
    <w:rsid w:val="0017312D"/>
    <w:rsid w:val="00186DA2"/>
    <w:rsid w:val="001B4E87"/>
    <w:rsid w:val="001C501D"/>
    <w:rsid w:val="001C5107"/>
    <w:rsid w:val="001F1E15"/>
    <w:rsid w:val="0020338A"/>
    <w:rsid w:val="002377B9"/>
    <w:rsid w:val="00267B4C"/>
    <w:rsid w:val="0027736A"/>
    <w:rsid w:val="002B4F50"/>
    <w:rsid w:val="002B60C5"/>
    <w:rsid w:val="002B70D5"/>
    <w:rsid w:val="002E49C3"/>
    <w:rsid w:val="002F3028"/>
    <w:rsid w:val="0030117A"/>
    <w:rsid w:val="003064D8"/>
    <w:rsid w:val="00310304"/>
    <w:rsid w:val="00346DDE"/>
    <w:rsid w:val="00353BDA"/>
    <w:rsid w:val="003643C4"/>
    <w:rsid w:val="00364681"/>
    <w:rsid w:val="00376B21"/>
    <w:rsid w:val="003802E3"/>
    <w:rsid w:val="00382942"/>
    <w:rsid w:val="003A2AFA"/>
    <w:rsid w:val="003E187E"/>
    <w:rsid w:val="003E378B"/>
    <w:rsid w:val="003E7EB5"/>
    <w:rsid w:val="004051FA"/>
    <w:rsid w:val="00406FCA"/>
    <w:rsid w:val="004167DE"/>
    <w:rsid w:val="00422FED"/>
    <w:rsid w:val="004317E2"/>
    <w:rsid w:val="004358EA"/>
    <w:rsid w:val="00456971"/>
    <w:rsid w:val="004578F0"/>
    <w:rsid w:val="00461D92"/>
    <w:rsid w:val="004756D9"/>
    <w:rsid w:val="00480997"/>
    <w:rsid w:val="00487A65"/>
    <w:rsid w:val="004953CC"/>
    <w:rsid w:val="0049731A"/>
    <w:rsid w:val="004B1A9E"/>
    <w:rsid w:val="004B374C"/>
    <w:rsid w:val="004B58A3"/>
    <w:rsid w:val="004C17E9"/>
    <w:rsid w:val="00501CC2"/>
    <w:rsid w:val="00534987"/>
    <w:rsid w:val="0055000B"/>
    <w:rsid w:val="0055776E"/>
    <w:rsid w:val="00580325"/>
    <w:rsid w:val="005B32B8"/>
    <w:rsid w:val="005C7458"/>
    <w:rsid w:val="005D58AA"/>
    <w:rsid w:val="005E571B"/>
    <w:rsid w:val="005F44C9"/>
    <w:rsid w:val="006027FB"/>
    <w:rsid w:val="00610BEC"/>
    <w:rsid w:val="00635873"/>
    <w:rsid w:val="006423E9"/>
    <w:rsid w:val="006516C0"/>
    <w:rsid w:val="0066077A"/>
    <w:rsid w:val="00662907"/>
    <w:rsid w:val="00667014"/>
    <w:rsid w:val="00681DBE"/>
    <w:rsid w:val="006A1C6B"/>
    <w:rsid w:val="006B0C49"/>
    <w:rsid w:val="006B1ED3"/>
    <w:rsid w:val="006C381A"/>
    <w:rsid w:val="006C54A2"/>
    <w:rsid w:val="006D14D9"/>
    <w:rsid w:val="006F0FF2"/>
    <w:rsid w:val="00703E60"/>
    <w:rsid w:val="0070525F"/>
    <w:rsid w:val="00720320"/>
    <w:rsid w:val="00731118"/>
    <w:rsid w:val="00733388"/>
    <w:rsid w:val="00754DFA"/>
    <w:rsid w:val="007854FC"/>
    <w:rsid w:val="007A76B2"/>
    <w:rsid w:val="007B7C04"/>
    <w:rsid w:val="00800EBA"/>
    <w:rsid w:val="00811CE1"/>
    <w:rsid w:val="00817FB0"/>
    <w:rsid w:val="00852B7B"/>
    <w:rsid w:val="00861584"/>
    <w:rsid w:val="00880D46"/>
    <w:rsid w:val="00891C1C"/>
    <w:rsid w:val="00893223"/>
    <w:rsid w:val="008A089A"/>
    <w:rsid w:val="008A2E62"/>
    <w:rsid w:val="008A39B8"/>
    <w:rsid w:val="008C0C85"/>
    <w:rsid w:val="008F54FF"/>
    <w:rsid w:val="0090175C"/>
    <w:rsid w:val="0092693F"/>
    <w:rsid w:val="0094108E"/>
    <w:rsid w:val="00942323"/>
    <w:rsid w:val="00942709"/>
    <w:rsid w:val="00987C2C"/>
    <w:rsid w:val="00995AB4"/>
    <w:rsid w:val="009B38FB"/>
    <w:rsid w:val="009B6963"/>
    <w:rsid w:val="009C0E84"/>
    <w:rsid w:val="009C4D7C"/>
    <w:rsid w:val="009D40A1"/>
    <w:rsid w:val="009D4FA8"/>
    <w:rsid w:val="009F64A9"/>
    <w:rsid w:val="00A078EE"/>
    <w:rsid w:val="00A115EB"/>
    <w:rsid w:val="00A15EC1"/>
    <w:rsid w:val="00A30445"/>
    <w:rsid w:val="00A367A6"/>
    <w:rsid w:val="00A41818"/>
    <w:rsid w:val="00A43EA1"/>
    <w:rsid w:val="00A443A5"/>
    <w:rsid w:val="00A50781"/>
    <w:rsid w:val="00A60F62"/>
    <w:rsid w:val="00A67C15"/>
    <w:rsid w:val="00A7223A"/>
    <w:rsid w:val="00A76107"/>
    <w:rsid w:val="00AD0A69"/>
    <w:rsid w:val="00AD5F85"/>
    <w:rsid w:val="00B07BC5"/>
    <w:rsid w:val="00B1415F"/>
    <w:rsid w:val="00B274E2"/>
    <w:rsid w:val="00B40110"/>
    <w:rsid w:val="00B42BF0"/>
    <w:rsid w:val="00B55374"/>
    <w:rsid w:val="00B64867"/>
    <w:rsid w:val="00BA18BE"/>
    <w:rsid w:val="00BC0F7A"/>
    <w:rsid w:val="00BD0CDA"/>
    <w:rsid w:val="00BF1C89"/>
    <w:rsid w:val="00C26907"/>
    <w:rsid w:val="00C3023F"/>
    <w:rsid w:val="00C4514D"/>
    <w:rsid w:val="00C9029C"/>
    <w:rsid w:val="00CD13F6"/>
    <w:rsid w:val="00CE0485"/>
    <w:rsid w:val="00D0127C"/>
    <w:rsid w:val="00D072CD"/>
    <w:rsid w:val="00D40B13"/>
    <w:rsid w:val="00D41BA2"/>
    <w:rsid w:val="00D46D2D"/>
    <w:rsid w:val="00D52750"/>
    <w:rsid w:val="00D72193"/>
    <w:rsid w:val="00D74527"/>
    <w:rsid w:val="00D82148"/>
    <w:rsid w:val="00D85159"/>
    <w:rsid w:val="00DA61AF"/>
    <w:rsid w:val="00DA6646"/>
    <w:rsid w:val="00DA6D57"/>
    <w:rsid w:val="00DB3252"/>
    <w:rsid w:val="00DB4EA6"/>
    <w:rsid w:val="00DC51EC"/>
    <w:rsid w:val="00DC747A"/>
    <w:rsid w:val="00DD2A33"/>
    <w:rsid w:val="00E10861"/>
    <w:rsid w:val="00E24F93"/>
    <w:rsid w:val="00E2552E"/>
    <w:rsid w:val="00E55084"/>
    <w:rsid w:val="00E74E63"/>
    <w:rsid w:val="00EC2321"/>
    <w:rsid w:val="00EC2909"/>
    <w:rsid w:val="00F00BC3"/>
    <w:rsid w:val="00F05604"/>
    <w:rsid w:val="00F1756D"/>
    <w:rsid w:val="00F17929"/>
    <w:rsid w:val="00F27BB7"/>
    <w:rsid w:val="00F31859"/>
    <w:rsid w:val="00F3315E"/>
    <w:rsid w:val="00F4343E"/>
    <w:rsid w:val="00F45545"/>
    <w:rsid w:val="00F5067F"/>
    <w:rsid w:val="00F52062"/>
    <w:rsid w:val="00F56925"/>
    <w:rsid w:val="00F6084C"/>
    <w:rsid w:val="00F76E9E"/>
    <w:rsid w:val="00F920B9"/>
    <w:rsid w:val="00FA6AC8"/>
    <w:rsid w:val="00FB096F"/>
    <w:rsid w:val="00FD1039"/>
    <w:rsid w:val="00FE4E7D"/>
    <w:rsid w:val="00FF6826"/>
    <w:rsid w:val="00FF75A5"/>
    <w:rsid w:val="019573D3"/>
    <w:rsid w:val="01C10C30"/>
    <w:rsid w:val="02AA0B62"/>
    <w:rsid w:val="03147EC9"/>
    <w:rsid w:val="032260B2"/>
    <w:rsid w:val="037B262E"/>
    <w:rsid w:val="042572F3"/>
    <w:rsid w:val="045C1789"/>
    <w:rsid w:val="04ED14D6"/>
    <w:rsid w:val="05231F8B"/>
    <w:rsid w:val="07AD5AFD"/>
    <w:rsid w:val="09D50053"/>
    <w:rsid w:val="0A0643D0"/>
    <w:rsid w:val="0AE73568"/>
    <w:rsid w:val="0BA976D0"/>
    <w:rsid w:val="0BAA726D"/>
    <w:rsid w:val="0C1B7C34"/>
    <w:rsid w:val="0D1B1ACD"/>
    <w:rsid w:val="0E8C0B61"/>
    <w:rsid w:val="0ED163D3"/>
    <w:rsid w:val="0FCA21F3"/>
    <w:rsid w:val="11842A69"/>
    <w:rsid w:val="11AC4775"/>
    <w:rsid w:val="12FD414F"/>
    <w:rsid w:val="14837889"/>
    <w:rsid w:val="16F017D1"/>
    <w:rsid w:val="17187FC8"/>
    <w:rsid w:val="18B95D4D"/>
    <w:rsid w:val="19A56A6D"/>
    <w:rsid w:val="1B387827"/>
    <w:rsid w:val="1B390A3E"/>
    <w:rsid w:val="1BDC7B85"/>
    <w:rsid w:val="1C30687E"/>
    <w:rsid w:val="1C723C15"/>
    <w:rsid w:val="1DC305CC"/>
    <w:rsid w:val="1DF54D4B"/>
    <w:rsid w:val="1DFC598D"/>
    <w:rsid w:val="1FE3277A"/>
    <w:rsid w:val="20270A5D"/>
    <w:rsid w:val="20F015E1"/>
    <w:rsid w:val="210D7263"/>
    <w:rsid w:val="21D45460"/>
    <w:rsid w:val="227917FB"/>
    <w:rsid w:val="23BC3C88"/>
    <w:rsid w:val="243F0018"/>
    <w:rsid w:val="25162B64"/>
    <w:rsid w:val="25C107E5"/>
    <w:rsid w:val="25DA497F"/>
    <w:rsid w:val="27A40FB9"/>
    <w:rsid w:val="287C69A9"/>
    <w:rsid w:val="28F37EE9"/>
    <w:rsid w:val="29321306"/>
    <w:rsid w:val="299F3CCC"/>
    <w:rsid w:val="2A0315B5"/>
    <w:rsid w:val="2AC7562F"/>
    <w:rsid w:val="2BF4504C"/>
    <w:rsid w:val="2BF9733D"/>
    <w:rsid w:val="2C7701CA"/>
    <w:rsid w:val="2CAE4447"/>
    <w:rsid w:val="2D8361B0"/>
    <w:rsid w:val="2F28286B"/>
    <w:rsid w:val="2F745719"/>
    <w:rsid w:val="2FC82B8D"/>
    <w:rsid w:val="307E5DDA"/>
    <w:rsid w:val="32061CFC"/>
    <w:rsid w:val="330E59A8"/>
    <w:rsid w:val="331D7695"/>
    <w:rsid w:val="33A57111"/>
    <w:rsid w:val="35E13004"/>
    <w:rsid w:val="35FE265A"/>
    <w:rsid w:val="363A0175"/>
    <w:rsid w:val="36D6478E"/>
    <w:rsid w:val="36DD19D9"/>
    <w:rsid w:val="3A3B723B"/>
    <w:rsid w:val="3B755A54"/>
    <w:rsid w:val="3C1047E6"/>
    <w:rsid w:val="3C583CC3"/>
    <w:rsid w:val="3E426DC9"/>
    <w:rsid w:val="3EFA62B6"/>
    <w:rsid w:val="412E66C0"/>
    <w:rsid w:val="42F575CE"/>
    <w:rsid w:val="43F0351A"/>
    <w:rsid w:val="440523C6"/>
    <w:rsid w:val="44C8393C"/>
    <w:rsid w:val="467D5E6D"/>
    <w:rsid w:val="46DA6F0C"/>
    <w:rsid w:val="470F05A3"/>
    <w:rsid w:val="472A0EE3"/>
    <w:rsid w:val="478F055D"/>
    <w:rsid w:val="47D16124"/>
    <w:rsid w:val="48052B82"/>
    <w:rsid w:val="485E1F31"/>
    <w:rsid w:val="48C646E5"/>
    <w:rsid w:val="4A621941"/>
    <w:rsid w:val="4AFE5E50"/>
    <w:rsid w:val="4CC053BB"/>
    <w:rsid w:val="4D302BB2"/>
    <w:rsid w:val="4DD76B65"/>
    <w:rsid w:val="4E696160"/>
    <w:rsid w:val="4E7533DF"/>
    <w:rsid w:val="4EB62577"/>
    <w:rsid w:val="4F817799"/>
    <w:rsid w:val="508E6396"/>
    <w:rsid w:val="52A15140"/>
    <w:rsid w:val="53C96D0C"/>
    <w:rsid w:val="54672C8E"/>
    <w:rsid w:val="552D163A"/>
    <w:rsid w:val="55483197"/>
    <w:rsid w:val="554D6AC5"/>
    <w:rsid w:val="55D351D3"/>
    <w:rsid w:val="564B4E3D"/>
    <w:rsid w:val="57C02664"/>
    <w:rsid w:val="580617D3"/>
    <w:rsid w:val="58E1295F"/>
    <w:rsid w:val="591555D7"/>
    <w:rsid w:val="59561C72"/>
    <w:rsid w:val="5A080DA7"/>
    <w:rsid w:val="5A267B42"/>
    <w:rsid w:val="5AB46412"/>
    <w:rsid w:val="5B0A10E8"/>
    <w:rsid w:val="5C5279AC"/>
    <w:rsid w:val="5CFE7F6C"/>
    <w:rsid w:val="5D2F65B0"/>
    <w:rsid w:val="5DD50E4E"/>
    <w:rsid w:val="5ECE0C97"/>
    <w:rsid w:val="5EDE1790"/>
    <w:rsid w:val="5EEC0919"/>
    <w:rsid w:val="5F6B1172"/>
    <w:rsid w:val="5FF454F5"/>
    <w:rsid w:val="60C26ECA"/>
    <w:rsid w:val="60FC0688"/>
    <w:rsid w:val="61FA04EE"/>
    <w:rsid w:val="62B50E64"/>
    <w:rsid w:val="63250A37"/>
    <w:rsid w:val="633346EE"/>
    <w:rsid w:val="634E25FF"/>
    <w:rsid w:val="639849BD"/>
    <w:rsid w:val="64BE7AFB"/>
    <w:rsid w:val="65024911"/>
    <w:rsid w:val="65435C5B"/>
    <w:rsid w:val="668E1722"/>
    <w:rsid w:val="66C06D3D"/>
    <w:rsid w:val="67AD1F6E"/>
    <w:rsid w:val="67F54534"/>
    <w:rsid w:val="684615E7"/>
    <w:rsid w:val="689E049E"/>
    <w:rsid w:val="68E31AED"/>
    <w:rsid w:val="68E74E4B"/>
    <w:rsid w:val="69644B75"/>
    <w:rsid w:val="69D84740"/>
    <w:rsid w:val="69DE5581"/>
    <w:rsid w:val="6A35086B"/>
    <w:rsid w:val="6AC94C59"/>
    <w:rsid w:val="6AF3127B"/>
    <w:rsid w:val="6BE45515"/>
    <w:rsid w:val="6C107A63"/>
    <w:rsid w:val="6CDB004F"/>
    <w:rsid w:val="6D8E4B92"/>
    <w:rsid w:val="6DBD0436"/>
    <w:rsid w:val="6E3E0DBD"/>
    <w:rsid w:val="6EBF06D0"/>
    <w:rsid w:val="6F680AC4"/>
    <w:rsid w:val="70B34F90"/>
    <w:rsid w:val="72A358E9"/>
    <w:rsid w:val="72E020C7"/>
    <w:rsid w:val="73060EDE"/>
    <w:rsid w:val="747A2A22"/>
    <w:rsid w:val="74A50BEC"/>
    <w:rsid w:val="75AE5F09"/>
    <w:rsid w:val="76D032F1"/>
    <w:rsid w:val="77C64353"/>
    <w:rsid w:val="7820426C"/>
    <w:rsid w:val="79296A57"/>
    <w:rsid w:val="79365536"/>
    <w:rsid w:val="79431517"/>
    <w:rsid w:val="797E4E6C"/>
    <w:rsid w:val="7A8A7491"/>
    <w:rsid w:val="7ADD16D7"/>
    <w:rsid w:val="7AFB74C9"/>
    <w:rsid w:val="7BAF7EBD"/>
    <w:rsid w:val="7BB13EAD"/>
    <w:rsid w:val="7D2423B6"/>
    <w:rsid w:val="7D8A327A"/>
    <w:rsid w:val="7F3D74CD"/>
    <w:rsid w:val="7F5C7AAD"/>
    <w:rsid w:val="7F874A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qFormat="1" w:unhideWhenUsed="0" w:uiPriority="0" w:semiHidden="0"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pPr>
      <w:snapToGrid w:val="0"/>
      <w:spacing w:line="640" w:lineRule="exact"/>
      <w:ind w:firstLine="705"/>
    </w:pPr>
    <w:rPr>
      <w:rFonts w:ascii="仿宋_GB2312" w:hAnsi="宋体" w:eastAsia="仿宋_GB2312"/>
      <w:color w:val="000000"/>
      <w:sz w:val="36"/>
      <w:szCs w:val="36"/>
    </w:rPr>
  </w:style>
  <w:style w:type="paragraph" w:styleId="3">
    <w:name w:val="Body Text"/>
    <w:basedOn w:val="1"/>
    <w:next w:val="4"/>
    <w:qFormat/>
    <w:locked/>
    <w:uiPriority w:val="0"/>
    <w:pPr>
      <w:spacing w:before="0" w:after="140" w:line="276" w:lineRule="auto"/>
    </w:pPr>
  </w:style>
  <w:style w:type="paragraph" w:styleId="4">
    <w:name w:val="toc 5"/>
    <w:basedOn w:val="1"/>
    <w:next w:val="1"/>
    <w:qFormat/>
    <w:locked/>
    <w:uiPriority w:val="0"/>
    <w:pPr>
      <w:ind w:left="1680" w:leftChars="800"/>
    </w:pPr>
    <w:rPr>
      <w:rFonts w:ascii="Times New Roman" w:hAnsi="Times New Roman"/>
    </w:rPr>
  </w:style>
  <w:style w:type="paragraph" w:styleId="5">
    <w:name w:val="Balloon Text"/>
    <w:basedOn w:val="1"/>
    <w:link w:val="13"/>
    <w:semiHidden/>
    <w:qFormat/>
    <w:locked/>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jc w:val="left"/>
    </w:pPr>
    <w:rPr>
      <w:rFonts w:ascii="宋体" w:hAnsi="宋体" w:cs="宋体"/>
      <w:kern w:val="0"/>
      <w:sz w:val="24"/>
      <w:szCs w:val="24"/>
    </w:rPr>
  </w:style>
  <w:style w:type="character" w:styleId="11">
    <w:name w:val="page number"/>
    <w:basedOn w:val="10"/>
    <w:qFormat/>
    <w:uiPriority w:val="99"/>
    <w:rPr>
      <w:rFonts w:cs="Times New Roman"/>
    </w:rPr>
  </w:style>
  <w:style w:type="character" w:styleId="12">
    <w:name w:val="Hyperlink"/>
    <w:basedOn w:val="10"/>
    <w:semiHidden/>
    <w:qFormat/>
    <w:locked/>
    <w:uiPriority w:val="99"/>
    <w:rPr>
      <w:rFonts w:cs="Times New Roman"/>
      <w:color w:val="0000FF"/>
      <w:u w:val="single"/>
    </w:rPr>
  </w:style>
  <w:style w:type="character" w:customStyle="1" w:styleId="13">
    <w:name w:val="Balloon Text Char"/>
    <w:basedOn w:val="10"/>
    <w:link w:val="5"/>
    <w:semiHidden/>
    <w:qFormat/>
    <w:locked/>
    <w:uiPriority w:val="99"/>
    <w:rPr>
      <w:rFonts w:ascii="Calibri" w:hAnsi="Calibri" w:cs="Calibri"/>
      <w:sz w:val="2"/>
    </w:rPr>
  </w:style>
  <w:style w:type="character" w:customStyle="1" w:styleId="14">
    <w:name w:val="Footer Char"/>
    <w:basedOn w:val="10"/>
    <w:link w:val="6"/>
    <w:semiHidden/>
    <w:qFormat/>
    <w:locked/>
    <w:uiPriority w:val="99"/>
    <w:rPr>
      <w:rFonts w:cs="Times New Roman"/>
      <w:sz w:val="18"/>
      <w:szCs w:val="18"/>
    </w:rPr>
  </w:style>
  <w:style w:type="paragraph" w:customStyle="1" w:styleId="15">
    <w:name w:val="无间隔"/>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4514</Words>
  <Characters>4813</Characters>
  <Lines>0</Lines>
  <Paragraphs>0</Paragraphs>
  <TotalTime>16</TotalTime>
  <ScaleCrop>false</ScaleCrop>
  <LinksUpToDate>false</LinksUpToDate>
  <CharactersWithSpaces>4908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2022-10-10T03:06:00Z</dcterms:created>
  <dc:creator>朱智慧</dc:creator>
  <cp:lastModifiedBy>WPS_1589182173</cp:lastModifiedBy>
  <cp:lastPrinted>2022-11-22T00:24:00Z</cp:lastPrinted>
  <dcterms:modified xsi:type="dcterms:W3CDTF">2022-11-22T06:08:35Z</dcterms:modified>
  <dc:title>山亭区2022年度城乡居民基本养老、基本医疗保险集中征缴工作实施方案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DB5E2F058D494929910DBD403C87AEDA</vt:lpwstr>
  </property>
</Properties>
</file>