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山亭区市场监管局2</w:t>
      </w:r>
      <w:r>
        <w:rPr>
          <w:rFonts w:ascii="方正小标宋简体" w:hAnsi="宋体" w:eastAsia="方正小标宋简体" w:cs="宋体"/>
          <w:color w:val="000000"/>
          <w:kern w:val="0"/>
          <w:sz w:val="44"/>
          <w:szCs w:val="44"/>
        </w:rPr>
        <w:t>021</w:t>
      </w:r>
      <w:r>
        <w:rPr>
          <w:rFonts w:hint="eastAsia" w:ascii="方正小标宋简体" w:hAnsi="宋体" w:eastAsia="方正小标宋简体" w:cs="宋体"/>
          <w:color w:val="000000"/>
          <w:kern w:val="0"/>
          <w:sz w:val="44"/>
          <w:szCs w:val="44"/>
        </w:rPr>
        <w:t>年政府信息公开</w:t>
      </w:r>
    </w:p>
    <w:p>
      <w:pPr>
        <w:widowControl/>
        <w:snapToGrid w:val="0"/>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工作年度报告</w:t>
      </w:r>
    </w:p>
    <w:p>
      <w:pPr>
        <w:widowControl/>
        <w:ind w:firstLine="960" w:firstLineChars="3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根据新修订的《中华人民共和国政府信息公开条例》、《国务院办公厅政府信息与政务公开办公室关于政府信息公开工作年度报告有关事项的通知》（国办公开办函〔2019〕60号）和省、枣庄市有关工作要求，编制本报告并向社会公开。全文包括2021年政府信息公开工作要点落实情况，主动公开政府信息情况，回应解读情况，依申请公开情况，政府信息公开行政复议、行政诉讼和投诉情况，存在的主要问题及改进措施等。本报告所列数据的统计时限自2021年1月1日至2021年12月31日。本报告全文在将山亭区政府网站（http://www.shanting.gov.cn/）,“政府信息公开年度报告”专栏公布。如对本报告有疑问，可与山亭区市场监管局办公室联系（地址:山亭区山城街道邾国路6</w:t>
      </w:r>
      <w:r>
        <w:rPr>
          <w:rFonts w:ascii="仿宋_GB2312" w:hAnsi="仿宋_GB2312" w:eastAsia="仿宋_GB2312" w:cs="仿宋_GB2312"/>
          <w:color w:val="000000"/>
          <w:kern w:val="0"/>
          <w:sz w:val="32"/>
          <w:szCs w:val="32"/>
          <w:lang w:bidi="ar"/>
        </w:rPr>
        <w:t>00</w:t>
      </w:r>
      <w:r>
        <w:rPr>
          <w:rFonts w:hint="eastAsia" w:ascii="仿宋_GB2312" w:hAnsi="仿宋_GB2312" w:eastAsia="仿宋_GB2312" w:cs="仿宋_GB2312"/>
          <w:color w:val="000000"/>
          <w:kern w:val="0"/>
          <w:sz w:val="32"/>
          <w:szCs w:val="32"/>
          <w:lang w:bidi="ar"/>
        </w:rPr>
        <w:t>号，邮编：277200，电话：0632-</w:t>
      </w:r>
      <w:r>
        <w:rPr>
          <w:rFonts w:ascii="仿宋_GB2312" w:hAnsi="仿宋_GB2312" w:eastAsia="仿宋_GB2312" w:cs="仿宋_GB2312"/>
          <w:color w:val="000000"/>
          <w:kern w:val="0"/>
          <w:sz w:val="32"/>
          <w:szCs w:val="32"/>
          <w:lang w:bidi="ar"/>
        </w:rPr>
        <w:t>8811616</w:t>
      </w:r>
      <w:r>
        <w:rPr>
          <w:rFonts w:hint="eastAsia" w:ascii="仿宋_GB2312" w:hAnsi="仿宋_GB2312" w:eastAsia="仿宋_GB2312" w:cs="仿宋_GB2312"/>
          <w:color w:val="000000"/>
          <w:kern w:val="0"/>
          <w:sz w:val="32"/>
          <w:szCs w:val="32"/>
          <w:lang w:bidi="ar"/>
        </w:rPr>
        <w:t>）。</w:t>
      </w:r>
    </w:p>
    <w:p>
      <w:pPr>
        <w:widowControl/>
        <w:rPr>
          <w:rFonts w:hint="eastAsia" w:ascii="仿宋_GB2312" w:hAnsi="仿宋_GB2312" w:eastAsia="仿宋_GB2312" w:cs="仿宋_GB2312"/>
          <w:color w:val="000000"/>
          <w:kern w:val="0"/>
          <w:sz w:val="32"/>
          <w:szCs w:val="32"/>
          <w:lang w:bidi="ar"/>
        </w:rPr>
      </w:pPr>
      <w:r>
        <w:drawing>
          <wp:inline distT="0" distB="0" distL="114300" distR="114300">
            <wp:extent cx="5273675" cy="3717925"/>
            <wp:effectExtent l="0" t="0" r="3175" b="15875"/>
            <wp:docPr id="2"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true"/>
                    </pic:cNvPicPr>
                  </pic:nvPicPr>
                  <pic:blipFill>
                    <a:blip r:embed="rId5"/>
                    <a:stretch>
                      <a:fillRect/>
                    </a:stretch>
                  </pic:blipFill>
                  <pic:spPr>
                    <a:xfrm>
                      <a:off x="0" y="0"/>
                      <a:ext cx="5273675" cy="3717925"/>
                    </a:xfrm>
                    <a:prstGeom prst="rect">
                      <a:avLst/>
                    </a:prstGeom>
                    <a:noFill/>
                    <a:ln>
                      <a:noFill/>
                    </a:ln>
                  </pic:spPr>
                </pic:pic>
              </a:graphicData>
            </a:graphic>
          </wp:inline>
        </w:drawing>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一、总体情况</w:t>
      </w:r>
    </w:p>
    <w:p>
      <w:pPr>
        <w:widowControl/>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一）加强组织领导，全面推进政府信息公开工作。根据区政府对信息公开工作的统一部署，成立了由局主要领导任组长，分管领导任副组长，局属各单位负责人为成员的信息公开领导小组，做到了主要领导亲自抓、分管领导具体抓、专职人员专门抓，进一步加强了我局工作人员政府信息公开工作的责任感，提升了政府信息公开工作的水平，政府信息公开工作得到了有效的贯彻落实。</w:t>
      </w:r>
    </w:p>
    <w:p>
      <w:pPr>
        <w:widowControl/>
        <w:ind w:firstLine="640" w:firstLineChars="200"/>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二）拓展公开渠道，突出重点公开内容。为方便公众了解信息，我局通过政府网站和局门户网站发布信息、通知公告、咨询电话、动态要闻、政策解读、行政许可等内容。同时依托微信公众号、今日头条等新媒体方式进行了信息公开。特别是融合1</w:t>
      </w:r>
      <w:r>
        <w:rPr>
          <w:rFonts w:ascii="仿宋_GB2312" w:hAnsi="黑体" w:eastAsia="仿宋_GB2312" w:cs="宋体"/>
          <w:color w:val="000000"/>
          <w:kern w:val="0"/>
          <w:sz w:val="32"/>
          <w:szCs w:val="32"/>
        </w:rPr>
        <w:t>2315</w:t>
      </w:r>
      <w:r>
        <w:rPr>
          <w:rFonts w:hint="eastAsia" w:ascii="仿宋_GB2312" w:hAnsi="黑体" w:eastAsia="仿宋_GB2312" w:cs="宋体"/>
          <w:color w:val="000000"/>
          <w:kern w:val="0"/>
          <w:sz w:val="32"/>
          <w:szCs w:val="32"/>
        </w:rPr>
        <w:t>、</w:t>
      </w:r>
      <w:r>
        <w:rPr>
          <w:rFonts w:ascii="仿宋_GB2312" w:hAnsi="黑体" w:eastAsia="仿宋_GB2312" w:cs="宋体"/>
          <w:color w:val="000000"/>
          <w:kern w:val="0"/>
          <w:sz w:val="32"/>
          <w:szCs w:val="32"/>
        </w:rPr>
        <w:t>12345</w:t>
      </w:r>
      <w:r>
        <w:rPr>
          <w:rFonts w:hint="eastAsia" w:ascii="仿宋_GB2312" w:hAnsi="黑体" w:eastAsia="仿宋_GB2312" w:cs="宋体"/>
          <w:color w:val="000000"/>
          <w:kern w:val="0"/>
          <w:sz w:val="32"/>
          <w:szCs w:val="32"/>
        </w:rPr>
        <w:t>、e诉通，搭建出24小时快速回应的投诉举报平台，形成统一受理、统一办理、规范服务的工作流程，为公众了解信息提供了便利。</w:t>
      </w:r>
    </w:p>
    <w:p>
      <w:pPr>
        <w:widowControl/>
        <w:ind w:firstLine="420" w:firstLineChars="200"/>
        <w:rPr>
          <w:rFonts w:hint="eastAsia" w:ascii="仿宋_GB2312" w:hAnsi="黑体" w:eastAsia="仿宋_GB2312" w:cs="宋体"/>
          <w:color w:val="000000"/>
          <w:kern w:val="0"/>
          <w:sz w:val="32"/>
          <w:szCs w:val="32"/>
        </w:rPr>
      </w:pPr>
      <w:r>
        <w:drawing>
          <wp:inline distT="0" distB="0" distL="114300" distR="114300">
            <wp:extent cx="5271770" cy="8115935"/>
            <wp:effectExtent l="0" t="0" r="5080" b="18415"/>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6"/>
                    <a:stretch>
                      <a:fillRect/>
                    </a:stretch>
                  </pic:blipFill>
                  <pic:spPr>
                    <a:xfrm>
                      <a:off x="0" y="0"/>
                      <a:ext cx="5271770" cy="8115935"/>
                    </a:xfrm>
                    <a:prstGeom prst="rect">
                      <a:avLst/>
                    </a:prstGeom>
                    <a:noFill/>
                    <a:ln>
                      <a:noFill/>
                    </a:ln>
                  </pic:spPr>
                </pic:pic>
              </a:graphicData>
            </a:graphic>
          </wp:inline>
        </w:drawing>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4"/>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6</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宋体" w:hAnsi="宋体" w:eastAsia="宋体" w:cs="宋体"/>
                <w:kern w:val="0"/>
                <w:sz w:val="24"/>
                <w:szCs w:val="24"/>
              </w:rPr>
              <w:t>36</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6</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8</w:t>
            </w:r>
            <w:r>
              <w:rPr>
                <w:rFonts w:ascii="宋体" w:hAnsi="宋体" w:eastAsia="宋体" w:cs="宋体"/>
                <w:kern w:val="0"/>
                <w:sz w:val="24"/>
                <w:szCs w:val="24"/>
              </w:rPr>
              <w:t>1</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宋体" w:hAnsi="宋体" w:eastAsia="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ascii="宋体" w:hAnsi="宋体" w:eastAsia="宋体" w:cs="宋体"/>
                <w:kern w:val="0"/>
                <w:sz w:val="24"/>
                <w:szCs w:val="24"/>
              </w:rPr>
              <w:t>/</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ascii="宋体" w:hAnsi="宋体" w:eastAsia="宋体" w:cs="宋体"/>
                <w:kern w:val="0"/>
                <w:sz w:val="24"/>
                <w:szCs w:val="24"/>
              </w:rPr>
              <w:t>/</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82</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0252</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6</w:t>
            </w:r>
            <w:r>
              <w:rPr>
                <w:rFonts w:ascii="宋体" w:hAnsi="宋体" w:eastAsia="宋体" w:cs="宋体"/>
                <w:kern w:val="0"/>
                <w:sz w:val="24"/>
                <w:szCs w:val="24"/>
              </w:rPr>
              <w:t>37</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65</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6</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ascii="宋体" w:hAnsi="宋体" w:eastAsia="宋体" w:cs="宋体"/>
                <w:color w:val="000000"/>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rPr>
          <w:rFonts w:ascii="宋体" w:hAnsi="宋体" w:eastAsia="宋体" w:cs="宋体"/>
          <w:color w:val="000000"/>
          <w:kern w:val="0"/>
          <w:sz w:val="20"/>
          <w:szCs w:val="20"/>
        </w:rPr>
      </w:pPr>
    </w:p>
    <w:p>
      <w:pPr>
        <w:widowControl/>
        <w:rPr>
          <w:rFonts w:ascii="黑体" w:hAnsi="黑体" w:eastAsia="黑体" w:cs="宋体"/>
          <w:color w:val="000000"/>
          <w:kern w:val="0"/>
          <w:sz w:val="32"/>
          <w:szCs w:val="32"/>
        </w:rPr>
      </w:pP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4"/>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29"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ascii="Calibri" w:hAnsi="Calibri" w:eastAsia="宋体" w:cs="宋体"/>
                <w:kern w:val="0"/>
                <w:sz w:val="20"/>
                <w:szCs w:val="20"/>
              </w:rPr>
              <w:t> 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color w:val="000000"/>
                <w:kern w:val="0"/>
                <w:sz w:val="20"/>
                <w:szCs w:val="20"/>
              </w:rPr>
            </w:pPr>
            <w:r>
              <w:rPr>
                <w:rFonts w:ascii="Calibri" w:hAnsi="Calibri" w:eastAsia="宋体" w:cs="宋体"/>
                <w:kern w:val="0"/>
                <w:sz w:val="20"/>
                <w:szCs w:val="20"/>
              </w:rPr>
              <w:t> 0</w:t>
            </w:r>
          </w:p>
        </w:tc>
      </w:tr>
    </w:tbl>
    <w:p>
      <w:pPr>
        <w:widowControl/>
        <w:spacing w:before="312" w:beforeLines="100"/>
        <w:ind w:firstLine="640" w:firstLineChars="200"/>
        <w:rPr>
          <w:rFonts w:ascii="宋体" w:hAnsi="宋体" w:eastAsia="宋体" w:cs="宋体"/>
          <w:color w:val="000000"/>
          <w:kern w:val="0"/>
          <w:sz w:val="20"/>
          <w:szCs w:val="20"/>
        </w:rPr>
      </w:pPr>
      <w:r>
        <w:rPr>
          <w:rFonts w:hint="eastAsia" w:ascii="黑体" w:hAnsi="黑体" w:eastAsia="黑体" w:cs="宋体"/>
          <w:color w:val="000000"/>
          <w:kern w:val="0"/>
          <w:sz w:val="32"/>
          <w:szCs w:val="32"/>
        </w:rPr>
        <w:t>四、政府信息公开行政复议、行政诉讼情况</w:t>
      </w:r>
    </w:p>
    <w:p>
      <w:pPr>
        <w:widowControl/>
        <w:rPr>
          <w:rFonts w:ascii="宋体" w:hAnsi="宋体" w:eastAsia="宋体" w:cs="宋体"/>
          <w:color w:val="000000"/>
          <w:kern w:val="0"/>
          <w:sz w:val="20"/>
          <w:szCs w:val="20"/>
        </w:rPr>
      </w:pPr>
    </w:p>
    <w:tbl>
      <w:tblPr>
        <w:tblStyle w:val="4"/>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bookmarkStart w:id="0" w:name="_GoBack" w:colFirst="0" w:colLast="14"/>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w:t>
            </w:r>
          </w:p>
        </w:tc>
      </w:tr>
      <w:bookmarkEnd w:id="0"/>
    </w:tbl>
    <w:p>
      <w:pPr>
        <w:widowControl/>
        <w:rPr>
          <w:rFonts w:ascii="宋体" w:hAnsi="宋体" w:eastAsia="宋体" w:cs="宋体"/>
          <w:color w:val="000000"/>
          <w:kern w:val="0"/>
          <w:sz w:val="20"/>
          <w:szCs w:val="20"/>
        </w:rPr>
      </w:pP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问题：1</w:t>
      </w:r>
      <w:r>
        <w:rPr>
          <w:rFonts w:ascii="仿宋" w:hAnsi="仿宋" w:eastAsia="仿宋"/>
          <w:sz w:val="32"/>
          <w:szCs w:val="32"/>
        </w:rPr>
        <w:t>.</w:t>
      </w:r>
      <w:r>
        <w:rPr>
          <w:rFonts w:hint="eastAsia" w:ascii="仿宋" w:hAnsi="仿宋" w:eastAsia="仿宋"/>
          <w:sz w:val="32"/>
          <w:szCs w:val="32"/>
        </w:rPr>
        <w:t>单位主动公开政府信息的意识有待进一步加强;2.主动公开的政府信息内容有待进一步完善，工作人员工作水平有待进一步提高，信息公开不够及时。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改进情况：202</w:t>
      </w:r>
      <w:r>
        <w:rPr>
          <w:rFonts w:ascii="仿宋" w:hAnsi="仿宋" w:eastAsia="仿宋"/>
          <w:sz w:val="32"/>
          <w:szCs w:val="32"/>
        </w:rPr>
        <w:t>1</w:t>
      </w:r>
      <w:r>
        <w:rPr>
          <w:rFonts w:hint="eastAsia" w:ascii="仿宋" w:hAnsi="仿宋" w:eastAsia="仿宋"/>
          <w:sz w:val="32"/>
          <w:szCs w:val="32"/>
        </w:rPr>
        <w:t>年，我局将按照政府信息公开的相关要求，继续大力推进政府信息公开工作，努力建设机构健全、制度完善、各负其责、运转协调的政府信息公开长效机制，不断强化对工作人员尤其是信息公开工作人员的业务培训，督促相关工作人员增强责任感，提高信息公开工作的主动性和时效性。</w:t>
      </w:r>
    </w:p>
    <w:p>
      <w:pPr>
        <w:widowControl/>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widowControl/>
        <w:rPr>
          <w:rFonts w:ascii="宋体" w:hAnsi="宋体" w:eastAsia="宋体" w:cs="宋体"/>
          <w:color w:val="000000"/>
          <w:kern w:val="0"/>
          <w:sz w:val="20"/>
          <w:szCs w:val="20"/>
        </w:rPr>
      </w:pPr>
      <w:r>
        <w:rPr>
          <w:rFonts w:hint="eastAsia" w:ascii="仿宋_GB2312" w:hAnsi="黑体" w:eastAsia="仿宋_GB2312" w:cs="宋体"/>
          <w:color w:val="000000"/>
          <w:kern w:val="0"/>
          <w:sz w:val="32"/>
          <w:szCs w:val="32"/>
        </w:rPr>
        <w:t xml:space="preserve"> </w:t>
      </w:r>
      <w:r>
        <w:rPr>
          <w:rFonts w:ascii="仿宋_GB2312" w:hAnsi="黑体" w:eastAsia="仿宋_GB2312" w:cs="宋体"/>
          <w:color w:val="000000"/>
          <w:kern w:val="0"/>
          <w:sz w:val="32"/>
          <w:szCs w:val="32"/>
        </w:rPr>
        <w:t xml:space="preserve">   </w:t>
      </w:r>
      <w:r>
        <w:rPr>
          <w:rFonts w:hint="eastAsia" w:ascii="仿宋_GB2312" w:hAnsi="黑体" w:eastAsia="仿宋_GB2312" w:cs="宋体"/>
          <w:color w:val="000000"/>
          <w:kern w:val="0"/>
          <w:sz w:val="32"/>
          <w:szCs w:val="32"/>
        </w:rPr>
        <w:t>无</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08"/>
    <w:rsid w:val="00086E96"/>
    <w:rsid w:val="00165108"/>
    <w:rsid w:val="00321037"/>
    <w:rsid w:val="0036142D"/>
    <w:rsid w:val="004C3366"/>
    <w:rsid w:val="00622C25"/>
    <w:rsid w:val="006A101F"/>
    <w:rsid w:val="00934392"/>
    <w:rsid w:val="00941443"/>
    <w:rsid w:val="009D1B5B"/>
    <w:rsid w:val="009E196E"/>
    <w:rsid w:val="00A34F5A"/>
    <w:rsid w:val="00D302C8"/>
    <w:rsid w:val="00F13C00"/>
    <w:rsid w:val="05FD5596"/>
    <w:rsid w:val="23DC6477"/>
    <w:rsid w:val="3469106E"/>
    <w:rsid w:val="35DE3C54"/>
    <w:rsid w:val="3CD6199F"/>
    <w:rsid w:val="3F978F36"/>
    <w:rsid w:val="4BF97A2E"/>
    <w:rsid w:val="5398260C"/>
    <w:rsid w:val="6D1E5E10"/>
    <w:rsid w:val="6DF86A33"/>
    <w:rsid w:val="76EE67E5"/>
    <w:rsid w:val="77FFCAFC"/>
    <w:rsid w:val="FBA44017"/>
    <w:rsid w:val="FFB70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340</Words>
  <Characters>1940</Characters>
  <Lines>16</Lines>
  <Paragraphs>4</Paragraphs>
  <TotalTime>2</TotalTime>
  <ScaleCrop>false</ScaleCrop>
  <LinksUpToDate>false</LinksUpToDate>
  <CharactersWithSpaces>2276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2021-01-27T16:55:00Z</dcterms:created>
  <dc:creator>Administrator</dc:creator>
  <cp:lastModifiedBy>user</cp:lastModifiedBy>
  <cp:lastPrinted>2021-01-27T16:51:00Z</cp:lastPrinted>
  <dcterms:modified xsi:type="dcterms:W3CDTF">2022-01-29T10:06:44Z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