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A9B28">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根据新修订的《中华人民共和国政府信息公开条例》和《国务院办公厅政府信息与政务公开办公室</w:t>
      </w:r>
      <w:r>
        <w:rPr>
          <w:rFonts w:hint="eastAsia" w:ascii="仿宋_GB2312" w:hAnsi="仿宋_GB2312" w:cs="仿宋_GB2312"/>
          <w:i w:val="0"/>
          <w:caps w:val="0"/>
          <w:color w:val="auto"/>
          <w:spacing w:val="0"/>
          <w:kern w:val="0"/>
          <w:sz w:val="32"/>
          <w:szCs w:val="32"/>
          <w:lang w:val="en-US" w:eastAsia="zh-CN" w:bidi="ar"/>
        </w:rPr>
        <w:t>关于印发〈</w:t>
      </w:r>
      <w:r>
        <w:rPr>
          <w:rFonts w:hint="eastAsia" w:ascii="仿宋_GB2312" w:hAnsi="仿宋_GB2312" w:eastAsia="仿宋_GB2312" w:cs="仿宋_GB2312"/>
          <w:i w:val="0"/>
          <w:caps w:val="0"/>
          <w:color w:val="auto"/>
          <w:spacing w:val="0"/>
          <w:kern w:val="0"/>
          <w:sz w:val="32"/>
          <w:szCs w:val="32"/>
          <w:lang w:val="en-US" w:eastAsia="zh-CN" w:bidi="ar"/>
        </w:rPr>
        <w:t>中华人民共和国政府信息公开工作年度报告格式&gt;的通知</w:t>
      </w:r>
      <w:r>
        <w:rPr>
          <w:rFonts w:hint="eastAsia" w:ascii="仿宋_GB2312" w:hAnsi="仿宋_GB2312" w:cs="仿宋_GB2312"/>
          <w:i w:val="0"/>
          <w:caps w:val="0"/>
          <w:color w:val="auto"/>
          <w:spacing w:val="0"/>
          <w:kern w:val="0"/>
          <w:sz w:val="32"/>
          <w:szCs w:val="32"/>
          <w:lang w:val="en-US" w:eastAsia="zh-CN" w:bidi="ar"/>
        </w:rPr>
        <w:t>》的</w:t>
      </w:r>
      <w:r>
        <w:rPr>
          <w:rFonts w:hint="eastAsia" w:ascii="仿宋_GB2312" w:hAnsi="仿宋_GB2312" w:eastAsia="仿宋_GB2312" w:cs="仿宋_GB2312"/>
          <w:i w:val="0"/>
          <w:caps w:val="0"/>
          <w:color w:val="auto"/>
          <w:spacing w:val="0"/>
          <w:kern w:val="0"/>
          <w:sz w:val="32"/>
          <w:szCs w:val="32"/>
          <w:lang w:val="en-US" w:eastAsia="zh-CN" w:bidi="ar"/>
        </w:rPr>
        <w:t>相关要求编制本报告，内容包括总体情况、主动公开政府信息情况、收到和处理政府信息公开申请情况、政府信息公开行政复议和行政诉讼情况、存在的主要问题及改进情况、其他需要报告的事项等六个部分。本报告所列数据的统计时限自2024年1月1日至2024年12月31日。</w:t>
      </w:r>
      <w:r>
        <w:rPr>
          <w:rFonts w:hint="eastAsia" w:ascii="仿宋_GB2312" w:hAnsi="仿宋_GB2312" w:eastAsia="仿宋_GB2312" w:cs="仿宋_GB2312"/>
          <w:color w:val="auto"/>
          <w:sz w:val="32"/>
          <w:szCs w:val="32"/>
          <w:lang w:val="en-US" w:eastAsia="zh-CN"/>
        </w:rPr>
        <w:t>本报告电子版可从</w:t>
      </w:r>
      <w:r>
        <w:rPr>
          <w:rFonts w:hint="eastAsia" w:ascii="仿宋_GB2312" w:hAnsi="仿宋_GB2312" w:eastAsia="仿宋_GB2312" w:cs="仿宋_GB2312"/>
          <w:i w:val="0"/>
          <w:caps w:val="0"/>
          <w:color w:val="auto"/>
          <w:spacing w:val="0"/>
          <w:kern w:val="0"/>
          <w:sz w:val="32"/>
          <w:szCs w:val="32"/>
          <w:lang w:val="en-US" w:eastAsia="zh-CN" w:bidi="ar"/>
        </w:rPr>
        <w:t>山亭区政府网站（</w:t>
      </w:r>
      <w:r>
        <w:rPr>
          <w:rFonts w:hint="eastAsia" w:ascii="仿宋_GB2312" w:hAnsi="仿宋_GB2312" w:eastAsia="仿宋_GB2312" w:cs="仿宋_GB2312"/>
          <w:i w:val="0"/>
          <w:caps w:val="0"/>
          <w:color w:val="auto"/>
          <w:spacing w:val="0"/>
          <w:kern w:val="0"/>
          <w:sz w:val="32"/>
          <w:szCs w:val="32"/>
          <w:u w:val="none"/>
          <w:lang w:val="en-US" w:eastAsia="zh-CN" w:bidi="ar"/>
        </w:rPr>
        <w:t>http://www.shanting.gov.cn</w:t>
      </w:r>
      <w:r>
        <w:rPr>
          <w:rFonts w:hint="eastAsia" w:ascii="仿宋_GB2312" w:hAnsi="仿宋_GB2312" w:cs="仿宋_GB2312"/>
          <w:i w:val="0"/>
          <w:caps w:val="0"/>
          <w:color w:val="auto"/>
          <w:spacing w:val="0"/>
          <w:kern w:val="0"/>
          <w:sz w:val="32"/>
          <w:szCs w:val="32"/>
          <w:u w:val="none"/>
          <w:lang w:val="en-US" w:eastAsia="zh-CN" w:bidi="ar"/>
        </w:rPr>
        <w:t>）</w:t>
      </w:r>
      <w:r>
        <w:rPr>
          <w:rFonts w:hint="eastAsia" w:ascii="仿宋_GB2312" w:hAnsi="仿宋_GB2312" w:eastAsia="仿宋_GB2312" w:cs="仿宋_GB2312"/>
          <w:i w:val="0"/>
          <w:caps w:val="0"/>
          <w:color w:val="auto"/>
          <w:spacing w:val="0"/>
          <w:kern w:val="0"/>
          <w:sz w:val="32"/>
          <w:szCs w:val="32"/>
          <w:lang w:val="en-US" w:eastAsia="zh-CN" w:bidi="ar"/>
        </w:rPr>
        <w:t>下载。如对本报告有疑问，可与山亭区</w:t>
      </w:r>
      <w:r>
        <w:rPr>
          <w:rFonts w:hint="eastAsia" w:ascii="仿宋_GB2312" w:hAnsi="仿宋_GB2312" w:cs="仿宋_GB2312"/>
          <w:i w:val="0"/>
          <w:caps w:val="0"/>
          <w:color w:val="auto"/>
          <w:spacing w:val="0"/>
          <w:kern w:val="0"/>
          <w:sz w:val="32"/>
          <w:szCs w:val="32"/>
          <w:lang w:val="en-US" w:eastAsia="zh-CN" w:bidi="ar"/>
        </w:rPr>
        <w:t>审计局</w:t>
      </w:r>
      <w:r>
        <w:rPr>
          <w:rFonts w:hint="eastAsia" w:ascii="仿宋_GB2312" w:hAnsi="仿宋_GB2312" w:eastAsia="仿宋_GB2312" w:cs="仿宋_GB2312"/>
          <w:i w:val="0"/>
          <w:caps w:val="0"/>
          <w:color w:val="auto"/>
          <w:spacing w:val="0"/>
          <w:kern w:val="0"/>
          <w:sz w:val="32"/>
          <w:szCs w:val="32"/>
          <w:lang w:val="en-US" w:eastAsia="zh-CN" w:bidi="ar"/>
        </w:rPr>
        <w:t>联系（地址</w:t>
      </w:r>
      <w:r>
        <w:rPr>
          <w:rFonts w:hint="eastAsia" w:ascii="仿宋_GB2312" w:hAnsi="仿宋_GB2312" w:cs="仿宋_GB2312"/>
          <w:i w:val="0"/>
          <w:caps w:val="0"/>
          <w:color w:val="auto"/>
          <w:spacing w:val="0"/>
          <w:kern w:val="0"/>
          <w:sz w:val="32"/>
          <w:szCs w:val="32"/>
          <w:lang w:val="en-US" w:eastAsia="zh-CN" w:bidi="ar"/>
        </w:rPr>
        <w:t>：</w:t>
      </w:r>
      <w:r>
        <w:rPr>
          <w:rFonts w:hint="eastAsia" w:ascii="仿宋_GB2312" w:hAnsi="仿宋_GB2312" w:eastAsia="仿宋_GB2312" w:cs="仿宋_GB2312"/>
          <w:i w:val="0"/>
          <w:caps w:val="0"/>
          <w:color w:val="auto"/>
          <w:spacing w:val="0"/>
          <w:kern w:val="0"/>
          <w:sz w:val="32"/>
          <w:szCs w:val="32"/>
          <w:lang w:val="en-US" w:eastAsia="zh-CN" w:bidi="ar"/>
        </w:rPr>
        <w:t>山亭区</w:t>
      </w:r>
      <w:r>
        <w:rPr>
          <w:rFonts w:hint="eastAsia" w:ascii="仿宋_GB2312" w:hAnsi="仿宋_GB2312" w:cs="仿宋_GB2312"/>
          <w:i w:val="0"/>
          <w:caps w:val="0"/>
          <w:color w:val="auto"/>
          <w:spacing w:val="0"/>
          <w:kern w:val="0"/>
          <w:sz w:val="32"/>
          <w:szCs w:val="32"/>
          <w:lang w:val="en-US" w:eastAsia="zh-CN" w:bidi="ar"/>
        </w:rPr>
        <w:t>府前西路6</w:t>
      </w:r>
      <w:r>
        <w:rPr>
          <w:rFonts w:hint="eastAsia" w:ascii="仿宋_GB2312" w:hAnsi="仿宋_GB2312" w:eastAsia="仿宋_GB2312" w:cs="仿宋_GB2312"/>
          <w:i w:val="0"/>
          <w:caps w:val="0"/>
          <w:color w:val="auto"/>
          <w:spacing w:val="0"/>
          <w:kern w:val="0"/>
          <w:sz w:val="32"/>
          <w:szCs w:val="32"/>
          <w:lang w:val="en-US" w:eastAsia="zh-CN" w:bidi="ar"/>
        </w:rPr>
        <w:t>号</w:t>
      </w:r>
      <w:r>
        <w:rPr>
          <w:rFonts w:hint="eastAsia" w:ascii="仿宋_GB2312" w:hAnsi="仿宋_GB2312" w:cs="仿宋_GB2312"/>
          <w:i w:val="0"/>
          <w:caps w:val="0"/>
          <w:color w:val="auto"/>
          <w:spacing w:val="0"/>
          <w:kern w:val="0"/>
          <w:sz w:val="32"/>
          <w:szCs w:val="32"/>
          <w:lang w:val="en-US" w:eastAsia="zh-CN" w:bidi="ar"/>
        </w:rPr>
        <w:t>山亭区审计</w:t>
      </w:r>
      <w:r>
        <w:rPr>
          <w:rFonts w:hint="eastAsia" w:ascii="仿宋_GB2312" w:hAnsi="仿宋_GB2312" w:eastAsia="仿宋_GB2312" w:cs="仿宋_GB2312"/>
          <w:i w:val="0"/>
          <w:caps w:val="0"/>
          <w:color w:val="auto"/>
          <w:spacing w:val="0"/>
          <w:kern w:val="0"/>
          <w:sz w:val="32"/>
          <w:szCs w:val="32"/>
          <w:lang w:val="en-US" w:eastAsia="zh-CN" w:bidi="ar"/>
        </w:rPr>
        <w:t>局，邮编：277200，电话：0632-</w:t>
      </w:r>
      <w:r>
        <w:rPr>
          <w:rFonts w:hint="eastAsia" w:ascii="仿宋_GB2312" w:hAnsi="仿宋_GB2312" w:cs="仿宋_GB2312"/>
          <w:i w:val="0"/>
          <w:caps w:val="0"/>
          <w:color w:val="auto"/>
          <w:spacing w:val="0"/>
          <w:kern w:val="0"/>
          <w:sz w:val="32"/>
          <w:szCs w:val="32"/>
          <w:lang w:val="en-US" w:eastAsia="zh-CN" w:bidi="ar"/>
        </w:rPr>
        <w:t>8811156</w:t>
      </w:r>
      <w:r>
        <w:rPr>
          <w:rFonts w:hint="eastAsia" w:ascii="仿宋_GB2312" w:hAnsi="仿宋_GB2312" w:eastAsia="仿宋_GB2312" w:cs="仿宋_GB2312"/>
          <w:i w:val="0"/>
          <w:caps w:val="0"/>
          <w:color w:val="auto"/>
          <w:spacing w:val="0"/>
          <w:kern w:val="0"/>
          <w:sz w:val="32"/>
          <w:szCs w:val="32"/>
          <w:lang w:val="en-US" w:eastAsia="zh-CN" w:bidi="ar"/>
        </w:rPr>
        <w:t>） 。</w:t>
      </w:r>
    </w:p>
    <w:p w14:paraId="5E389A24">
      <w:pPr>
        <w:pStyle w:val="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outlineLvl w:val="1"/>
        <w:rPr>
          <w:rFonts w:hint="eastAsia" w:ascii="黑体" w:hAnsi="黑体" w:eastAsia="黑体" w:cs="黑体"/>
          <w:b w:val="0"/>
          <w:bCs/>
          <w:color w:val="auto"/>
          <w:sz w:val="32"/>
        </w:rPr>
      </w:pPr>
      <w:r>
        <w:rPr>
          <w:rFonts w:hint="eastAsia" w:ascii="黑体" w:hAnsi="黑体" w:eastAsia="黑体" w:cs="黑体"/>
          <w:b w:val="0"/>
          <w:bCs/>
          <w:color w:val="auto"/>
          <w:sz w:val="32"/>
        </w:rPr>
        <w:t>总体情况</w:t>
      </w:r>
    </w:p>
    <w:p w14:paraId="24FD504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cs="仿宋_GB2312"/>
          <w:i w:val="0"/>
          <w:caps w:val="0"/>
          <w:color w:val="auto"/>
          <w:spacing w:val="0"/>
          <w:kern w:val="0"/>
          <w:sz w:val="32"/>
          <w:szCs w:val="32"/>
          <w:lang w:val="en-US" w:eastAsia="zh-CN" w:bidi="ar"/>
        </w:rPr>
        <w:t>2024年，</w:t>
      </w:r>
      <w:r>
        <w:rPr>
          <w:rFonts w:hint="eastAsia" w:ascii="仿宋_GB2312" w:hAnsi="仿宋_GB2312" w:eastAsia="仿宋_GB2312" w:cs="仿宋_GB2312"/>
          <w:i w:val="0"/>
          <w:caps w:val="0"/>
          <w:color w:val="auto"/>
          <w:spacing w:val="0"/>
          <w:kern w:val="0"/>
          <w:sz w:val="32"/>
          <w:szCs w:val="32"/>
          <w:lang w:val="en-US" w:eastAsia="zh-CN" w:bidi="ar"/>
        </w:rPr>
        <w:t>在区委、区政府的坚强领导下，山亭区</w:t>
      </w:r>
      <w:r>
        <w:rPr>
          <w:rFonts w:hint="eastAsia" w:ascii="仿宋_GB2312" w:hAnsi="仿宋_GB2312" w:cs="仿宋_GB2312"/>
          <w:i w:val="0"/>
          <w:caps w:val="0"/>
          <w:color w:val="auto"/>
          <w:spacing w:val="0"/>
          <w:kern w:val="0"/>
          <w:sz w:val="32"/>
          <w:szCs w:val="32"/>
          <w:lang w:val="en-US" w:eastAsia="zh-CN" w:bidi="ar"/>
        </w:rPr>
        <w:t>审计</w:t>
      </w:r>
      <w:r>
        <w:rPr>
          <w:rFonts w:hint="eastAsia" w:ascii="仿宋_GB2312" w:hAnsi="仿宋_GB2312" w:eastAsia="仿宋_GB2312" w:cs="仿宋_GB2312"/>
          <w:i w:val="0"/>
          <w:caps w:val="0"/>
          <w:color w:val="auto"/>
          <w:spacing w:val="0"/>
          <w:kern w:val="0"/>
          <w:sz w:val="32"/>
          <w:szCs w:val="32"/>
          <w:lang w:val="en-US" w:eastAsia="zh-CN" w:bidi="ar"/>
        </w:rPr>
        <w:t>局认真贯彻《中华人民共和国政府信息公开条例》等系列法律法规，以公开透明、方便群众、提高效率为目标，紧密结合全区</w:t>
      </w:r>
      <w:r>
        <w:rPr>
          <w:rFonts w:hint="eastAsia" w:ascii="仿宋_GB2312" w:hAnsi="仿宋_GB2312" w:cs="仿宋_GB2312"/>
          <w:i w:val="0"/>
          <w:caps w:val="0"/>
          <w:color w:val="auto"/>
          <w:spacing w:val="0"/>
          <w:kern w:val="0"/>
          <w:sz w:val="32"/>
          <w:szCs w:val="32"/>
          <w:lang w:val="en-US" w:eastAsia="zh-CN" w:bidi="ar"/>
        </w:rPr>
        <w:t>审计</w:t>
      </w:r>
      <w:r>
        <w:rPr>
          <w:rFonts w:hint="eastAsia" w:ascii="仿宋_GB2312" w:hAnsi="仿宋_GB2312" w:eastAsia="仿宋_GB2312" w:cs="仿宋_GB2312"/>
          <w:i w:val="0"/>
          <w:caps w:val="0"/>
          <w:color w:val="auto"/>
          <w:spacing w:val="0"/>
          <w:kern w:val="0"/>
          <w:sz w:val="32"/>
          <w:szCs w:val="32"/>
          <w:lang w:val="en-US" w:eastAsia="zh-CN" w:bidi="ar"/>
        </w:rPr>
        <w:t>工作实际，加强组织领导，丰富信息公开内容，全方位推进政府信息公开、政务服务，取得了良好成效。</w:t>
      </w:r>
    </w:p>
    <w:p w14:paraId="646E234F">
      <w:pPr>
        <w:pStyle w:val="2"/>
        <w:spacing w:line="240" w:lineRule="auto"/>
        <w:ind w:left="0" w:leftChars="0" w:firstLine="0" w:firstLineChars="0"/>
        <w:jc w:val="both"/>
        <w:rPr>
          <w:rFonts w:hint="eastAsia"/>
          <w:lang w:val="en-US" w:eastAsia="zh-CN"/>
        </w:rPr>
      </w:pPr>
      <w:r>
        <w:rPr>
          <w:rFonts w:hint="eastAsia"/>
          <w:lang w:val="en-US" w:eastAsia="zh-CN"/>
        </w:rPr>
        <w:drawing>
          <wp:inline distT="0" distB="0" distL="114300" distR="114300">
            <wp:extent cx="5614670" cy="3736975"/>
            <wp:effectExtent l="0" t="0" r="5080" b="15875"/>
            <wp:docPr id="1" name="图片 1" descr="审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计"/>
                    <pic:cNvPicPr>
                      <a:picLocks noChangeAspect="1"/>
                    </pic:cNvPicPr>
                  </pic:nvPicPr>
                  <pic:blipFill>
                    <a:blip r:embed="rId7"/>
                    <a:stretch>
                      <a:fillRect/>
                    </a:stretch>
                  </pic:blipFill>
                  <pic:spPr>
                    <a:xfrm>
                      <a:off x="0" y="0"/>
                      <a:ext cx="5614670" cy="3736975"/>
                    </a:xfrm>
                    <a:prstGeom prst="rect">
                      <a:avLst/>
                    </a:prstGeom>
                  </pic:spPr>
                </pic:pic>
              </a:graphicData>
            </a:graphic>
          </wp:inline>
        </w:drawing>
      </w:r>
    </w:p>
    <w:p w14:paraId="06745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hint="eastAsia" w:ascii="仿宋_GB2312" w:eastAsia="仿宋_GB2312" w:cs="仿宋_GB2312"/>
          <w:i w:val="0"/>
          <w:caps w:val="0"/>
          <w:color w:val="auto"/>
          <w:spacing w:val="0"/>
          <w:sz w:val="32"/>
          <w:szCs w:val="31"/>
          <w:shd w:val="clear" w:fill="FFFFFF"/>
        </w:rPr>
      </w:pPr>
      <w:r>
        <w:rPr>
          <w:rFonts w:hint="eastAsia" w:ascii="楷体_GB2312" w:hAnsi="楷体_GB2312" w:eastAsia="楷体_GB2312" w:cs="楷体_GB2312"/>
          <w:i w:val="0"/>
          <w:caps w:val="0"/>
          <w:color w:val="auto"/>
          <w:spacing w:val="0"/>
          <w:sz w:val="32"/>
          <w:szCs w:val="31"/>
          <w:shd w:val="clear" w:fill="FFFFFF"/>
        </w:rPr>
        <w:t>1.主动公开</w:t>
      </w:r>
      <w:r>
        <w:rPr>
          <w:rFonts w:hint="eastAsia" w:ascii="楷体_GB2312" w:hAnsi="楷体_GB2312" w:eastAsia="楷体_GB2312" w:cs="楷体_GB2312"/>
          <w:i w:val="0"/>
          <w:caps w:val="0"/>
          <w:color w:val="auto"/>
          <w:spacing w:val="0"/>
          <w:sz w:val="32"/>
          <w:szCs w:val="31"/>
          <w:shd w:val="clear" w:fill="FFFFFF"/>
          <w:lang w:val="en-US" w:eastAsia="zh-CN"/>
        </w:rPr>
        <w:t>方面</w:t>
      </w:r>
      <w:r>
        <w:rPr>
          <w:rFonts w:hint="eastAsia" w:ascii="楷体_GB2312" w:hAnsi="楷体_GB2312" w:eastAsia="楷体_GB2312" w:cs="楷体_GB2312"/>
          <w:i w:val="0"/>
          <w:caps w:val="0"/>
          <w:color w:val="auto"/>
          <w:spacing w:val="0"/>
          <w:sz w:val="32"/>
          <w:szCs w:val="31"/>
          <w:shd w:val="clear" w:fill="FFFFFF"/>
        </w:rPr>
        <w:t>    </w:t>
      </w:r>
      <w:r>
        <w:rPr>
          <w:rFonts w:hint="eastAsia" w:ascii="仿宋_GB2312" w:eastAsia="仿宋_GB2312" w:cs="仿宋_GB2312"/>
          <w:i w:val="0"/>
          <w:caps w:val="0"/>
          <w:color w:val="auto"/>
          <w:spacing w:val="0"/>
          <w:sz w:val="32"/>
          <w:szCs w:val="31"/>
          <w:shd w:val="clear" w:fill="FFFFFF"/>
        </w:rPr>
        <w:t>                          </w:t>
      </w:r>
    </w:p>
    <w:p w14:paraId="6DE4B8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ascii="仿宋_GB2312" w:eastAsia="仿宋_GB2312" w:cs="仿宋_GB2312"/>
          <w:i w:val="0"/>
          <w:caps w:val="0"/>
          <w:color w:val="auto"/>
          <w:spacing w:val="0"/>
          <w:sz w:val="32"/>
          <w:szCs w:val="31"/>
        </w:rPr>
      </w:pPr>
      <w:r>
        <w:rPr>
          <w:rFonts w:hint="eastAsia" w:ascii="仿宋_GB2312" w:eastAsia="仿宋_GB2312" w:cs="仿宋_GB2312"/>
          <w:i w:val="0"/>
          <w:caps w:val="0"/>
          <w:color w:val="auto"/>
          <w:spacing w:val="0"/>
          <w:sz w:val="32"/>
          <w:szCs w:val="31"/>
          <w:shd w:val="clear" w:fill="FFFFFF"/>
        </w:rPr>
        <w:t>本年度内，我局通过山亭区政府门户网站主动公开政府信息共</w:t>
      </w:r>
      <w:r>
        <w:rPr>
          <w:rFonts w:hint="eastAsia" w:ascii="仿宋_GB2312" w:cs="仿宋_GB2312"/>
          <w:i w:val="0"/>
          <w:caps w:val="0"/>
          <w:color w:val="auto"/>
          <w:spacing w:val="0"/>
          <w:sz w:val="32"/>
          <w:szCs w:val="31"/>
          <w:shd w:val="clear" w:fill="FFFFFF"/>
          <w:lang w:val="en-US" w:eastAsia="zh-CN"/>
        </w:rPr>
        <w:t>12</w:t>
      </w:r>
      <w:r>
        <w:rPr>
          <w:rFonts w:hint="eastAsia" w:ascii="仿宋_GB2312" w:eastAsia="仿宋_GB2312" w:cs="仿宋_GB2312"/>
          <w:i w:val="0"/>
          <w:caps w:val="0"/>
          <w:color w:val="auto"/>
          <w:spacing w:val="0"/>
          <w:sz w:val="32"/>
          <w:szCs w:val="31"/>
          <w:shd w:val="clear" w:fill="FFFFFF"/>
        </w:rPr>
        <w:t>条。历年累计公开</w:t>
      </w:r>
      <w:r>
        <w:rPr>
          <w:rFonts w:hint="eastAsia" w:ascii="仿宋_GB2312" w:cs="仿宋_GB2312"/>
          <w:i w:val="0"/>
          <w:caps w:val="0"/>
          <w:color w:val="auto"/>
          <w:spacing w:val="0"/>
          <w:sz w:val="32"/>
          <w:szCs w:val="31"/>
          <w:shd w:val="clear" w:fill="FFFFFF"/>
          <w:lang w:val="en-US" w:eastAsia="zh-CN"/>
        </w:rPr>
        <w:t>91</w:t>
      </w:r>
      <w:r>
        <w:rPr>
          <w:rFonts w:hint="eastAsia" w:ascii="仿宋_GB2312" w:eastAsia="仿宋_GB2312" w:cs="仿宋_GB2312"/>
          <w:i w:val="0"/>
          <w:caps w:val="0"/>
          <w:color w:val="auto"/>
          <w:spacing w:val="0"/>
          <w:sz w:val="32"/>
          <w:szCs w:val="31"/>
          <w:shd w:val="clear" w:fill="FFFFFF"/>
        </w:rPr>
        <w:t>条。主动公开政府信息的类别有：机构职能类、行政权力运行类、其他应主动公开的信息。</w:t>
      </w:r>
    </w:p>
    <w:p w14:paraId="2BD05F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hint="eastAsia" w:ascii="楷体_GB2312" w:hAnsi="楷体_GB2312" w:eastAsia="楷体_GB2312" w:cs="楷体_GB2312"/>
          <w:i w:val="0"/>
          <w:caps w:val="0"/>
          <w:color w:val="auto"/>
          <w:spacing w:val="0"/>
          <w:sz w:val="32"/>
          <w:szCs w:val="31"/>
          <w:shd w:val="clear" w:fill="FFFFFF"/>
          <w:lang w:val="en-US" w:eastAsia="zh-CN"/>
        </w:rPr>
      </w:pPr>
      <w:r>
        <w:rPr>
          <w:rFonts w:hint="eastAsia" w:ascii="楷体_GB2312" w:hAnsi="楷体_GB2312" w:eastAsia="楷体_GB2312" w:cs="楷体_GB2312"/>
          <w:i w:val="0"/>
          <w:caps w:val="0"/>
          <w:color w:val="auto"/>
          <w:spacing w:val="0"/>
          <w:sz w:val="32"/>
          <w:szCs w:val="31"/>
          <w:shd w:val="clear" w:fill="FFFFFF"/>
        </w:rPr>
        <w:t>2.依申请公开</w:t>
      </w:r>
      <w:r>
        <w:rPr>
          <w:rFonts w:hint="eastAsia" w:ascii="楷体_GB2312" w:hAnsi="楷体_GB2312" w:eastAsia="楷体_GB2312" w:cs="楷体_GB2312"/>
          <w:i w:val="0"/>
          <w:caps w:val="0"/>
          <w:color w:val="auto"/>
          <w:spacing w:val="0"/>
          <w:sz w:val="32"/>
          <w:szCs w:val="31"/>
          <w:shd w:val="clear" w:fill="FFFFFF"/>
          <w:lang w:val="en-US" w:eastAsia="zh-CN"/>
        </w:rPr>
        <w:t>方面</w:t>
      </w:r>
    </w:p>
    <w:p w14:paraId="7DD70B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hint="eastAsia" w:ascii="仿宋_GB2312" w:eastAsia="仿宋_GB2312" w:cs="仿宋_GB2312"/>
          <w:i w:val="0"/>
          <w:caps w:val="0"/>
          <w:color w:val="auto"/>
          <w:spacing w:val="0"/>
          <w:sz w:val="32"/>
          <w:szCs w:val="31"/>
        </w:rPr>
      </w:pPr>
      <w:r>
        <w:rPr>
          <w:rFonts w:hint="eastAsia" w:ascii="仿宋_GB2312" w:eastAsia="仿宋_GB2312" w:cs="仿宋_GB2312"/>
          <w:i w:val="0"/>
          <w:caps w:val="0"/>
          <w:color w:val="auto"/>
          <w:spacing w:val="0"/>
          <w:sz w:val="32"/>
          <w:szCs w:val="31"/>
          <w:shd w:val="clear" w:fill="FFFFFF"/>
        </w:rPr>
        <w:t>202</w:t>
      </w:r>
      <w:r>
        <w:rPr>
          <w:rFonts w:hint="eastAsia" w:ascii="仿宋_GB2312" w:cs="仿宋_GB2312"/>
          <w:i w:val="0"/>
          <w:caps w:val="0"/>
          <w:color w:val="auto"/>
          <w:spacing w:val="0"/>
          <w:sz w:val="32"/>
          <w:szCs w:val="31"/>
          <w:shd w:val="clear" w:fill="FFFFFF"/>
          <w:lang w:val="en-US" w:eastAsia="zh-CN"/>
        </w:rPr>
        <w:t>4</w:t>
      </w:r>
      <w:r>
        <w:rPr>
          <w:rFonts w:hint="eastAsia" w:ascii="仿宋_GB2312" w:eastAsia="仿宋_GB2312" w:cs="仿宋_GB2312"/>
          <w:i w:val="0"/>
          <w:caps w:val="0"/>
          <w:color w:val="auto"/>
          <w:spacing w:val="0"/>
          <w:sz w:val="32"/>
          <w:szCs w:val="31"/>
          <w:shd w:val="clear" w:fill="FFFFFF"/>
        </w:rPr>
        <w:t>年，我局收到依申请公开申请数为0件。202</w:t>
      </w:r>
      <w:r>
        <w:rPr>
          <w:rFonts w:hint="eastAsia" w:ascii="仿宋_GB2312" w:cs="仿宋_GB2312"/>
          <w:i w:val="0"/>
          <w:caps w:val="0"/>
          <w:color w:val="auto"/>
          <w:spacing w:val="0"/>
          <w:sz w:val="32"/>
          <w:szCs w:val="31"/>
          <w:shd w:val="clear" w:fill="FFFFFF"/>
          <w:lang w:val="en-US" w:eastAsia="zh-CN"/>
        </w:rPr>
        <w:t>4</w:t>
      </w:r>
      <w:r>
        <w:rPr>
          <w:rFonts w:hint="eastAsia" w:ascii="仿宋_GB2312" w:eastAsia="仿宋_GB2312" w:cs="仿宋_GB2312"/>
          <w:i w:val="0"/>
          <w:caps w:val="0"/>
          <w:color w:val="auto"/>
          <w:spacing w:val="0"/>
          <w:sz w:val="32"/>
          <w:szCs w:val="31"/>
          <w:shd w:val="clear" w:fill="FFFFFF"/>
        </w:rPr>
        <w:t>年，我局未发生依申请公开政府信息不予公开的问题。</w:t>
      </w:r>
    </w:p>
    <w:p w14:paraId="62E94C8E">
      <w:pPr>
        <w:pStyle w:val="7"/>
        <w:keepNext w:val="0"/>
        <w:keepLines w:val="0"/>
        <w:pageBreakBefore w:val="0"/>
        <w:kinsoku/>
        <w:wordWrap/>
        <w:overflowPunct/>
        <w:topLinePunct w:val="0"/>
        <w:autoSpaceDE/>
        <w:autoSpaceDN/>
        <w:bidi w:val="0"/>
        <w:adjustRightInd/>
        <w:spacing w:beforeAutospacing="0" w:afterAutospacing="0" w:line="560" w:lineRule="exact"/>
        <w:ind w:leftChars="0"/>
        <w:textAlignment w:val="auto"/>
        <w:rPr>
          <w:rFonts w:hint="eastAsia" w:ascii="楷体_GB2312" w:hAnsi="楷体_GB2312" w:eastAsia="楷体_GB2312" w:cs="楷体_GB2312"/>
          <w:b w:val="0"/>
          <w:bCs w:val="0"/>
          <w:color w:val="auto"/>
          <w:kern w:val="0"/>
          <w:sz w:val="32"/>
          <w:szCs w:val="32"/>
          <w:lang w:val="en-US" w:eastAsia="zh-CN" w:bidi="ar"/>
        </w:rPr>
      </w:pPr>
      <w:r>
        <w:rPr>
          <w:rFonts w:hint="eastAsia" w:ascii="楷体_GB2312" w:hAnsi="楷体_GB2312" w:eastAsia="楷体_GB2312" w:cs="楷体_GB2312"/>
          <w:b w:val="0"/>
          <w:bCs w:val="0"/>
          <w:i w:val="0"/>
          <w:caps w:val="0"/>
          <w:color w:val="auto"/>
          <w:spacing w:val="0"/>
          <w:sz w:val="32"/>
          <w:szCs w:val="31"/>
          <w:shd w:val="clear" w:fill="FFFFFF"/>
        </w:rPr>
        <w:t>3.</w:t>
      </w:r>
      <w:r>
        <w:rPr>
          <w:rFonts w:hint="eastAsia" w:ascii="楷体_GB2312" w:hAnsi="楷体_GB2312" w:eastAsia="楷体_GB2312" w:cs="楷体_GB2312"/>
          <w:b w:val="0"/>
          <w:bCs w:val="0"/>
          <w:color w:val="auto"/>
          <w:sz w:val="32"/>
          <w:szCs w:val="32"/>
        </w:rPr>
        <w:t>政府信息管理</w:t>
      </w:r>
      <w:r>
        <w:rPr>
          <w:rFonts w:hint="eastAsia" w:ascii="楷体_GB2312" w:hAnsi="楷体_GB2312" w:eastAsia="楷体_GB2312" w:cs="楷体_GB2312"/>
          <w:b w:val="0"/>
          <w:bCs w:val="0"/>
          <w:color w:val="auto"/>
          <w:sz w:val="32"/>
          <w:szCs w:val="32"/>
          <w:lang w:val="en-US" w:eastAsia="zh-CN"/>
        </w:rPr>
        <w:t>方面。</w:t>
      </w:r>
    </w:p>
    <w:p w14:paraId="225614B7">
      <w:pPr>
        <w:keepNext w:val="0"/>
        <w:keepLines w:val="0"/>
        <w:pageBreakBefore w:val="0"/>
        <w:widowControl/>
        <w:suppressLineNumbers w:val="0"/>
        <w:kinsoku/>
        <w:wordWrap/>
        <w:overflowPunct/>
        <w:topLinePunct w:val="0"/>
        <w:autoSpaceDE/>
        <w:autoSpaceDN/>
        <w:bidi w:val="0"/>
        <w:adjustRightInd/>
        <w:spacing w:beforeAutospacing="0" w:afterAutospacing="0" w:line="560" w:lineRule="exact"/>
        <w:ind w:leftChars="0"/>
        <w:jc w:val="left"/>
        <w:textAlignment w:val="auto"/>
        <w:rPr>
          <w:rFonts w:hint="eastAsia"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山亭区审计局对政务信息公开工作予以高度重视，预先规划政务公开工作的年度计划、目标、措施及具体组织实施办法，将其作为年度重点工作全力推进，有力确保了政府信息公开工作平稳有序开展。在实际工作中，严格执行《枣庄市山亭区政府信息公开指南》，循序渐进地细化并规范本部门在信息公开领域的日常工作流程。按时公开公文法规、人事任免、工作动态等各类信息，持续提高政府网站服务群众的能力与水平，为公众获取信息、了解政府工作提供了有力支持 。</w:t>
      </w:r>
    </w:p>
    <w:p w14:paraId="790896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hint="eastAsia" w:ascii="楷体_GB2312" w:hAnsi="楷体_GB2312" w:eastAsia="楷体_GB2312" w:cs="楷体_GB2312"/>
          <w:i w:val="0"/>
          <w:caps w:val="0"/>
          <w:color w:val="auto"/>
          <w:spacing w:val="0"/>
          <w:sz w:val="32"/>
          <w:szCs w:val="31"/>
          <w:lang w:eastAsia="zh-CN"/>
        </w:rPr>
      </w:pPr>
      <w:r>
        <w:rPr>
          <w:rFonts w:hint="eastAsia" w:ascii="楷体_GB2312" w:hAnsi="楷体_GB2312" w:eastAsia="楷体_GB2312" w:cs="楷体_GB2312"/>
          <w:i w:val="0"/>
          <w:caps w:val="0"/>
          <w:color w:val="auto"/>
          <w:spacing w:val="0"/>
          <w:sz w:val="32"/>
          <w:szCs w:val="31"/>
          <w:shd w:val="clear" w:fill="FFFFFF"/>
        </w:rPr>
        <w:t>4.平台建设</w:t>
      </w:r>
      <w:r>
        <w:rPr>
          <w:rFonts w:hint="eastAsia" w:ascii="楷体_GB2312" w:hAnsi="楷体_GB2312" w:eastAsia="楷体_GB2312" w:cs="楷体_GB2312"/>
          <w:i w:val="0"/>
          <w:caps w:val="0"/>
          <w:color w:val="auto"/>
          <w:spacing w:val="0"/>
          <w:sz w:val="32"/>
          <w:szCs w:val="31"/>
          <w:shd w:val="clear" w:fill="FFFFFF"/>
          <w:lang w:val="en-US" w:eastAsia="zh-CN"/>
        </w:rPr>
        <w:t>方面。</w:t>
      </w:r>
    </w:p>
    <w:p w14:paraId="4C1942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ascii="仿宋_GB2312" w:hAnsi="宋体" w:eastAsia="仿宋_GB2312" w:cs="仿宋_GB2312"/>
          <w:i w:val="0"/>
          <w:caps w:val="0"/>
          <w:color w:val="auto"/>
          <w:spacing w:val="0"/>
          <w:sz w:val="31"/>
          <w:szCs w:val="31"/>
          <w:shd w:val="clear" w:fill="FFFFFF"/>
        </w:rPr>
      </w:pPr>
      <w:r>
        <w:rPr>
          <w:rFonts w:hint="eastAsia" w:ascii="仿宋_GB2312" w:eastAsia="仿宋_GB2312" w:cs="仿宋_GB2312"/>
          <w:i w:val="0"/>
          <w:caps w:val="0"/>
          <w:color w:val="auto"/>
          <w:spacing w:val="0"/>
          <w:sz w:val="32"/>
          <w:szCs w:val="31"/>
          <w:shd w:val="clear" w:fill="FFFFFF"/>
        </w:rPr>
        <w:t>按照全区统一规定和年度工作重点，规范栏目设置，明确专人负责门户网站和政务公开平台管理，</w:t>
      </w:r>
      <w:r>
        <w:rPr>
          <w:rFonts w:ascii="仿宋_GB2312" w:hAnsi="宋体" w:eastAsia="仿宋_GB2312" w:cs="仿宋_GB2312"/>
          <w:i w:val="0"/>
          <w:caps w:val="0"/>
          <w:color w:val="auto"/>
          <w:spacing w:val="0"/>
          <w:sz w:val="31"/>
          <w:szCs w:val="31"/>
          <w:shd w:val="clear" w:fill="FFFFFF"/>
        </w:rPr>
        <w:t>坚持“公开为常态、不公开为例外”的原则，全面梳理政务公开事项，完善公开要素，规范公开流程，202</w:t>
      </w:r>
      <w:r>
        <w:rPr>
          <w:rFonts w:hint="eastAsia" w:ascii="仿宋_GB2312" w:hAnsi="宋体" w:cs="仿宋_GB2312"/>
          <w:i w:val="0"/>
          <w:caps w:val="0"/>
          <w:color w:val="auto"/>
          <w:spacing w:val="0"/>
          <w:sz w:val="31"/>
          <w:szCs w:val="31"/>
          <w:shd w:val="clear" w:fill="FFFFFF"/>
          <w:lang w:val="en-US" w:eastAsia="zh-CN"/>
        </w:rPr>
        <w:t>4</w:t>
      </w:r>
      <w:r>
        <w:rPr>
          <w:rFonts w:ascii="仿宋_GB2312" w:hAnsi="宋体" w:eastAsia="仿宋_GB2312" w:cs="仿宋_GB2312"/>
          <w:i w:val="0"/>
          <w:caps w:val="0"/>
          <w:color w:val="auto"/>
          <w:spacing w:val="0"/>
          <w:sz w:val="31"/>
          <w:szCs w:val="31"/>
          <w:shd w:val="clear" w:fill="FFFFFF"/>
        </w:rPr>
        <w:t>年，主动及时在区政府网站“政府信息公开”栏目公开信息</w:t>
      </w:r>
      <w:r>
        <w:rPr>
          <w:rFonts w:hint="eastAsia" w:ascii="仿宋_GB2312" w:hAnsi="宋体" w:cs="仿宋_GB2312"/>
          <w:i w:val="0"/>
          <w:caps w:val="0"/>
          <w:color w:val="auto"/>
          <w:spacing w:val="0"/>
          <w:sz w:val="31"/>
          <w:szCs w:val="31"/>
          <w:shd w:val="clear" w:fill="FFFFFF"/>
          <w:lang w:val="en-US" w:eastAsia="zh-CN"/>
        </w:rPr>
        <w:t>12</w:t>
      </w:r>
      <w:r>
        <w:rPr>
          <w:rFonts w:ascii="仿宋_GB2312" w:hAnsi="宋体" w:eastAsia="仿宋_GB2312" w:cs="仿宋_GB2312"/>
          <w:i w:val="0"/>
          <w:caps w:val="0"/>
          <w:color w:val="auto"/>
          <w:spacing w:val="0"/>
          <w:sz w:val="31"/>
          <w:szCs w:val="31"/>
          <w:shd w:val="clear" w:fill="FFFFFF"/>
        </w:rPr>
        <w:t>条。按照“即时、每周、每月、季度、半年、年度”等时限要求做好政务公开专区日常维护更新，确保公开质效。</w:t>
      </w:r>
    </w:p>
    <w:p w14:paraId="3E861C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i w:val="0"/>
          <w:caps w:val="0"/>
          <w:color w:val="auto"/>
          <w:spacing w:val="0"/>
          <w:sz w:val="32"/>
          <w:szCs w:val="31"/>
          <w:shd w:val="clear" w:fill="FFFFFF"/>
        </w:rPr>
        <w:t>5.</w:t>
      </w:r>
      <w:r>
        <w:rPr>
          <w:rFonts w:hint="eastAsia" w:ascii="楷体_GB2312" w:hAnsi="楷体_GB2312" w:eastAsia="楷体_GB2312" w:cs="楷体_GB2312"/>
          <w:b w:val="0"/>
          <w:bCs w:val="0"/>
          <w:color w:val="auto"/>
          <w:sz w:val="32"/>
          <w:szCs w:val="32"/>
        </w:rPr>
        <w:t>监督保障</w:t>
      </w:r>
      <w:r>
        <w:rPr>
          <w:rFonts w:hint="eastAsia" w:ascii="楷体_GB2312" w:hAnsi="楷体_GB2312" w:eastAsia="楷体_GB2312" w:cs="楷体_GB2312"/>
          <w:b w:val="0"/>
          <w:bCs w:val="0"/>
          <w:color w:val="auto"/>
          <w:sz w:val="32"/>
          <w:szCs w:val="32"/>
          <w:lang w:val="en-US" w:eastAsia="zh-CN"/>
        </w:rPr>
        <w:t>方面。</w:t>
      </w:r>
    </w:p>
    <w:p w14:paraId="41C82B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leftChars="0" w:right="0" w:firstLine="420"/>
        <w:jc w:val="both"/>
        <w:textAlignment w:val="auto"/>
        <w:rPr>
          <w:rFonts w:hint="eastAsia" w:ascii="仿宋_GB2312" w:hAnsi="仿宋_GB2312" w:eastAsia="仿宋_GB2312" w:cs="仿宋_GB2312"/>
          <w:color w:val="auto"/>
          <w:kern w:val="0"/>
          <w:sz w:val="32"/>
          <w:szCs w:val="32"/>
          <w:lang w:val="en-US" w:eastAsia="zh-CN" w:bidi="ar"/>
        </w:rPr>
      </w:pPr>
      <w:r>
        <w:rPr>
          <w:rFonts w:ascii="仿宋_GB2312" w:hAnsi="宋体" w:eastAsia="仿宋_GB2312" w:cs="仿宋_GB2312"/>
          <w:i w:val="0"/>
          <w:caps w:val="0"/>
          <w:color w:val="auto"/>
          <w:spacing w:val="0"/>
          <w:sz w:val="31"/>
          <w:szCs w:val="31"/>
          <w:shd w:val="clear" w:fill="FFFFFF"/>
        </w:rPr>
        <w:t>一是202</w:t>
      </w:r>
      <w:r>
        <w:rPr>
          <w:rFonts w:hint="eastAsia" w:ascii="仿宋_GB2312" w:hAnsi="宋体" w:cs="仿宋_GB2312"/>
          <w:i w:val="0"/>
          <w:caps w:val="0"/>
          <w:color w:val="auto"/>
          <w:spacing w:val="0"/>
          <w:sz w:val="31"/>
          <w:szCs w:val="31"/>
          <w:shd w:val="clear" w:fill="FFFFFF"/>
          <w:lang w:val="en-US" w:eastAsia="zh-CN"/>
        </w:rPr>
        <w:t>4</w:t>
      </w:r>
      <w:r>
        <w:rPr>
          <w:rFonts w:ascii="仿宋_GB2312" w:hAnsi="宋体" w:eastAsia="仿宋_GB2312" w:cs="仿宋_GB2312"/>
          <w:i w:val="0"/>
          <w:caps w:val="0"/>
          <w:color w:val="auto"/>
          <w:spacing w:val="0"/>
          <w:sz w:val="31"/>
          <w:szCs w:val="31"/>
          <w:shd w:val="clear" w:fill="FFFFFF"/>
        </w:rPr>
        <w:t>年山亭区政务公开要点全面落实；二是积极组织工作人员召开政务公开部署会议，提升政务公开工作质量；三是积极接受社会监督，未收到意见建议。</w:t>
      </w:r>
    </w:p>
    <w:p w14:paraId="3D834901">
      <w:pPr>
        <w:spacing w:beforeLines="0" w:afterLines="0"/>
        <w:ind w:firstLine="640" w:firstLineChars="200"/>
        <w:rPr>
          <w:rFonts w:hint="eastAsia" w:ascii="黑体" w:hAnsi="黑体" w:eastAsia="黑体" w:cs="黑体"/>
          <w:b w:val="0"/>
          <w:bCs/>
          <w:color w:val="auto"/>
          <w:sz w:val="44"/>
        </w:rPr>
      </w:pPr>
      <w:r>
        <w:rPr>
          <w:rFonts w:hint="eastAsia" w:ascii="黑体" w:hAnsi="黑体" w:eastAsia="黑体" w:cs="黑体"/>
          <w:b w:val="0"/>
          <w:bCs/>
          <w:color w:val="auto"/>
          <w:sz w:val="32"/>
        </w:rPr>
        <w:t>二、主动公开政府信息情况</w:t>
      </w:r>
    </w:p>
    <w:tbl>
      <w:tblPr>
        <w:tblStyle w:val="9"/>
        <w:tblW w:w="88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6"/>
        <w:gridCol w:w="2206"/>
        <w:gridCol w:w="2206"/>
        <w:gridCol w:w="2206"/>
      </w:tblGrid>
      <w:tr w14:paraId="6339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14:paraId="5CE06A82">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第二十条第（一）项</w:t>
            </w:r>
          </w:p>
        </w:tc>
      </w:tr>
      <w:tr w14:paraId="4299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5F95941C">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信息内容</w:t>
            </w:r>
          </w:p>
        </w:tc>
        <w:tc>
          <w:tcPr>
            <w:tcW w:w="2206" w:type="dxa"/>
            <w:tcBorders>
              <w:top w:val="nil"/>
              <w:left w:val="nil"/>
              <w:bottom w:val="single" w:color="auto" w:sz="8" w:space="0"/>
              <w:right w:val="single" w:color="auto" w:sz="8" w:space="0"/>
              <w:tl2br w:val="nil"/>
              <w:tr2bl w:val="nil"/>
            </w:tcBorders>
            <w:noWrap w:val="0"/>
            <w:vAlign w:val="center"/>
          </w:tcPr>
          <w:p w14:paraId="69F8082B">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本年制发件数</w:t>
            </w:r>
          </w:p>
        </w:tc>
        <w:tc>
          <w:tcPr>
            <w:tcW w:w="2206" w:type="dxa"/>
            <w:tcBorders>
              <w:top w:val="nil"/>
              <w:left w:val="nil"/>
              <w:bottom w:val="single" w:color="auto" w:sz="8" w:space="0"/>
              <w:right w:val="single" w:color="auto" w:sz="8" w:space="0"/>
              <w:tl2br w:val="nil"/>
              <w:tr2bl w:val="nil"/>
            </w:tcBorders>
            <w:noWrap w:val="0"/>
            <w:vAlign w:val="center"/>
          </w:tcPr>
          <w:p w14:paraId="213FDCD8">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本年废止件数</w:t>
            </w:r>
          </w:p>
        </w:tc>
        <w:tc>
          <w:tcPr>
            <w:tcW w:w="2206" w:type="dxa"/>
            <w:tcBorders>
              <w:top w:val="nil"/>
              <w:left w:val="nil"/>
              <w:bottom w:val="single" w:color="auto" w:sz="8" w:space="0"/>
              <w:right w:val="single" w:color="auto" w:sz="8" w:space="0"/>
              <w:tl2br w:val="nil"/>
              <w:tr2bl w:val="nil"/>
            </w:tcBorders>
            <w:noWrap w:val="0"/>
            <w:vAlign w:val="center"/>
          </w:tcPr>
          <w:p w14:paraId="12D2120A">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现行有效件数</w:t>
            </w:r>
          </w:p>
        </w:tc>
      </w:tr>
      <w:tr w14:paraId="4986B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68F687C0">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规章</w:t>
            </w:r>
          </w:p>
        </w:tc>
        <w:tc>
          <w:tcPr>
            <w:tcW w:w="2206" w:type="dxa"/>
            <w:tcBorders>
              <w:top w:val="nil"/>
              <w:left w:val="nil"/>
              <w:bottom w:val="single" w:color="auto" w:sz="8" w:space="0"/>
              <w:right w:val="single" w:color="auto" w:sz="8" w:space="0"/>
              <w:tl2br w:val="nil"/>
              <w:tr2bl w:val="nil"/>
            </w:tcBorders>
            <w:noWrap w:val="0"/>
            <w:vAlign w:val="center"/>
          </w:tcPr>
          <w:p w14:paraId="64117F43">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lang w:val="en-US" w:eastAsia="zh-CN"/>
              </w:rPr>
            </w:pPr>
            <w:r>
              <w:rPr>
                <w:rFonts w:hint="eastAsia" w:ascii="仿宋_GB2312" w:hAnsi="宋体"/>
                <w:color w:val="auto"/>
                <w:kern w:val="0"/>
                <w:sz w:val="21"/>
                <w:lang w:val="en-US" w:eastAsia="zh-CN"/>
              </w:rPr>
              <w:t>0</w:t>
            </w:r>
          </w:p>
        </w:tc>
        <w:tc>
          <w:tcPr>
            <w:tcW w:w="2206" w:type="dxa"/>
            <w:tcBorders>
              <w:top w:val="nil"/>
              <w:left w:val="nil"/>
              <w:bottom w:val="single" w:color="auto" w:sz="8" w:space="0"/>
              <w:right w:val="single" w:color="auto" w:sz="8" w:space="0"/>
              <w:tl2br w:val="nil"/>
              <w:tr2bl w:val="nil"/>
            </w:tcBorders>
            <w:noWrap w:val="0"/>
            <w:vAlign w:val="center"/>
          </w:tcPr>
          <w:p w14:paraId="217AA804">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lang w:val="en-US" w:eastAsia="zh-CN"/>
              </w:rPr>
            </w:pPr>
            <w:r>
              <w:rPr>
                <w:rFonts w:hint="eastAsia" w:ascii="仿宋_GB2312" w:hAnsi="宋体"/>
                <w:color w:val="auto"/>
                <w:kern w:val="0"/>
                <w:sz w:val="21"/>
                <w:lang w:val="en-US" w:eastAsia="zh-CN"/>
              </w:rPr>
              <w:t>0</w:t>
            </w:r>
          </w:p>
        </w:tc>
        <w:tc>
          <w:tcPr>
            <w:tcW w:w="2206" w:type="dxa"/>
            <w:tcBorders>
              <w:top w:val="nil"/>
              <w:left w:val="nil"/>
              <w:bottom w:val="single" w:color="auto" w:sz="8" w:space="0"/>
              <w:right w:val="single" w:color="auto" w:sz="8" w:space="0"/>
              <w:tl2br w:val="nil"/>
              <w:tr2bl w:val="nil"/>
            </w:tcBorders>
            <w:noWrap w:val="0"/>
            <w:vAlign w:val="center"/>
          </w:tcPr>
          <w:p w14:paraId="1CDD053C">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eastAsia="仿宋_GB2312"/>
                <w:color w:val="auto"/>
                <w:kern w:val="0"/>
                <w:sz w:val="21"/>
                <w:lang w:val="en-US" w:eastAsia="zh-CN"/>
              </w:rPr>
            </w:pPr>
            <w:r>
              <w:rPr>
                <w:rFonts w:hint="eastAsia" w:ascii="仿宋_GB2312"/>
                <w:color w:val="auto"/>
                <w:kern w:val="0"/>
                <w:sz w:val="21"/>
                <w:lang w:val="en-US" w:eastAsia="zh-CN"/>
              </w:rPr>
              <w:t>0</w:t>
            </w:r>
          </w:p>
        </w:tc>
      </w:tr>
      <w:tr w14:paraId="15F0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44165550">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行政规范性文件</w:t>
            </w:r>
          </w:p>
        </w:tc>
        <w:tc>
          <w:tcPr>
            <w:tcW w:w="2206" w:type="dxa"/>
            <w:tcBorders>
              <w:top w:val="nil"/>
              <w:left w:val="nil"/>
              <w:bottom w:val="single" w:color="auto" w:sz="8" w:space="0"/>
              <w:right w:val="single" w:color="auto" w:sz="8" w:space="0"/>
              <w:tl2br w:val="nil"/>
              <w:tr2bl w:val="nil"/>
            </w:tcBorders>
            <w:noWrap w:val="0"/>
            <w:vAlign w:val="center"/>
          </w:tcPr>
          <w:p w14:paraId="5ABD2B84">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lang w:val="en-US" w:eastAsia="zh-CN"/>
              </w:rPr>
            </w:pPr>
            <w:r>
              <w:rPr>
                <w:rFonts w:hint="eastAsia" w:ascii="仿宋_GB2312" w:hAnsi="宋体"/>
                <w:color w:val="auto"/>
                <w:kern w:val="0"/>
                <w:sz w:val="21"/>
                <w:lang w:val="en-US" w:eastAsia="zh-CN"/>
              </w:rPr>
              <w:t>0</w:t>
            </w:r>
          </w:p>
        </w:tc>
        <w:tc>
          <w:tcPr>
            <w:tcW w:w="2206" w:type="dxa"/>
            <w:tcBorders>
              <w:top w:val="nil"/>
              <w:left w:val="nil"/>
              <w:bottom w:val="single" w:color="auto" w:sz="8" w:space="0"/>
              <w:right w:val="single" w:color="auto" w:sz="8" w:space="0"/>
              <w:tl2br w:val="nil"/>
              <w:tr2bl w:val="nil"/>
            </w:tcBorders>
            <w:noWrap w:val="0"/>
            <w:vAlign w:val="center"/>
          </w:tcPr>
          <w:p w14:paraId="7FBA5228">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lang w:val="en-US" w:eastAsia="zh-CN"/>
              </w:rPr>
            </w:pPr>
            <w:r>
              <w:rPr>
                <w:rFonts w:hint="eastAsia" w:ascii="仿宋_GB2312" w:hAnsi="宋体"/>
                <w:color w:val="auto"/>
                <w:kern w:val="0"/>
                <w:sz w:val="21"/>
                <w:lang w:val="en-US" w:eastAsia="zh-CN"/>
              </w:rPr>
              <w:t>0</w:t>
            </w:r>
          </w:p>
        </w:tc>
        <w:tc>
          <w:tcPr>
            <w:tcW w:w="2206" w:type="dxa"/>
            <w:tcBorders>
              <w:top w:val="nil"/>
              <w:left w:val="nil"/>
              <w:bottom w:val="single" w:color="auto" w:sz="8" w:space="0"/>
              <w:right w:val="single" w:color="auto" w:sz="8" w:space="0"/>
              <w:tl2br w:val="nil"/>
              <w:tr2bl w:val="nil"/>
            </w:tcBorders>
            <w:noWrap w:val="0"/>
            <w:vAlign w:val="center"/>
          </w:tcPr>
          <w:p w14:paraId="691BCF70">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eastAsia="仿宋_GB2312"/>
                <w:color w:val="auto"/>
                <w:kern w:val="0"/>
                <w:sz w:val="21"/>
                <w:lang w:val="en-US" w:eastAsia="zh-CN"/>
              </w:rPr>
            </w:pPr>
            <w:r>
              <w:rPr>
                <w:rFonts w:hint="eastAsia" w:ascii="仿宋_GB2312"/>
                <w:color w:val="auto"/>
                <w:kern w:val="0"/>
                <w:sz w:val="21"/>
                <w:lang w:val="en-US" w:eastAsia="zh-CN"/>
              </w:rPr>
              <w:t>0</w:t>
            </w:r>
          </w:p>
        </w:tc>
      </w:tr>
      <w:tr w14:paraId="3C56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14:paraId="69802056">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第二十条第（五）项</w:t>
            </w:r>
          </w:p>
        </w:tc>
      </w:tr>
      <w:tr w14:paraId="2504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41585ECB">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信息内容</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08D29271">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本年处理决定数量</w:t>
            </w:r>
          </w:p>
        </w:tc>
      </w:tr>
      <w:tr w14:paraId="421C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7970D72D">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行政许可</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5A2861E0">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eastAsia="仿宋_GB2312"/>
                <w:color w:val="auto"/>
                <w:kern w:val="0"/>
                <w:sz w:val="21"/>
                <w:lang w:eastAsia="zh-CN"/>
              </w:rPr>
            </w:pPr>
            <w:r>
              <w:rPr>
                <w:rFonts w:hint="eastAsia" w:ascii="仿宋_GB2312" w:hAnsi="宋体"/>
                <w:b w:val="0"/>
                <w:bCs w:val="0"/>
                <w:color w:val="auto"/>
                <w:kern w:val="0"/>
                <w:sz w:val="20"/>
                <w:lang w:val="en-US" w:eastAsia="zh-CN"/>
              </w:rPr>
              <w:t>0</w:t>
            </w:r>
          </w:p>
        </w:tc>
      </w:tr>
      <w:tr w14:paraId="51C5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14:paraId="2CA890BB">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第二十条第（六）项</w:t>
            </w:r>
          </w:p>
        </w:tc>
      </w:tr>
      <w:tr w14:paraId="782E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05947D05">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信息内容</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7542D3A5">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本年处理决定数量</w:t>
            </w:r>
          </w:p>
        </w:tc>
      </w:tr>
      <w:tr w14:paraId="5E83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16D67913">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行政处罚</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4919E93F">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lang w:val="en-US" w:eastAsia="zh-CN"/>
              </w:rPr>
            </w:pPr>
            <w:r>
              <w:rPr>
                <w:rFonts w:hint="eastAsia" w:ascii="仿宋_GB2312" w:hAnsi="宋体"/>
                <w:color w:val="auto"/>
                <w:kern w:val="0"/>
                <w:sz w:val="21"/>
                <w:lang w:val="en-US" w:eastAsia="zh-CN"/>
              </w:rPr>
              <w:t>0</w:t>
            </w:r>
          </w:p>
        </w:tc>
      </w:tr>
      <w:tr w14:paraId="510B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393B74FA">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行政强制</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10E01231">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lang w:val="en-US" w:eastAsia="zh-CN"/>
              </w:rPr>
            </w:pPr>
            <w:r>
              <w:rPr>
                <w:rFonts w:hint="eastAsia" w:ascii="仿宋_GB2312" w:hAnsi="宋体"/>
                <w:color w:val="auto"/>
                <w:kern w:val="0"/>
                <w:sz w:val="21"/>
                <w:lang w:val="en-US" w:eastAsia="zh-CN"/>
              </w:rPr>
              <w:t>0</w:t>
            </w:r>
          </w:p>
        </w:tc>
      </w:tr>
      <w:tr w14:paraId="4CB0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l2br w:val="nil"/>
              <w:tr2bl w:val="nil"/>
            </w:tcBorders>
            <w:shd w:val="clear" w:color="000000" w:fill="C6D9F1"/>
            <w:noWrap w:val="0"/>
            <w:vAlign w:val="center"/>
          </w:tcPr>
          <w:p w14:paraId="5AE0993C">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kern w:val="0"/>
                <w:sz w:val="21"/>
              </w:rPr>
            </w:pPr>
            <w:r>
              <w:rPr>
                <w:rFonts w:hint="eastAsia" w:ascii="黑体" w:hAnsi="黑体" w:eastAsia="黑体"/>
                <w:color w:val="auto"/>
                <w:kern w:val="0"/>
                <w:sz w:val="21"/>
              </w:rPr>
              <w:t>第二十条第（八）项</w:t>
            </w:r>
          </w:p>
        </w:tc>
      </w:tr>
      <w:tr w14:paraId="0AD9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0B65BB07">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信息内容</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31BB8E83">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本年收费金额（单位：万元）</w:t>
            </w:r>
          </w:p>
        </w:tc>
      </w:tr>
      <w:tr w14:paraId="500E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l2br w:val="nil"/>
              <w:tr2bl w:val="nil"/>
            </w:tcBorders>
            <w:noWrap w:val="0"/>
            <w:vAlign w:val="center"/>
          </w:tcPr>
          <w:p w14:paraId="0C57F808">
            <w:pPr>
              <w:keepNext w:val="0"/>
              <w:keepLines w:val="0"/>
              <w:pageBreakBefore w:val="0"/>
              <w:widowControl/>
              <w:kinsoku/>
              <w:wordWrap/>
              <w:overflowPunct/>
              <w:topLinePunct w:val="0"/>
              <w:autoSpaceDE/>
              <w:autoSpaceDN/>
              <w:bidi w:val="0"/>
              <w:adjustRightInd/>
              <w:snapToGrid/>
              <w:spacing w:beforeLines="0" w:afterLines="0"/>
              <w:ind w:firstLine="0" w:firstLineChars="0"/>
              <w:jc w:val="left"/>
              <w:textAlignment w:val="auto"/>
              <w:rPr>
                <w:rFonts w:hint="eastAsia" w:ascii="仿宋_GB2312" w:hAnsi="宋体" w:eastAsia="仿宋_GB2312"/>
                <w:color w:val="auto"/>
                <w:kern w:val="0"/>
                <w:sz w:val="21"/>
              </w:rPr>
            </w:pPr>
            <w:r>
              <w:rPr>
                <w:rFonts w:hint="eastAsia" w:ascii="仿宋_GB2312" w:hAnsi="宋体" w:eastAsia="仿宋_GB2312"/>
                <w:color w:val="auto"/>
                <w:kern w:val="0"/>
                <w:sz w:val="21"/>
              </w:rPr>
              <w:t>行政事业性收费</w:t>
            </w:r>
          </w:p>
        </w:tc>
        <w:tc>
          <w:tcPr>
            <w:tcW w:w="6618" w:type="dxa"/>
            <w:gridSpan w:val="3"/>
            <w:tcBorders>
              <w:top w:val="single" w:color="auto" w:sz="8" w:space="0"/>
              <w:left w:val="nil"/>
              <w:bottom w:val="single" w:color="auto" w:sz="8" w:space="0"/>
              <w:right w:val="single" w:color="000000" w:sz="8" w:space="0"/>
              <w:tl2br w:val="nil"/>
              <w:tr2bl w:val="nil"/>
            </w:tcBorders>
            <w:noWrap w:val="0"/>
            <w:vAlign w:val="center"/>
          </w:tcPr>
          <w:p w14:paraId="0E945B06">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eastAsia="仿宋_GB2312"/>
                <w:color w:val="auto"/>
                <w:kern w:val="0"/>
                <w:sz w:val="21"/>
                <w:lang w:val="en-US" w:eastAsia="zh-CN"/>
              </w:rPr>
            </w:pPr>
            <w:r>
              <w:rPr>
                <w:rFonts w:hint="eastAsia" w:ascii="仿宋_GB2312"/>
                <w:color w:val="auto"/>
                <w:kern w:val="0"/>
                <w:sz w:val="21"/>
                <w:lang w:val="en-US" w:eastAsia="zh-CN"/>
              </w:rPr>
              <w:t>0</w:t>
            </w:r>
          </w:p>
        </w:tc>
      </w:tr>
    </w:tbl>
    <w:p w14:paraId="7AF06F5D">
      <w:pPr>
        <w:spacing w:beforeLines="0" w:afterLines="0"/>
        <w:jc w:val="center"/>
        <w:rPr>
          <w:rFonts w:hint="eastAsia" w:ascii="仿宋_GB2312" w:eastAsia="仿宋_GB2312"/>
          <w:color w:val="auto"/>
          <w:sz w:val="32"/>
        </w:rPr>
      </w:pPr>
    </w:p>
    <w:p w14:paraId="39835574">
      <w:pPr>
        <w:spacing w:beforeLines="0" w:afterLines="0"/>
        <w:rPr>
          <w:rFonts w:hint="eastAsia" w:ascii="仿宋_GB2312" w:eastAsia="仿宋_GB2312"/>
          <w:color w:val="auto"/>
          <w:sz w:val="32"/>
        </w:rPr>
      </w:pPr>
    </w:p>
    <w:p w14:paraId="7C3C9412">
      <w:pPr>
        <w:spacing w:beforeLines="0" w:afterLines="0"/>
        <w:ind w:firstLine="640" w:firstLineChars="200"/>
        <w:rPr>
          <w:rFonts w:hint="eastAsia" w:ascii="仿宋_GB2312" w:eastAsia="仿宋_GB2312"/>
          <w:color w:val="auto"/>
          <w:sz w:val="32"/>
        </w:rPr>
        <w:sectPr>
          <w:footerReference r:id="rId5" w:type="default"/>
          <w:pgSz w:w="11906" w:h="16838"/>
          <w:pgMar w:top="1440" w:right="1474" w:bottom="1440" w:left="1588" w:header="851" w:footer="992" w:gutter="0"/>
          <w:lnNumType w:countBy="0" w:distance="360"/>
          <w:cols w:space="720" w:num="1"/>
          <w:docGrid w:type="lines" w:linePitch="312" w:charSpace="0"/>
        </w:sectPr>
      </w:pPr>
    </w:p>
    <w:p w14:paraId="3454F0B8">
      <w:pPr>
        <w:spacing w:beforeLines="0" w:afterLines="0"/>
        <w:ind w:firstLine="640" w:firstLineChars="200"/>
        <w:jc w:val="left"/>
        <w:rPr>
          <w:rFonts w:hint="eastAsia" w:ascii="黑体" w:hAnsi="黑体" w:eastAsia="黑体"/>
          <w:color w:val="auto"/>
          <w:sz w:val="32"/>
        </w:rPr>
      </w:pPr>
      <w:r>
        <w:rPr>
          <w:rFonts w:hint="eastAsia" w:ascii="黑体" w:hAnsi="黑体" w:eastAsia="黑体"/>
          <w:color w:val="auto"/>
          <w:sz w:val="32"/>
        </w:rPr>
        <w:t>三、收到和处理政府信息公开申请情况</w:t>
      </w:r>
    </w:p>
    <w:p w14:paraId="712C4D4C">
      <w:pPr>
        <w:spacing w:beforeLines="0" w:afterLines="0"/>
        <w:rPr>
          <w:rFonts w:hint="eastAsia" w:ascii="仿宋_GB2312" w:eastAsia="仿宋_GB2312"/>
          <w:color w:val="auto"/>
          <w:sz w:val="32"/>
        </w:rPr>
      </w:pP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2716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tcBorders>
              <w:top w:val="single" w:color="auto" w:sz="8"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074FB84">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楷体_GB2312" w:hAnsi="黑体" w:eastAsia="楷体_GB2312"/>
                <w:color w:val="auto"/>
                <w:kern w:val="0"/>
                <w:sz w:val="21"/>
              </w:rPr>
            </w:pPr>
            <w:r>
              <w:rPr>
                <w:rFonts w:hint="eastAsia" w:ascii="楷体_GB2312" w:hAnsi="黑体" w:eastAsia="楷体_GB2312"/>
                <w:color w:val="auto"/>
                <w:kern w:val="0"/>
                <w:sz w:val="21"/>
              </w:rPr>
              <w:t>（本列数据的</w:t>
            </w:r>
            <w:r>
              <w:rPr>
                <w:rFonts w:hint="eastAsia" w:ascii="楷体_GB2312" w:hAnsi="黑体" w:eastAsia="楷体_GB2312"/>
                <w:color w:val="auto"/>
                <w:kern w:val="0"/>
                <w:sz w:val="21"/>
                <w:lang w:eastAsia="zh-CN"/>
              </w:rPr>
              <w:t>钩稽</w:t>
            </w:r>
            <w:r>
              <w:rPr>
                <w:rFonts w:hint="eastAsia" w:ascii="楷体_GB2312" w:hAnsi="黑体" w:eastAsia="楷体_GB2312"/>
                <w:color w:val="auto"/>
                <w:kern w:val="0"/>
                <w:sz w:val="21"/>
              </w:rPr>
              <w:t>关系为：第一项加第二项之和，</w:t>
            </w:r>
          </w:p>
          <w:p w14:paraId="7F206997">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Times New Roman" w:eastAsia="仿宋_GB2312"/>
                <w:color w:val="auto"/>
                <w:sz w:val="21"/>
              </w:rPr>
            </w:pPr>
            <w:r>
              <w:rPr>
                <w:rFonts w:hint="eastAsia" w:ascii="楷体_GB2312" w:hAnsi="黑体" w:eastAsia="楷体_GB2312"/>
                <w:color w:val="auto"/>
                <w:kern w:val="0"/>
                <w:sz w:val="21"/>
              </w:rPr>
              <w:t>等于第三项加第四项之和）</w:t>
            </w:r>
          </w:p>
        </w:tc>
        <w:tc>
          <w:tcPr>
            <w:tcW w:w="4820" w:type="dxa"/>
            <w:gridSpan w:val="7"/>
            <w:tcBorders>
              <w:top w:val="single" w:color="auto" w:sz="8"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0DE3BDAC">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申请人情况</w:t>
            </w:r>
          </w:p>
        </w:tc>
      </w:tr>
      <w:tr w14:paraId="594BB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47C59445">
            <w:pPr>
              <w:keepNext w:val="0"/>
              <w:keepLines w:val="0"/>
              <w:pageBreakBefore w:val="0"/>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Times New Roman" w:eastAsia="仿宋_GB2312"/>
                <w:color w:val="auto"/>
                <w:sz w:val="21"/>
              </w:rPr>
            </w:pPr>
          </w:p>
        </w:tc>
        <w:tc>
          <w:tcPr>
            <w:tcW w:w="829"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51FF06B">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自然人</w:t>
            </w:r>
          </w:p>
        </w:tc>
        <w:tc>
          <w:tcPr>
            <w:tcW w:w="3140" w:type="dxa"/>
            <w:gridSpan w:val="5"/>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0847557">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法人或其他组织</w:t>
            </w:r>
          </w:p>
        </w:tc>
        <w:tc>
          <w:tcPr>
            <w:tcW w:w="851" w:type="dxa"/>
            <w:vMerge w:val="restart"/>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52B1F5A4">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总计</w:t>
            </w:r>
          </w:p>
        </w:tc>
      </w:tr>
      <w:tr w14:paraId="5FD65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46A93F5">
            <w:pPr>
              <w:keepNext w:val="0"/>
              <w:keepLines w:val="0"/>
              <w:pageBreakBefore w:val="0"/>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Times New Roman" w:eastAsia="仿宋_GB2312"/>
                <w:color w:val="auto"/>
                <w:sz w:val="21"/>
              </w:rPr>
            </w:pPr>
          </w:p>
        </w:tc>
        <w:tc>
          <w:tcPr>
            <w:tcW w:w="829"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9F2E13B">
            <w:pPr>
              <w:keepNext w:val="0"/>
              <w:keepLines w:val="0"/>
              <w:pageBreakBefore w:val="0"/>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95472CB">
            <w:pPr>
              <w:keepNext w:val="0"/>
              <w:keepLines w:val="0"/>
              <w:pageBreakBefore w:val="0"/>
              <w:widowControl/>
              <w:kinsoku/>
              <w:wordWrap/>
              <w:overflowPunct/>
              <w:topLinePunct w:val="0"/>
              <w:autoSpaceDE/>
              <w:autoSpaceDN/>
              <w:bidi w:val="0"/>
              <w:adjustRightInd/>
              <w:snapToGrid/>
              <w:spacing w:beforeLines="0" w:afterLines="0" w:line="320" w:lineRule="exact"/>
              <w:ind w:left="-163" w:leftChars="-51" w:right="-163" w:rightChars="-51"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商业企业</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E3FD969">
            <w:pPr>
              <w:keepNext w:val="0"/>
              <w:keepLines w:val="0"/>
              <w:pageBreakBefore w:val="0"/>
              <w:widowControl/>
              <w:kinsoku/>
              <w:wordWrap/>
              <w:overflowPunct/>
              <w:topLinePunct w:val="0"/>
              <w:autoSpaceDE/>
              <w:autoSpaceDN/>
              <w:bidi w:val="0"/>
              <w:adjustRightInd/>
              <w:snapToGrid/>
              <w:spacing w:beforeLines="0" w:afterLines="0" w:line="320" w:lineRule="exact"/>
              <w:ind w:left="-163" w:leftChars="-51" w:right="-163" w:rightChars="-51"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科研机构</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E7ECDC0">
            <w:pPr>
              <w:keepNext w:val="0"/>
              <w:keepLines w:val="0"/>
              <w:pageBreakBefore w:val="0"/>
              <w:widowControl/>
              <w:kinsoku/>
              <w:wordWrap/>
              <w:overflowPunct/>
              <w:topLinePunct w:val="0"/>
              <w:autoSpaceDE/>
              <w:autoSpaceDN/>
              <w:bidi w:val="0"/>
              <w:adjustRightInd/>
              <w:snapToGrid/>
              <w:spacing w:beforeLines="0" w:afterLines="0" w:line="320" w:lineRule="exact"/>
              <w:ind w:left="-163" w:leftChars="-51" w:right="-163" w:rightChars="-51"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社会公益组织</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846EF54">
            <w:pPr>
              <w:keepNext w:val="0"/>
              <w:keepLines w:val="0"/>
              <w:pageBreakBefore w:val="0"/>
              <w:widowControl/>
              <w:kinsoku/>
              <w:wordWrap/>
              <w:overflowPunct/>
              <w:topLinePunct w:val="0"/>
              <w:autoSpaceDE/>
              <w:autoSpaceDN/>
              <w:bidi w:val="0"/>
              <w:adjustRightInd/>
              <w:snapToGrid/>
              <w:spacing w:beforeLines="0" w:afterLines="0" w:line="320" w:lineRule="exact"/>
              <w:ind w:left="-163" w:leftChars="-51" w:right="-163" w:rightChars="-51"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法律服务机构</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0A5770E">
            <w:pPr>
              <w:keepNext w:val="0"/>
              <w:keepLines w:val="0"/>
              <w:pageBreakBefore w:val="0"/>
              <w:widowControl/>
              <w:kinsoku/>
              <w:wordWrap/>
              <w:overflowPunct/>
              <w:topLinePunct w:val="0"/>
              <w:autoSpaceDE/>
              <w:autoSpaceDN/>
              <w:bidi w:val="0"/>
              <w:adjustRightInd/>
              <w:snapToGrid/>
              <w:spacing w:beforeLines="0" w:afterLines="0" w:line="360" w:lineRule="exact"/>
              <w:ind w:left="-96" w:leftChars="-30" w:right="-205" w:rightChars="-64"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1"/>
              </w:rPr>
              <w:t>其他</w:t>
            </w:r>
          </w:p>
        </w:tc>
        <w:tc>
          <w:tcPr>
            <w:tcW w:w="851" w:type="dxa"/>
            <w:vMerge w:val="continue"/>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1431DA87">
            <w:pPr>
              <w:keepNext w:val="0"/>
              <w:keepLines w:val="0"/>
              <w:pageBreakBefore w:val="0"/>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Times New Roman" w:eastAsia="仿宋_GB2312"/>
                <w:color w:val="auto"/>
                <w:sz w:val="21"/>
              </w:rPr>
            </w:pPr>
          </w:p>
        </w:tc>
      </w:tr>
      <w:tr w14:paraId="3EA5B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9F65FD0">
            <w:pPr>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bookmarkStart w:id="0" w:name="OLE_LINK1" w:colFirst="1" w:colLast="7"/>
            <w:r>
              <w:rPr>
                <w:rFonts w:hint="eastAsia" w:ascii="黑体" w:hAnsi="黑体" w:eastAsia="黑体"/>
                <w:color w:val="auto"/>
                <w:kern w:val="0"/>
                <w:sz w:val="21"/>
              </w:rPr>
              <w:t>一、</w:t>
            </w:r>
            <w:bookmarkStart w:id="1" w:name="_Hlk66973412"/>
            <w:r>
              <w:rPr>
                <w:rFonts w:hint="eastAsia" w:ascii="黑体" w:hAnsi="黑体" w:eastAsia="黑体"/>
                <w:color w:val="auto"/>
                <w:kern w:val="0"/>
                <w:sz w:val="21"/>
              </w:rPr>
              <w:t>本年新收政府信息公开申请数量</w:t>
            </w:r>
            <w:bookmarkEnd w:id="1"/>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C08BEF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2F4997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9392BB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C0ED30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4E92D3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52A652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7BDEA9B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lang w:val="en-US" w:eastAsia="zh-CN"/>
              </w:rPr>
            </w:pPr>
            <w:r>
              <w:rPr>
                <w:rFonts w:hint="eastAsia" w:ascii="仿宋_GB2312" w:hAnsi="Times New Roman"/>
                <w:color w:val="auto"/>
                <w:sz w:val="21"/>
                <w:lang w:val="en-US" w:eastAsia="zh-CN"/>
              </w:rPr>
              <w:t>0</w:t>
            </w:r>
          </w:p>
        </w:tc>
      </w:tr>
      <w:bookmarkEnd w:id="0"/>
      <w:tr w14:paraId="1955F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00414FA">
            <w:pPr>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r>
              <w:rPr>
                <w:rFonts w:hint="eastAsia" w:ascii="黑体" w:hAnsi="黑体" w:eastAsia="黑体"/>
                <w:color w:val="auto"/>
                <w:kern w:val="0"/>
                <w:sz w:val="21"/>
              </w:rPr>
              <w:t>二、上年结转政府信息公开申请数量</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3804D8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73B6E3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C70F56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6559D8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157426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96E972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0E0A867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2F692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007EC480">
            <w:pPr>
              <w:keepNext w:val="0"/>
              <w:keepLines w:val="0"/>
              <w:pageBreakBefore w:val="0"/>
              <w:widowControl/>
              <w:kinsoku/>
              <w:wordWrap/>
              <w:overflowPunct/>
              <w:topLinePunct w:val="0"/>
              <w:autoSpaceDE/>
              <w:autoSpaceDN/>
              <w:bidi w:val="0"/>
              <w:adjustRightInd/>
              <w:snapToGrid/>
              <w:spacing w:beforeLines="0" w:after="180" w:afterLines="0"/>
              <w:ind w:firstLine="0" w:firstLineChars="0"/>
              <w:textAlignment w:val="auto"/>
              <w:rPr>
                <w:rFonts w:hint="eastAsia" w:ascii="黑体" w:hAnsi="黑体" w:eastAsia="黑体"/>
                <w:color w:val="auto"/>
                <w:sz w:val="21"/>
              </w:rPr>
            </w:pPr>
            <w:r>
              <w:rPr>
                <w:rFonts w:hint="eastAsia" w:ascii="黑体" w:hAnsi="黑体" w:eastAsia="黑体"/>
                <w:color w:val="auto"/>
                <w:kern w:val="0"/>
                <w:sz w:val="21"/>
              </w:rPr>
              <w:t>三、本年度办理结果</w:t>
            </w:r>
          </w:p>
        </w:tc>
        <w:tc>
          <w:tcPr>
            <w:tcW w:w="4677"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0FCC4DF">
            <w:pPr>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r>
              <w:rPr>
                <w:rFonts w:hint="eastAsia" w:ascii="黑体" w:hAnsi="黑体" w:eastAsia="黑体"/>
                <w:color w:val="auto"/>
                <w:kern w:val="0"/>
                <w:sz w:val="21"/>
              </w:rPr>
              <w:t>（一）予以公开</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CBC3AF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DBCF6E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63113B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ADAC69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F6E5B2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377288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4372854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35AB2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5E1B82C8">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4677"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420257F">
            <w:pPr>
              <w:keepNext w:val="0"/>
              <w:keepLines w:val="0"/>
              <w:pageBreakBefore w:val="0"/>
              <w:widowControl/>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r>
              <w:rPr>
                <w:rFonts w:hint="eastAsia" w:ascii="黑体" w:hAnsi="黑体" w:eastAsia="黑体"/>
                <w:color w:val="auto"/>
                <w:kern w:val="0"/>
                <w:sz w:val="21"/>
              </w:rPr>
              <w:t>（二）部分公开（</w:t>
            </w:r>
            <w:bookmarkStart w:id="2" w:name="_Hlk66973981"/>
            <w:r>
              <w:rPr>
                <w:rFonts w:hint="eastAsia" w:ascii="黑体" w:hAnsi="黑体" w:eastAsia="黑体"/>
                <w:color w:val="auto"/>
                <w:kern w:val="0"/>
                <w:sz w:val="21"/>
              </w:rPr>
              <w:t>区分处理的，只计这一情形，不计其他情形</w:t>
            </w:r>
            <w:bookmarkEnd w:id="2"/>
            <w:r>
              <w:rPr>
                <w:rFonts w:hint="eastAsia" w:ascii="黑体" w:hAnsi="黑体" w:eastAsia="黑体"/>
                <w:color w:val="auto"/>
                <w:kern w:val="0"/>
                <w:sz w:val="21"/>
              </w:rPr>
              <w:t>）</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851FFC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01D2A4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20EDAB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03B3A6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CC5D76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D92FBF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7C857DA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4EB17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3FCCA97E">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7525759">
            <w:pPr>
              <w:keepNext w:val="0"/>
              <w:keepLines w:val="0"/>
              <w:pageBreakBefore w:val="0"/>
              <w:widowControl/>
              <w:kinsoku/>
              <w:wordWrap/>
              <w:overflowPunct/>
              <w:topLinePunct w:val="0"/>
              <w:autoSpaceDE/>
              <w:autoSpaceDN/>
              <w:bidi w:val="0"/>
              <w:adjustRightInd/>
              <w:snapToGrid/>
              <w:spacing w:beforeLines="0" w:afterLines="0" w:line="200" w:lineRule="exact"/>
              <w:ind w:left="-163" w:leftChars="-51" w:firstLine="0" w:firstLineChars="0"/>
              <w:textAlignment w:val="auto"/>
              <w:rPr>
                <w:rFonts w:hint="eastAsia" w:ascii="黑体" w:hAnsi="黑体" w:eastAsia="黑体"/>
                <w:color w:val="auto"/>
                <w:sz w:val="21"/>
              </w:rPr>
            </w:pPr>
            <w:r>
              <w:rPr>
                <w:rFonts w:hint="eastAsia" w:ascii="黑体" w:hAnsi="黑体" w:eastAsia="黑体"/>
                <w:color w:val="auto"/>
                <w:kern w:val="0"/>
                <w:sz w:val="21"/>
              </w:rPr>
              <w:t>（三）不予公开</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9EDB19A">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1.属于国家秘密</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C18A9B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783867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9B29C8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28901B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7C37B9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BA863E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5598835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5DE79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C079510">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CD06985">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8574E95">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2.</w:t>
            </w:r>
            <w:bookmarkStart w:id="3" w:name="_Hlk66974104"/>
            <w:r>
              <w:rPr>
                <w:rFonts w:hint="eastAsia" w:ascii="仿宋_GB2312" w:hAnsi="黑体" w:eastAsia="仿宋_GB2312"/>
                <w:color w:val="auto"/>
                <w:kern w:val="0"/>
                <w:sz w:val="21"/>
              </w:rPr>
              <w:t>其他法律行政法规禁止公开</w:t>
            </w:r>
            <w:bookmarkEnd w:id="3"/>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1280F6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E8E2C5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9F51A8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81DAF1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CD7440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4011AF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09043CF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43164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7BB08002">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08050DE">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C2CC373">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3.危及“三安全一稳定”</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E8B1BF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EA2D4E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74FD26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52573C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6B2D13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35DC4B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2195846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12736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AB6C85C">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805F2E8">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6E2C448">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4.</w:t>
            </w:r>
            <w:bookmarkStart w:id="4" w:name="_Hlk66974290"/>
            <w:r>
              <w:rPr>
                <w:rFonts w:hint="eastAsia" w:ascii="仿宋_GB2312" w:hAnsi="黑体" w:eastAsia="仿宋_GB2312"/>
                <w:color w:val="auto"/>
                <w:kern w:val="0"/>
                <w:sz w:val="21"/>
              </w:rPr>
              <w:t>保护第三方合法权益</w:t>
            </w:r>
            <w:bookmarkEnd w:id="4"/>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AB5EB3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E7130E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41C704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EF3AF9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270376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0D66F9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3FF643E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381A3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4FAB7AA9">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3FFBE9B">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B252130">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5.属于三类内部事务信息</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C13F03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1904C9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98810B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3B706B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D52F1D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6D9E4F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313DE87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5ABA6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4DB82AD8">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56A9DBD">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A6E19E9">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6.</w:t>
            </w:r>
            <w:bookmarkStart w:id="5" w:name="_Hlk66974555"/>
            <w:r>
              <w:rPr>
                <w:rFonts w:hint="eastAsia" w:ascii="仿宋_GB2312" w:hAnsi="黑体" w:eastAsia="仿宋_GB2312"/>
                <w:color w:val="auto"/>
                <w:kern w:val="0"/>
                <w:sz w:val="21"/>
              </w:rPr>
              <w:t>属于四类过程性信息</w:t>
            </w:r>
            <w:bookmarkEnd w:id="5"/>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62BE52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8EFED9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A4A40C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8F65A1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722D73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75C782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6CF3D6A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67C50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547DD2AC">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9535F79">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B2AE27F">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7.属于行政执法案卷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83BE92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845B55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57E246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CA4223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C5F233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A35C32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5C519B5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66AF2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0B080C1E">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9CA5507">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2D46C52">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8.</w:t>
            </w:r>
            <w:bookmarkStart w:id="6" w:name="_Hlk66975211"/>
            <w:r>
              <w:rPr>
                <w:rFonts w:hint="eastAsia" w:ascii="仿宋_GB2312" w:hAnsi="黑体" w:eastAsia="仿宋_GB2312"/>
                <w:color w:val="auto"/>
                <w:kern w:val="0"/>
                <w:sz w:val="21"/>
              </w:rPr>
              <w:t>属于行政查询事项</w:t>
            </w:r>
            <w:bookmarkEnd w:id="6"/>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8C4BD6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29F229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4F0023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511DEE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559137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BA424D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0588E71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6AA83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207BBFF7">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DEF5432">
            <w:pPr>
              <w:keepNext w:val="0"/>
              <w:keepLines w:val="0"/>
              <w:pageBreakBefore w:val="0"/>
              <w:widowControl/>
              <w:kinsoku/>
              <w:wordWrap/>
              <w:overflowPunct/>
              <w:topLinePunct w:val="0"/>
              <w:autoSpaceDE/>
              <w:autoSpaceDN/>
              <w:bidi w:val="0"/>
              <w:adjustRightInd/>
              <w:snapToGrid/>
              <w:spacing w:beforeLines="0" w:afterLines="0" w:line="200" w:lineRule="exact"/>
              <w:ind w:left="-163" w:leftChars="-51" w:firstLine="0" w:firstLineChars="0"/>
              <w:textAlignment w:val="auto"/>
              <w:rPr>
                <w:rFonts w:hint="eastAsia" w:ascii="黑体" w:hAnsi="黑体" w:eastAsia="黑体"/>
                <w:color w:val="auto"/>
                <w:sz w:val="21"/>
              </w:rPr>
            </w:pPr>
            <w:r>
              <w:rPr>
                <w:rFonts w:hint="eastAsia" w:ascii="黑体" w:hAnsi="黑体" w:eastAsia="黑体"/>
                <w:color w:val="auto"/>
                <w:kern w:val="0"/>
                <w:sz w:val="21"/>
              </w:rPr>
              <w:t>（四）无法提供</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AA8000A">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1.本机关不掌握相关政府信息</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9CB0BC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C6E7E1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536CFF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0555B4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CF8962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4C9AF2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50B7191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5D1DD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290B2B57">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F0D8E5C">
            <w:pPr>
              <w:keepNext w:val="0"/>
              <w:keepLines w:val="0"/>
              <w:pageBreakBefore w:val="0"/>
              <w:kinsoku/>
              <w:wordWrap/>
              <w:overflowPunct/>
              <w:topLinePunct w:val="0"/>
              <w:autoSpaceDE/>
              <w:autoSpaceDN/>
              <w:bidi w:val="0"/>
              <w:adjustRightInd/>
              <w:snapToGrid/>
              <w:spacing w:beforeLines="0" w:afterLines="0" w:line="200" w:lineRule="exact"/>
              <w:ind w:left="-163" w:leftChars="-51"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B9DBC3B">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2.</w:t>
            </w:r>
            <w:bookmarkStart w:id="7" w:name="_Hlk66975392"/>
            <w:r>
              <w:rPr>
                <w:rFonts w:hint="eastAsia" w:ascii="仿宋_GB2312" w:hAnsi="黑体" w:eastAsia="仿宋_GB2312"/>
                <w:color w:val="auto"/>
                <w:kern w:val="0"/>
                <w:sz w:val="21"/>
              </w:rPr>
              <w:t>没有现成信息需要另行制作</w:t>
            </w:r>
            <w:bookmarkEnd w:id="7"/>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DD47C8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CD20BC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7EA0E8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B28BAF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2A7AB1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52472D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0FF7775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11BF9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797C7F0C">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D5AD445">
            <w:pPr>
              <w:keepNext w:val="0"/>
              <w:keepLines w:val="0"/>
              <w:pageBreakBefore w:val="0"/>
              <w:kinsoku/>
              <w:wordWrap/>
              <w:overflowPunct/>
              <w:topLinePunct w:val="0"/>
              <w:autoSpaceDE/>
              <w:autoSpaceDN/>
              <w:bidi w:val="0"/>
              <w:adjustRightInd/>
              <w:snapToGrid/>
              <w:spacing w:beforeLines="0" w:afterLines="0" w:line="200" w:lineRule="exact"/>
              <w:ind w:left="-163" w:leftChars="-51"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9A4C0BD">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3.</w:t>
            </w:r>
            <w:bookmarkStart w:id="8" w:name="_Hlk66975466"/>
            <w:r>
              <w:rPr>
                <w:rFonts w:hint="eastAsia" w:ascii="仿宋_GB2312" w:hAnsi="黑体" w:eastAsia="仿宋_GB2312"/>
                <w:color w:val="auto"/>
                <w:kern w:val="0"/>
                <w:sz w:val="21"/>
              </w:rPr>
              <w:t>补正后申请内容仍不明确</w:t>
            </w:r>
            <w:bookmarkEnd w:id="8"/>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22814F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DF5CB8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C82F2B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18C394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E99C8E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0F1C12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191B7DD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469E8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0263D40C">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0CD8B1A">
            <w:pPr>
              <w:keepNext w:val="0"/>
              <w:keepLines w:val="0"/>
              <w:pageBreakBefore w:val="0"/>
              <w:widowControl/>
              <w:kinsoku/>
              <w:wordWrap/>
              <w:overflowPunct/>
              <w:topLinePunct w:val="0"/>
              <w:autoSpaceDE/>
              <w:autoSpaceDN/>
              <w:bidi w:val="0"/>
              <w:adjustRightInd/>
              <w:snapToGrid/>
              <w:spacing w:beforeLines="0" w:afterLines="0" w:line="200" w:lineRule="exact"/>
              <w:ind w:left="-163" w:leftChars="-51" w:firstLine="0" w:firstLineChars="0"/>
              <w:textAlignment w:val="auto"/>
              <w:rPr>
                <w:rFonts w:hint="eastAsia" w:ascii="黑体" w:hAnsi="黑体" w:eastAsia="黑体"/>
                <w:color w:val="auto"/>
                <w:sz w:val="21"/>
              </w:rPr>
            </w:pPr>
            <w:r>
              <w:rPr>
                <w:rFonts w:hint="eastAsia" w:ascii="黑体" w:hAnsi="黑体" w:eastAsia="黑体"/>
                <w:color w:val="auto"/>
                <w:kern w:val="0"/>
                <w:sz w:val="21"/>
              </w:rPr>
              <w:t>（五）不予处理</w:t>
            </w: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E03368C">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1.</w:t>
            </w:r>
            <w:bookmarkStart w:id="9" w:name="_Hlk66975537"/>
            <w:r>
              <w:rPr>
                <w:rFonts w:hint="eastAsia" w:ascii="仿宋_GB2312" w:hAnsi="黑体" w:eastAsia="仿宋_GB2312"/>
                <w:color w:val="auto"/>
                <w:kern w:val="0"/>
                <w:sz w:val="21"/>
              </w:rPr>
              <w:t>信访举报投诉类申请</w:t>
            </w:r>
            <w:bookmarkEnd w:id="9"/>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A0C764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BA1CB3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463101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F0B4F5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B3B9EC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88D3F9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300858A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2EF87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22157618">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12B4FD1">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9439A5D">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2.重复申请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874C54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A1BF94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295FA7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694BE5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A70DDE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2F3AAA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3513405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1B584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09BDB50A">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A68C38B">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F5B2CD3">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sz w:val="21"/>
              </w:rPr>
            </w:pPr>
            <w:r>
              <w:rPr>
                <w:rFonts w:hint="eastAsia" w:ascii="仿宋_GB2312" w:hAnsi="黑体" w:eastAsia="仿宋_GB2312"/>
                <w:color w:val="auto"/>
                <w:kern w:val="0"/>
                <w:sz w:val="21"/>
              </w:rPr>
              <w:t>3.要求提供公开出版物</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0840F4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8898E0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5A1705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E92E5F5">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DE41BB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5CAE9A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29D4606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2648CA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5E2E7E47">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250D57C">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F2CF70F">
            <w:pPr>
              <w:keepNext w:val="0"/>
              <w:keepLines w:val="0"/>
              <w:pageBreakBefore w:val="0"/>
              <w:widowControl/>
              <w:kinsoku/>
              <w:wordWrap/>
              <w:overflowPunct/>
              <w:topLinePunct w:val="0"/>
              <w:autoSpaceDE/>
              <w:autoSpaceDN/>
              <w:bidi w:val="0"/>
              <w:adjustRightInd/>
              <w:snapToGrid/>
              <w:spacing w:beforeLines="0" w:afterLines="0" w:line="200" w:lineRule="exact"/>
              <w:ind w:firstLine="0" w:firstLineChars="0"/>
              <w:textAlignment w:val="auto"/>
              <w:rPr>
                <w:rFonts w:hint="eastAsia" w:ascii="仿宋_GB2312" w:hAnsi="黑体" w:eastAsia="仿宋_GB2312"/>
                <w:color w:val="auto"/>
                <w:sz w:val="21"/>
              </w:rPr>
            </w:pPr>
            <w:r>
              <w:rPr>
                <w:rFonts w:hint="eastAsia" w:ascii="仿宋_GB2312" w:hAnsi="黑体" w:eastAsia="仿宋_GB2312"/>
                <w:color w:val="auto"/>
                <w:kern w:val="0"/>
                <w:sz w:val="21"/>
              </w:rPr>
              <w:t>4.无正当理由大量反复申请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4B9F78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D173D9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74DD385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7EBFF8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D05CB2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68E097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7EACD67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2C6E2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63A473EB">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C6B3B38">
            <w:pPr>
              <w:keepNext w:val="0"/>
              <w:keepLines w:val="0"/>
              <w:pageBreakBefore w:val="0"/>
              <w:kinsoku/>
              <w:wordWrap/>
              <w:overflowPunct/>
              <w:topLinePunct w:val="0"/>
              <w:autoSpaceDE/>
              <w:autoSpaceDN/>
              <w:bidi w:val="0"/>
              <w:adjustRightInd/>
              <w:snapToGrid/>
              <w:spacing w:beforeLines="0" w:afterLines="0" w:line="200" w:lineRule="exact"/>
              <w:ind w:firstLine="0" w:firstLineChars="0"/>
              <w:textAlignment w:val="auto"/>
              <w:rPr>
                <w:rFonts w:hint="eastAsia" w:ascii="黑体" w:hAnsi="黑体" w:eastAsia="黑体"/>
                <w:color w:val="auto"/>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345C9D0">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仿宋_GB2312" w:hAnsi="黑体" w:eastAsia="仿宋_GB2312"/>
                <w:color w:val="auto"/>
                <w:kern w:val="0"/>
                <w:sz w:val="21"/>
              </w:rPr>
            </w:pPr>
            <w:r>
              <w:rPr>
                <w:rFonts w:hint="eastAsia" w:ascii="仿宋_GB2312" w:hAnsi="黑体" w:eastAsia="仿宋_GB2312"/>
                <w:color w:val="auto"/>
                <w:kern w:val="0"/>
                <w:sz w:val="21"/>
              </w:rPr>
              <w:t>5.要求行政机关确认或重新</w:t>
            </w:r>
          </w:p>
          <w:p w14:paraId="762D9643">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仿宋_GB2312" w:hAnsi="黑体" w:eastAsia="仿宋_GB2312"/>
                <w:color w:val="auto"/>
                <w:sz w:val="21"/>
              </w:rPr>
            </w:pPr>
            <w:r>
              <w:rPr>
                <w:rFonts w:hint="eastAsia" w:ascii="仿宋_GB2312" w:hAnsi="黑体" w:eastAsia="仿宋_GB2312"/>
                <w:color w:val="auto"/>
                <w:kern w:val="0"/>
                <w:sz w:val="21"/>
              </w:rPr>
              <w:t>出具已获取信息</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F7BD96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35E7F2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61D0C7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1F8D48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B92508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08FD59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57E12F8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5CE67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433207B8">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D0B4FCE">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黑体" w:hAnsi="黑体" w:eastAsia="黑体"/>
                <w:color w:val="auto"/>
                <w:kern w:val="0"/>
                <w:sz w:val="21"/>
              </w:rPr>
            </w:pPr>
            <w:r>
              <w:rPr>
                <w:rFonts w:hint="eastAsia" w:ascii="黑体" w:hAnsi="黑体" w:eastAsia="黑体"/>
                <w:color w:val="auto"/>
                <w:kern w:val="0"/>
                <w:sz w:val="21"/>
              </w:rPr>
              <w:t>（六）其他处理</w:t>
            </w: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BFF3A">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仿宋_GB2312" w:hAnsi="楷体" w:eastAsia="仿宋_GB2312"/>
                <w:color w:val="auto"/>
                <w:sz w:val="21"/>
              </w:rPr>
            </w:pPr>
            <w:r>
              <w:rPr>
                <w:rFonts w:hint="eastAsia" w:ascii="仿宋_GB2312" w:hAnsi="楷体" w:eastAsia="仿宋_GB2312"/>
                <w:color w:val="auto"/>
                <w:sz w:val="21"/>
              </w:rPr>
              <w:t>1.申请人无正当理由逾期不补正、行政机关不再</w:t>
            </w:r>
            <w:r>
              <w:rPr>
                <w:rFonts w:hint="eastAsia" w:ascii="仿宋_GB2312" w:hAnsi="楷体"/>
                <w:color w:val="auto"/>
                <w:sz w:val="21"/>
                <w:lang w:eastAsia="zh-CN"/>
              </w:rPr>
              <w:t>受理</w:t>
            </w:r>
            <w:r>
              <w:rPr>
                <w:rFonts w:hint="eastAsia" w:ascii="仿宋_GB2312" w:hAnsi="楷体" w:eastAsia="仿宋_GB2312"/>
                <w:color w:val="auto"/>
                <w:sz w:val="21"/>
              </w:rPr>
              <w:t>其政府信息公开申请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0AF4B51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D06000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FB1437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96176C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C10870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01A52C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57C53A8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6923E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1E5B2253">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5D59E00">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黑体" w:hAnsi="黑体" w:eastAsia="黑体"/>
                <w:color w:val="auto"/>
                <w:kern w:val="0"/>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18289">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仿宋_GB2312" w:hAnsi="黑体" w:eastAsia="仿宋_GB2312"/>
                <w:color w:val="auto"/>
                <w:kern w:val="0"/>
                <w:sz w:val="21"/>
              </w:rPr>
            </w:pPr>
            <w:r>
              <w:rPr>
                <w:rFonts w:hint="eastAsia" w:ascii="仿宋_GB2312" w:hAnsi="楷体" w:eastAsia="仿宋_GB2312"/>
                <w:color w:val="auto"/>
                <w:sz w:val="21"/>
              </w:rPr>
              <w:t>2.申请人逾期未按收费通知要求缴纳费用、行政机关不再</w:t>
            </w:r>
            <w:r>
              <w:rPr>
                <w:rFonts w:hint="eastAsia" w:ascii="仿宋_GB2312" w:hAnsi="楷体"/>
                <w:color w:val="auto"/>
                <w:sz w:val="21"/>
                <w:lang w:eastAsia="zh-CN"/>
              </w:rPr>
              <w:t>受理</w:t>
            </w:r>
            <w:r>
              <w:rPr>
                <w:rFonts w:hint="eastAsia" w:ascii="仿宋_GB2312" w:hAnsi="楷体" w:eastAsia="仿宋_GB2312"/>
                <w:color w:val="auto"/>
                <w:sz w:val="21"/>
              </w:rPr>
              <w:t>其政府信息公开申请</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E05DF7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76F5107">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9D96A1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6A6AE8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8E8CA4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43096B9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0EC88C7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75E70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26764A27">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03047E3">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黑体" w:hAnsi="黑体" w:eastAsia="黑体"/>
                <w:color w:val="auto"/>
                <w:kern w:val="0"/>
                <w:sz w:val="21"/>
              </w:rPr>
            </w:pPr>
          </w:p>
        </w:tc>
        <w:tc>
          <w:tcPr>
            <w:tcW w:w="29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D46DE">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仿宋_GB2312" w:hAnsi="黑体" w:eastAsia="仿宋_GB2312"/>
                <w:color w:val="auto"/>
                <w:kern w:val="0"/>
                <w:sz w:val="21"/>
              </w:rPr>
            </w:pPr>
            <w:r>
              <w:rPr>
                <w:rFonts w:hint="eastAsia" w:ascii="仿宋_GB2312" w:hAnsi="楷体" w:eastAsia="仿宋_GB2312"/>
                <w:color w:val="auto"/>
                <w:sz w:val="21"/>
              </w:rPr>
              <w:t>3.其他</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D9F90DC">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27958D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82F7F4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28FB586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05328F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9BADD62">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46A0431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4183D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tcBorders>
              <w:top w:val="single" w:color="auto" w:sz="4" w:space="0"/>
              <w:left w:val="single" w:color="auto" w:sz="8" w:space="0"/>
              <w:bottom w:val="single" w:color="auto" w:sz="4" w:space="0"/>
              <w:right w:val="single" w:color="auto" w:sz="4" w:space="0"/>
              <w:tl2br w:val="nil"/>
              <w:tr2bl w:val="nil"/>
            </w:tcBorders>
            <w:noWrap w:val="0"/>
            <w:tcMar>
              <w:left w:w="108" w:type="dxa"/>
              <w:right w:w="108" w:type="dxa"/>
            </w:tcMar>
            <w:vAlign w:val="center"/>
          </w:tcPr>
          <w:p w14:paraId="300FE947">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1"/>
              </w:rPr>
            </w:pPr>
          </w:p>
        </w:tc>
        <w:tc>
          <w:tcPr>
            <w:tcW w:w="4677" w:type="dxa"/>
            <w:gridSpan w:val="2"/>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651A0F01">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黑体" w:hAnsi="黑体" w:eastAsia="黑体"/>
                <w:color w:val="auto"/>
                <w:kern w:val="0"/>
                <w:sz w:val="21"/>
              </w:rPr>
            </w:pPr>
            <w:r>
              <w:rPr>
                <w:rFonts w:hint="eastAsia" w:ascii="黑体" w:hAnsi="黑体" w:eastAsia="黑体"/>
                <w:color w:val="auto"/>
                <w:kern w:val="0"/>
                <w:sz w:val="21"/>
              </w:rPr>
              <w:t>（七）总计</w:t>
            </w:r>
          </w:p>
        </w:tc>
        <w:tc>
          <w:tcPr>
            <w:tcW w:w="829"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F82123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9E9412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B04BD8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3DCCBC6A">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16DF4C7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4" w:space="0"/>
              <w:right w:val="single" w:color="auto" w:sz="4" w:space="0"/>
              <w:tl2br w:val="nil"/>
              <w:tr2bl w:val="nil"/>
            </w:tcBorders>
            <w:noWrap w:val="0"/>
            <w:tcMar>
              <w:left w:w="108" w:type="dxa"/>
              <w:right w:w="108" w:type="dxa"/>
            </w:tcMar>
            <w:vAlign w:val="center"/>
          </w:tcPr>
          <w:p w14:paraId="5B7330D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4" w:space="0"/>
              <w:right w:val="single" w:color="auto" w:sz="8" w:space="0"/>
              <w:tl2br w:val="nil"/>
              <w:tr2bl w:val="nil"/>
            </w:tcBorders>
            <w:noWrap w:val="0"/>
            <w:tcMar>
              <w:left w:w="108" w:type="dxa"/>
              <w:right w:w="108" w:type="dxa"/>
            </w:tcMar>
            <w:vAlign w:val="center"/>
          </w:tcPr>
          <w:p w14:paraId="170E6106">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r w14:paraId="0FAE3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tcBorders>
              <w:top w:val="single" w:color="auto" w:sz="4" w:space="0"/>
              <w:left w:val="single" w:color="auto" w:sz="8" w:space="0"/>
              <w:bottom w:val="single" w:color="auto" w:sz="8" w:space="0"/>
              <w:right w:val="single" w:color="auto" w:sz="4" w:space="0"/>
              <w:tl2br w:val="nil"/>
              <w:tr2bl w:val="nil"/>
            </w:tcBorders>
            <w:noWrap w:val="0"/>
            <w:tcMar>
              <w:left w:w="108" w:type="dxa"/>
              <w:right w:w="108" w:type="dxa"/>
            </w:tcMar>
            <w:vAlign w:val="center"/>
          </w:tcPr>
          <w:p w14:paraId="5027E4E7">
            <w:pPr>
              <w:keepNext w:val="0"/>
              <w:keepLines w:val="0"/>
              <w:pageBreakBefore w:val="0"/>
              <w:widowControl/>
              <w:kinsoku/>
              <w:wordWrap/>
              <w:overflowPunct/>
              <w:topLinePunct w:val="0"/>
              <w:autoSpaceDE/>
              <w:autoSpaceDN/>
              <w:bidi w:val="0"/>
              <w:adjustRightInd/>
              <w:snapToGrid/>
              <w:spacing w:beforeLines="0" w:afterLines="0" w:line="300" w:lineRule="exact"/>
              <w:ind w:firstLine="0" w:firstLineChars="0"/>
              <w:textAlignment w:val="auto"/>
              <w:rPr>
                <w:rFonts w:hint="eastAsia" w:ascii="黑体" w:hAnsi="黑体" w:eastAsia="黑体"/>
                <w:color w:val="auto"/>
                <w:kern w:val="0"/>
                <w:sz w:val="21"/>
              </w:rPr>
            </w:pPr>
            <w:r>
              <w:rPr>
                <w:rFonts w:hint="eastAsia" w:ascii="黑体" w:hAnsi="黑体" w:eastAsia="黑体"/>
                <w:color w:val="auto"/>
                <w:kern w:val="0"/>
                <w:sz w:val="21"/>
              </w:rPr>
              <w:t>四、结转下年度继续办理</w:t>
            </w:r>
          </w:p>
        </w:tc>
        <w:tc>
          <w:tcPr>
            <w:tcW w:w="829"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14:paraId="436725C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14:paraId="4C0193CD">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14:paraId="66EEF12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31"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14:paraId="4B110050">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708"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14:paraId="37836C58">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567" w:type="dxa"/>
            <w:tcBorders>
              <w:top w:val="single" w:color="auto" w:sz="4" w:space="0"/>
              <w:left w:val="single" w:color="auto" w:sz="4" w:space="0"/>
              <w:bottom w:val="single" w:color="auto" w:sz="8" w:space="0"/>
              <w:right w:val="single" w:color="auto" w:sz="4" w:space="0"/>
              <w:tl2br w:val="nil"/>
              <w:tr2bl w:val="nil"/>
            </w:tcBorders>
            <w:noWrap w:val="0"/>
            <w:tcMar>
              <w:left w:w="108" w:type="dxa"/>
              <w:right w:w="108" w:type="dxa"/>
            </w:tcMar>
            <w:vAlign w:val="center"/>
          </w:tcPr>
          <w:p w14:paraId="003C4D1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c>
          <w:tcPr>
            <w:tcW w:w="851" w:type="dxa"/>
            <w:tcBorders>
              <w:top w:val="single" w:color="auto" w:sz="4" w:space="0"/>
              <w:left w:val="single" w:color="auto" w:sz="4" w:space="0"/>
              <w:bottom w:val="single" w:color="auto" w:sz="8" w:space="0"/>
              <w:right w:val="single" w:color="auto" w:sz="8" w:space="0"/>
              <w:tl2br w:val="nil"/>
              <w:tr2bl w:val="nil"/>
            </w:tcBorders>
            <w:noWrap w:val="0"/>
            <w:tcMar>
              <w:left w:w="108" w:type="dxa"/>
              <w:right w:w="108" w:type="dxa"/>
            </w:tcMar>
            <w:vAlign w:val="center"/>
          </w:tcPr>
          <w:p w14:paraId="6F61D99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仿宋_GB2312" w:hAnsi="Times New Roman" w:eastAsia="仿宋_GB2312"/>
                <w:color w:val="auto"/>
                <w:sz w:val="21"/>
              </w:rPr>
            </w:pPr>
            <w:r>
              <w:rPr>
                <w:rFonts w:hint="eastAsia" w:ascii="仿宋_GB2312" w:hAnsi="Times New Roman"/>
                <w:color w:val="auto"/>
                <w:sz w:val="21"/>
                <w:lang w:val="en-US" w:eastAsia="zh-CN"/>
              </w:rPr>
              <w:t>0</w:t>
            </w:r>
          </w:p>
        </w:tc>
      </w:tr>
    </w:tbl>
    <w:p w14:paraId="2CE0B8A8">
      <w:pPr>
        <w:spacing w:beforeLines="0" w:afterLines="0"/>
        <w:jc w:val="center"/>
        <w:rPr>
          <w:rFonts w:hint="eastAsia" w:ascii="仿宋_GB2312" w:eastAsia="仿宋_GB2312"/>
          <w:color w:val="auto"/>
          <w:sz w:val="32"/>
        </w:rPr>
      </w:pPr>
    </w:p>
    <w:p w14:paraId="48432FFB">
      <w:pPr>
        <w:spacing w:beforeLines="0" w:afterLines="0"/>
        <w:ind w:firstLine="640" w:firstLineChars="200"/>
        <w:rPr>
          <w:rFonts w:hint="eastAsia" w:ascii="仿宋_GB2312" w:eastAsia="仿宋_GB2312"/>
          <w:color w:val="auto"/>
          <w:sz w:val="32"/>
        </w:rPr>
        <w:sectPr>
          <w:pgSz w:w="11906" w:h="16838"/>
          <w:pgMar w:top="1440" w:right="1474" w:bottom="1440" w:left="1588" w:header="851" w:footer="992" w:gutter="0"/>
          <w:lnNumType w:countBy="0" w:distance="360"/>
          <w:cols w:space="720" w:num="1"/>
          <w:docGrid w:type="lines" w:linePitch="312" w:charSpace="0"/>
        </w:sectPr>
      </w:pPr>
    </w:p>
    <w:p w14:paraId="32972A38">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eastAsia" w:ascii="方正小标宋简体" w:eastAsia="黑体"/>
          <w:color w:val="auto"/>
          <w:sz w:val="44"/>
          <w:lang w:val="en-US" w:eastAsia="zh-CN"/>
        </w:rPr>
      </w:pPr>
      <w:r>
        <w:rPr>
          <w:rFonts w:hint="eastAsia" w:ascii="黑体" w:hAnsi="黑体" w:eastAsia="黑体"/>
          <w:color w:val="auto"/>
          <w:sz w:val="32"/>
        </w:rPr>
        <w:t>四、因政府信息公开工作被申请行政复议、提起行政诉讼情况统计表</w:t>
      </w:r>
    </w:p>
    <w:p w14:paraId="6D04D994">
      <w:pPr>
        <w:spacing w:beforeLines="0" w:afterLines="0"/>
        <w:jc w:val="center"/>
        <w:rPr>
          <w:rFonts w:hint="eastAsia" w:ascii="仿宋_GB2312" w:eastAsia="仿宋_GB2312"/>
          <w:color w:val="auto"/>
          <w:sz w:val="32"/>
        </w:rPr>
      </w:pPr>
    </w:p>
    <w:tbl>
      <w:tblPr>
        <w:tblStyle w:val="9"/>
        <w:tblW w:w="907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57D86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l2br w:val="nil"/>
              <w:tr2bl w:val="nil"/>
            </w:tcBorders>
            <w:noWrap w:val="0"/>
            <w:tcMar>
              <w:left w:w="108" w:type="dxa"/>
              <w:right w:w="108" w:type="dxa"/>
            </w:tcMar>
            <w:vAlign w:val="center"/>
          </w:tcPr>
          <w:p w14:paraId="40E9611C">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行政复议</w:t>
            </w:r>
          </w:p>
        </w:tc>
        <w:tc>
          <w:tcPr>
            <w:tcW w:w="5997" w:type="dxa"/>
            <w:gridSpan w:val="10"/>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730D3AE8">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行政诉讼</w:t>
            </w:r>
          </w:p>
        </w:tc>
      </w:tr>
      <w:tr w14:paraId="51D91F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l2br w:val="nil"/>
              <w:tr2bl w:val="nil"/>
            </w:tcBorders>
            <w:noWrap w:val="0"/>
            <w:tcMar>
              <w:left w:w="108" w:type="dxa"/>
              <w:right w:w="108" w:type="dxa"/>
            </w:tcMar>
            <w:vAlign w:val="center"/>
          </w:tcPr>
          <w:p w14:paraId="2B8D282D">
            <w:pPr>
              <w:keepNext w:val="0"/>
              <w:keepLines w:val="0"/>
              <w:pageBreakBefore w:val="0"/>
              <w:widowControl/>
              <w:kinsoku/>
              <w:wordWrap/>
              <w:overflowPunct/>
              <w:topLinePunct w:val="0"/>
              <w:autoSpaceDE/>
              <w:autoSpaceDN/>
              <w:bidi w:val="0"/>
              <w:adjustRightInd/>
              <w:snapToGrid/>
              <w:spacing w:beforeLines="0" w:afterLines="0"/>
              <w:ind w:left="-227" w:leftChars="-71" w:right="-259" w:rightChars="-81"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14:paraId="2C0C8B90">
            <w:pPr>
              <w:keepNext w:val="0"/>
              <w:keepLines w:val="0"/>
              <w:pageBreakBefore w:val="0"/>
              <w:widowControl/>
              <w:kinsoku/>
              <w:wordWrap/>
              <w:overflowPunct/>
              <w:topLinePunct w:val="0"/>
              <w:autoSpaceDE/>
              <w:autoSpaceDN/>
              <w:bidi w:val="0"/>
              <w:adjustRightInd/>
              <w:snapToGrid/>
              <w:spacing w:beforeLines="0" w:afterLines="0"/>
              <w:ind w:left="-227" w:leftChars="-71" w:right="-259" w:rightChars="-81"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维持</w:t>
            </w:r>
          </w:p>
        </w:tc>
        <w:tc>
          <w:tcPr>
            <w:tcW w:w="604" w:type="dxa"/>
            <w:vMerge w:val="restart"/>
            <w:tcBorders>
              <w:top w:val="nil"/>
              <w:left w:val="nil"/>
              <w:bottom w:val="single" w:color="auto" w:sz="8" w:space="0"/>
              <w:right w:val="single" w:color="auto" w:sz="8" w:space="0"/>
              <w:tl2br w:val="nil"/>
              <w:tr2bl w:val="nil"/>
            </w:tcBorders>
            <w:noWrap w:val="0"/>
            <w:tcMar>
              <w:left w:w="108" w:type="dxa"/>
              <w:right w:w="108" w:type="dxa"/>
            </w:tcMar>
            <w:vAlign w:val="center"/>
          </w:tcPr>
          <w:p w14:paraId="6EA8429D">
            <w:pPr>
              <w:keepNext w:val="0"/>
              <w:keepLines w:val="0"/>
              <w:pageBreakBefore w:val="0"/>
              <w:widowControl/>
              <w:kinsoku/>
              <w:wordWrap/>
              <w:overflowPunct/>
              <w:topLinePunct w:val="0"/>
              <w:autoSpaceDE/>
              <w:autoSpaceDN/>
              <w:bidi w:val="0"/>
              <w:adjustRightInd/>
              <w:snapToGrid/>
              <w:spacing w:beforeLines="0" w:afterLines="0"/>
              <w:ind w:left="-67" w:leftChars="-21" w:right="-202" w:rightChars="-63"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14:paraId="019B3DD2">
            <w:pPr>
              <w:keepNext w:val="0"/>
              <w:keepLines w:val="0"/>
              <w:pageBreakBefore w:val="0"/>
              <w:widowControl/>
              <w:kinsoku/>
              <w:wordWrap/>
              <w:overflowPunct/>
              <w:topLinePunct w:val="0"/>
              <w:autoSpaceDE/>
              <w:autoSpaceDN/>
              <w:bidi w:val="0"/>
              <w:adjustRightInd/>
              <w:snapToGrid/>
              <w:spacing w:beforeLines="0" w:afterLines="0"/>
              <w:ind w:left="-67" w:leftChars="-21" w:right="-202" w:rightChars="-63"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纠正</w:t>
            </w:r>
          </w:p>
        </w:tc>
        <w:tc>
          <w:tcPr>
            <w:tcW w:w="604" w:type="dxa"/>
            <w:vMerge w:val="restart"/>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5760C7D6">
            <w:pPr>
              <w:keepNext w:val="0"/>
              <w:keepLines w:val="0"/>
              <w:pageBreakBefore w:val="0"/>
              <w:widowControl/>
              <w:kinsoku/>
              <w:wordWrap/>
              <w:overflowPunct/>
              <w:topLinePunct w:val="0"/>
              <w:autoSpaceDE/>
              <w:autoSpaceDN/>
              <w:bidi w:val="0"/>
              <w:adjustRightInd/>
              <w:snapToGrid/>
              <w:spacing w:beforeLines="0" w:afterLines="0"/>
              <w:ind w:left="-125" w:leftChars="-39" w:right="-147" w:rightChars="-46"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其他</w:t>
            </w:r>
          </w:p>
          <w:p w14:paraId="34BB978E">
            <w:pPr>
              <w:keepNext w:val="0"/>
              <w:keepLines w:val="0"/>
              <w:pageBreakBefore w:val="0"/>
              <w:widowControl/>
              <w:kinsoku/>
              <w:wordWrap/>
              <w:overflowPunct/>
              <w:topLinePunct w:val="0"/>
              <w:autoSpaceDE/>
              <w:autoSpaceDN/>
              <w:bidi w:val="0"/>
              <w:adjustRightInd/>
              <w:snapToGrid/>
              <w:spacing w:beforeLines="0" w:afterLines="0"/>
              <w:ind w:left="-125" w:leftChars="-39" w:right="-147" w:rightChars="-46"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w:t>
            </w:r>
          </w:p>
        </w:tc>
        <w:tc>
          <w:tcPr>
            <w:tcW w:w="604" w:type="dxa"/>
            <w:vMerge w:val="restart"/>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0531004B">
            <w:pPr>
              <w:keepNext w:val="0"/>
              <w:keepLines w:val="0"/>
              <w:pageBreakBefore w:val="0"/>
              <w:widowControl/>
              <w:kinsoku/>
              <w:wordWrap/>
              <w:overflowPunct/>
              <w:topLinePunct w:val="0"/>
              <w:autoSpaceDE/>
              <w:autoSpaceDN/>
              <w:bidi w:val="0"/>
              <w:adjustRightInd/>
              <w:snapToGrid/>
              <w:spacing w:beforeLines="0" w:afterLines="0"/>
              <w:ind w:left="-179" w:leftChars="-56" w:right="-179" w:rightChars="-56"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尚未</w:t>
            </w:r>
          </w:p>
          <w:p w14:paraId="79969831">
            <w:pPr>
              <w:keepNext w:val="0"/>
              <w:keepLines w:val="0"/>
              <w:pageBreakBefore w:val="0"/>
              <w:widowControl/>
              <w:kinsoku/>
              <w:wordWrap/>
              <w:overflowPunct/>
              <w:topLinePunct w:val="0"/>
              <w:autoSpaceDE/>
              <w:autoSpaceDN/>
              <w:bidi w:val="0"/>
              <w:adjustRightInd/>
              <w:snapToGrid/>
              <w:spacing w:beforeLines="0" w:afterLines="0"/>
              <w:ind w:left="-179" w:leftChars="-56" w:right="-179" w:rightChars="-56"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审结</w:t>
            </w:r>
          </w:p>
        </w:tc>
        <w:tc>
          <w:tcPr>
            <w:tcW w:w="658" w:type="dxa"/>
            <w:vMerge w:val="restart"/>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175D8239">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总</w:t>
            </w:r>
          </w:p>
          <w:p w14:paraId="4BC9A589">
            <w:pPr>
              <w:keepNext w:val="0"/>
              <w:keepLines w:val="0"/>
              <w:pageBreakBefore w:val="0"/>
              <w:widowControl/>
              <w:kinsoku/>
              <w:wordWrap/>
              <w:overflowPunct/>
              <w:topLinePunct w:val="0"/>
              <w:autoSpaceDE/>
              <w:autoSpaceDN/>
              <w:bidi w:val="0"/>
              <w:adjustRightInd/>
              <w:snapToGrid/>
              <w:spacing w:beforeLines="0" w:afterLines="0" w:line="320" w:lineRule="exact"/>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计</w:t>
            </w:r>
          </w:p>
        </w:tc>
        <w:tc>
          <w:tcPr>
            <w:tcW w:w="2970" w:type="dxa"/>
            <w:gridSpan w:val="5"/>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4E0318BD">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未经复议直接起诉</w:t>
            </w:r>
          </w:p>
        </w:tc>
        <w:tc>
          <w:tcPr>
            <w:tcW w:w="3027" w:type="dxa"/>
            <w:gridSpan w:val="5"/>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2E82887E">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bookmarkStart w:id="10" w:name="_Hlk67039688"/>
            <w:r>
              <w:rPr>
                <w:rFonts w:hint="eastAsia" w:ascii="黑体" w:hAnsi="黑体" w:eastAsia="黑体"/>
                <w:color w:val="auto"/>
                <w:kern w:val="0"/>
                <w:sz w:val="20"/>
              </w:rPr>
              <w:t>复议后起诉</w:t>
            </w:r>
            <w:bookmarkEnd w:id="10"/>
          </w:p>
        </w:tc>
      </w:tr>
      <w:tr w14:paraId="3613D8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l2br w:val="nil"/>
              <w:tr2bl w:val="nil"/>
            </w:tcBorders>
            <w:noWrap w:val="0"/>
            <w:tcMar>
              <w:left w:w="108" w:type="dxa"/>
              <w:right w:w="108" w:type="dxa"/>
            </w:tcMar>
            <w:vAlign w:val="center"/>
          </w:tcPr>
          <w:p w14:paraId="2F3E822C">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4"/>
              </w:rPr>
            </w:pPr>
          </w:p>
        </w:tc>
        <w:tc>
          <w:tcPr>
            <w:tcW w:w="604" w:type="dxa"/>
            <w:vMerge w:val="continue"/>
            <w:tcBorders>
              <w:top w:val="nil"/>
              <w:left w:val="nil"/>
              <w:bottom w:val="single" w:color="auto" w:sz="8" w:space="0"/>
              <w:right w:val="single" w:color="auto" w:sz="8" w:space="0"/>
              <w:tl2br w:val="nil"/>
              <w:tr2bl w:val="nil"/>
            </w:tcBorders>
            <w:noWrap w:val="0"/>
            <w:tcMar>
              <w:left w:w="108" w:type="dxa"/>
              <w:right w:w="108" w:type="dxa"/>
            </w:tcMar>
            <w:vAlign w:val="center"/>
          </w:tcPr>
          <w:p w14:paraId="5FBFC429">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2706755F">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46410146">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28B2BDBC">
            <w:pPr>
              <w:keepNext w:val="0"/>
              <w:keepLines w:val="0"/>
              <w:pageBreakBefore w:val="0"/>
              <w:kinsoku/>
              <w:wordWrap/>
              <w:overflowPunct/>
              <w:topLinePunct w:val="0"/>
              <w:autoSpaceDE/>
              <w:autoSpaceDN/>
              <w:bidi w:val="0"/>
              <w:adjustRightInd/>
              <w:snapToGrid/>
              <w:spacing w:beforeLines="0" w:afterLines="0"/>
              <w:ind w:firstLine="0" w:firstLineChars="0"/>
              <w:textAlignment w:val="auto"/>
              <w:rPr>
                <w:rFonts w:hint="eastAsia" w:ascii="黑体" w:hAnsi="黑体" w:eastAsia="黑体"/>
                <w:color w:val="auto"/>
                <w:sz w:val="24"/>
              </w:rPr>
            </w:pPr>
          </w:p>
        </w:tc>
        <w:tc>
          <w:tcPr>
            <w:tcW w:w="550"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6CA39F3E">
            <w:pPr>
              <w:keepNext w:val="0"/>
              <w:keepLines w:val="0"/>
              <w:pageBreakBefore w:val="0"/>
              <w:widowControl/>
              <w:kinsoku/>
              <w:wordWrap/>
              <w:overflowPunct/>
              <w:topLinePunct w:val="0"/>
              <w:autoSpaceDE/>
              <w:autoSpaceDN/>
              <w:bidi w:val="0"/>
              <w:adjustRightInd/>
              <w:snapToGrid/>
              <w:spacing w:beforeLines="0" w:afterLines="0"/>
              <w:ind w:left="-160" w:leftChars="-50" w:right="-192" w:rightChars="-6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14:paraId="0A812712">
            <w:pPr>
              <w:keepNext w:val="0"/>
              <w:keepLines w:val="0"/>
              <w:pageBreakBefore w:val="0"/>
              <w:widowControl/>
              <w:kinsoku/>
              <w:wordWrap/>
              <w:overflowPunct/>
              <w:topLinePunct w:val="0"/>
              <w:autoSpaceDE/>
              <w:autoSpaceDN/>
              <w:bidi w:val="0"/>
              <w:adjustRightInd/>
              <w:snapToGrid/>
              <w:spacing w:beforeLines="0" w:afterLines="0"/>
              <w:ind w:left="-160" w:leftChars="-50" w:right="-192" w:rightChars="-6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维持</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3DD14323">
            <w:pPr>
              <w:keepNext w:val="0"/>
              <w:keepLines w:val="0"/>
              <w:pageBreakBefore w:val="0"/>
              <w:widowControl/>
              <w:kinsoku/>
              <w:wordWrap/>
              <w:overflowPunct/>
              <w:topLinePunct w:val="0"/>
              <w:autoSpaceDE/>
              <w:autoSpaceDN/>
              <w:bidi w:val="0"/>
              <w:adjustRightInd/>
              <w:snapToGrid/>
              <w:spacing w:beforeLines="0" w:afterLines="0"/>
              <w:ind w:left="-131" w:leftChars="-41" w:right="-134" w:rightChars="-42"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14:paraId="462F4313">
            <w:pPr>
              <w:keepNext w:val="0"/>
              <w:keepLines w:val="0"/>
              <w:pageBreakBefore w:val="0"/>
              <w:widowControl/>
              <w:kinsoku/>
              <w:wordWrap/>
              <w:overflowPunct/>
              <w:topLinePunct w:val="0"/>
              <w:autoSpaceDE/>
              <w:autoSpaceDN/>
              <w:bidi w:val="0"/>
              <w:adjustRightInd/>
              <w:snapToGrid/>
              <w:spacing w:beforeLines="0" w:afterLines="0"/>
              <w:ind w:left="-131" w:leftChars="-41" w:right="-134" w:rightChars="-42"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65E24B27">
            <w:pPr>
              <w:keepNext w:val="0"/>
              <w:keepLines w:val="0"/>
              <w:pageBreakBefore w:val="0"/>
              <w:widowControl/>
              <w:kinsoku/>
              <w:wordWrap/>
              <w:overflowPunct/>
              <w:topLinePunct w:val="0"/>
              <w:autoSpaceDE/>
              <w:autoSpaceDN/>
              <w:bidi w:val="0"/>
              <w:adjustRightInd/>
              <w:snapToGrid/>
              <w:spacing w:beforeLines="0" w:afterLines="0"/>
              <w:ind w:left="-192" w:leftChars="-60" w:right="-208" w:rightChars="-65"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其他</w:t>
            </w:r>
          </w:p>
          <w:p w14:paraId="027F1385">
            <w:pPr>
              <w:keepNext w:val="0"/>
              <w:keepLines w:val="0"/>
              <w:pageBreakBefore w:val="0"/>
              <w:widowControl/>
              <w:kinsoku/>
              <w:wordWrap/>
              <w:overflowPunct/>
              <w:topLinePunct w:val="0"/>
              <w:autoSpaceDE/>
              <w:autoSpaceDN/>
              <w:bidi w:val="0"/>
              <w:adjustRightInd/>
              <w:snapToGrid/>
              <w:spacing w:beforeLines="0" w:afterLines="0"/>
              <w:ind w:left="-192" w:leftChars="-60" w:right="-208" w:rightChars="-65"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07732A1A">
            <w:pPr>
              <w:keepNext w:val="0"/>
              <w:keepLines w:val="0"/>
              <w:pageBreakBefore w:val="0"/>
              <w:widowControl/>
              <w:kinsoku/>
              <w:wordWrap/>
              <w:overflowPunct/>
              <w:topLinePunct w:val="0"/>
              <w:autoSpaceDE/>
              <w:autoSpaceDN/>
              <w:bidi w:val="0"/>
              <w:adjustRightInd/>
              <w:snapToGrid/>
              <w:spacing w:beforeLines="0" w:afterLines="0"/>
              <w:ind w:left="-250" w:leftChars="-78" w:right="-234" w:rightChars="-73"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尚未</w:t>
            </w:r>
          </w:p>
          <w:p w14:paraId="63990EB2">
            <w:pPr>
              <w:keepNext w:val="0"/>
              <w:keepLines w:val="0"/>
              <w:pageBreakBefore w:val="0"/>
              <w:widowControl/>
              <w:kinsoku/>
              <w:wordWrap/>
              <w:overflowPunct/>
              <w:topLinePunct w:val="0"/>
              <w:autoSpaceDE/>
              <w:autoSpaceDN/>
              <w:bidi w:val="0"/>
              <w:adjustRightInd/>
              <w:snapToGrid/>
              <w:spacing w:beforeLines="0" w:afterLines="0"/>
              <w:ind w:left="-250" w:leftChars="-78" w:right="-234" w:rightChars="-73"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审结</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340879D8">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总计</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6F867C23">
            <w:pPr>
              <w:keepNext w:val="0"/>
              <w:keepLines w:val="0"/>
              <w:pageBreakBefore w:val="0"/>
              <w:widowControl/>
              <w:kinsoku/>
              <w:wordWrap/>
              <w:overflowPunct/>
              <w:topLinePunct w:val="0"/>
              <w:autoSpaceDE/>
              <w:autoSpaceDN/>
              <w:bidi w:val="0"/>
              <w:adjustRightInd/>
              <w:snapToGrid/>
              <w:spacing w:beforeLines="0" w:afterLines="0"/>
              <w:ind w:left="-150" w:leftChars="-47" w:right="-118" w:rightChars="-37"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结果维持</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14466A53">
            <w:pPr>
              <w:keepNext w:val="0"/>
              <w:keepLines w:val="0"/>
              <w:pageBreakBefore w:val="0"/>
              <w:widowControl/>
              <w:kinsoku/>
              <w:wordWrap/>
              <w:overflowPunct/>
              <w:topLinePunct w:val="0"/>
              <w:autoSpaceDE/>
              <w:autoSpaceDN/>
              <w:bidi w:val="0"/>
              <w:adjustRightInd/>
              <w:snapToGrid/>
              <w:spacing w:beforeLines="0" w:afterLines="0"/>
              <w:ind w:left="-208" w:leftChars="-65" w:right="-189" w:rightChars="-59"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结果</w:t>
            </w:r>
          </w:p>
          <w:p w14:paraId="64A6ADF0">
            <w:pPr>
              <w:keepNext w:val="0"/>
              <w:keepLines w:val="0"/>
              <w:pageBreakBefore w:val="0"/>
              <w:widowControl/>
              <w:kinsoku/>
              <w:wordWrap/>
              <w:overflowPunct/>
              <w:topLinePunct w:val="0"/>
              <w:autoSpaceDE/>
              <w:autoSpaceDN/>
              <w:bidi w:val="0"/>
              <w:adjustRightInd/>
              <w:snapToGrid/>
              <w:spacing w:beforeLines="0" w:afterLines="0"/>
              <w:ind w:left="-208" w:leftChars="-65" w:right="-189" w:rightChars="-59"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198CDD5E">
            <w:pPr>
              <w:keepNext w:val="0"/>
              <w:keepLines w:val="0"/>
              <w:pageBreakBefore w:val="0"/>
              <w:widowControl/>
              <w:kinsoku/>
              <w:wordWrap/>
              <w:overflowPunct/>
              <w:topLinePunct w:val="0"/>
              <w:autoSpaceDE/>
              <w:autoSpaceDN/>
              <w:bidi w:val="0"/>
              <w:adjustRightInd/>
              <w:snapToGrid/>
              <w:spacing w:beforeLines="0" w:afterLines="0"/>
              <w:ind w:left="-266" w:leftChars="-83" w:right="-205" w:rightChars="-64"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其他</w:t>
            </w:r>
          </w:p>
          <w:p w14:paraId="317CB9DD">
            <w:pPr>
              <w:keepNext w:val="0"/>
              <w:keepLines w:val="0"/>
              <w:pageBreakBefore w:val="0"/>
              <w:widowControl/>
              <w:kinsoku/>
              <w:wordWrap/>
              <w:overflowPunct/>
              <w:topLinePunct w:val="0"/>
              <w:autoSpaceDE/>
              <w:autoSpaceDN/>
              <w:bidi w:val="0"/>
              <w:adjustRightInd/>
              <w:snapToGrid/>
              <w:spacing w:beforeLines="0" w:afterLines="0"/>
              <w:ind w:left="-266" w:leftChars="-83" w:right="-205" w:rightChars="-64"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结果</w:t>
            </w:r>
          </w:p>
        </w:tc>
        <w:tc>
          <w:tcPr>
            <w:tcW w:w="606"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19DB26EC">
            <w:pPr>
              <w:keepNext w:val="0"/>
              <w:keepLines w:val="0"/>
              <w:pageBreakBefore w:val="0"/>
              <w:widowControl/>
              <w:kinsoku/>
              <w:wordWrap/>
              <w:overflowPunct/>
              <w:topLinePunct w:val="0"/>
              <w:autoSpaceDE/>
              <w:autoSpaceDN/>
              <w:bidi w:val="0"/>
              <w:adjustRightInd/>
              <w:snapToGrid/>
              <w:spacing w:beforeLines="0" w:afterLines="0"/>
              <w:ind w:left="-106" w:leftChars="-33" w:right="-160" w:rightChars="-50" w:firstLine="0" w:firstLineChars="0"/>
              <w:jc w:val="center"/>
              <w:textAlignment w:val="auto"/>
              <w:rPr>
                <w:rFonts w:hint="eastAsia" w:ascii="黑体" w:hAnsi="黑体" w:eastAsia="黑体"/>
                <w:color w:val="auto"/>
                <w:kern w:val="0"/>
                <w:sz w:val="20"/>
              </w:rPr>
            </w:pPr>
            <w:r>
              <w:rPr>
                <w:rFonts w:hint="eastAsia" w:ascii="黑体" w:hAnsi="黑体" w:eastAsia="黑体"/>
                <w:color w:val="auto"/>
                <w:kern w:val="0"/>
                <w:sz w:val="20"/>
              </w:rPr>
              <w:t>尚未</w:t>
            </w:r>
          </w:p>
          <w:p w14:paraId="45325214">
            <w:pPr>
              <w:keepNext w:val="0"/>
              <w:keepLines w:val="0"/>
              <w:pageBreakBefore w:val="0"/>
              <w:widowControl/>
              <w:kinsoku/>
              <w:wordWrap/>
              <w:overflowPunct/>
              <w:topLinePunct w:val="0"/>
              <w:autoSpaceDE/>
              <w:autoSpaceDN/>
              <w:bidi w:val="0"/>
              <w:adjustRightInd/>
              <w:snapToGrid/>
              <w:spacing w:beforeLines="0" w:afterLines="0"/>
              <w:ind w:left="-106" w:leftChars="-33" w:right="-160" w:rightChars="-50"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审结</w:t>
            </w:r>
          </w:p>
        </w:tc>
        <w:tc>
          <w:tcPr>
            <w:tcW w:w="606" w:type="dxa"/>
            <w:tcBorders>
              <w:top w:val="single" w:color="auto" w:sz="8" w:space="0"/>
              <w:left w:val="nil"/>
              <w:bottom w:val="single" w:color="auto" w:sz="8" w:space="0"/>
              <w:right w:val="single" w:color="auto" w:sz="8" w:space="0"/>
              <w:tl2br w:val="nil"/>
              <w:tr2bl w:val="nil"/>
            </w:tcBorders>
            <w:noWrap w:val="0"/>
            <w:tcMar>
              <w:left w:w="108" w:type="dxa"/>
              <w:right w:w="108" w:type="dxa"/>
            </w:tcMar>
            <w:vAlign w:val="center"/>
          </w:tcPr>
          <w:p w14:paraId="0F98DB3F">
            <w:pPr>
              <w:keepNext w:val="0"/>
              <w:keepLines w:val="0"/>
              <w:pageBreakBefore w:val="0"/>
              <w:widowControl/>
              <w:kinsoku/>
              <w:wordWrap/>
              <w:overflowPunct/>
              <w:topLinePunct w:val="0"/>
              <w:autoSpaceDE/>
              <w:autoSpaceDN/>
              <w:bidi w:val="0"/>
              <w:adjustRightInd/>
              <w:snapToGrid/>
              <w:spacing w:beforeLines="0" w:afterLines="0"/>
              <w:ind w:firstLine="0" w:firstLineChars="0"/>
              <w:jc w:val="center"/>
              <w:textAlignment w:val="auto"/>
              <w:rPr>
                <w:rFonts w:hint="eastAsia" w:ascii="黑体" w:hAnsi="黑体" w:eastAsia="黑体"/>
                <w:color w:val="auto"/>
                <w:sz w:val="21"/>
              </w:rPr>
            </w:pPr>
            <w:r>
              <w:rPr>
                <w:rFonts w:hint="eastAsia" w:ascii="黑体" w:hAnsi="黑体" w:eastAsia="黑体"/>
                <w:color w:val="auto"/>
                <w:kern w:val="0"/>
                <w:sz w:val="20"/>
              </w:rPr>
              <w:t>总计</w:t>
            </w:r>
          </w:p>
        </w:tc>
      </w:tr>
      <w:tr w14:paraId="7C2F06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l2br w:val="nil"/>
              <w:tr2bl w:val="nil"/>
            </w:tcBorders>
            <w:noWrap w:val="0"/>
            <w:tcMar>
              <w:left w:w="108" w:type="dxa"/>
              <w:right w:w="108" w:type="dxa"/>
            </w:tcMar>
            <w:vAlign w:val="center"/>
          </w:tcPr>
          <w:p w14:paraId="20BDFAB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4"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033BF8F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4"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11B686F1">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4"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094A3DE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58"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6DE686A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550"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0C7B85E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3BCCD653">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5747124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60BA6EB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13E1AF89">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0A692503">
            <w:pPr>
              <w:keepNext w:val="0"/>
              <w:keepLines w:val="0"/>
              <w:pageBreakBefore w:val="0"/>
              <w:widowControl/>
              <w:kinsoku/>
              <w:wordWrap/>
              <w:overflowPunct/>
              <w:topLinePunct w:val="0"/>
              <w:autoSpaceDE/>
              <w:autoSpaceDN/>
              <w:bidi w:val="0"/>
              <w:adjustRightInd/>
              <w:snapToGrid/>
              <w:spacing w:beforeLines="0" w:after="180" w:afterLines="0"/>
              <w:ind w:firstLine="0" w:firstLineChars="0"/>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66CE1E3E">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5"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6E7FEB54">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6"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7123E01F">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ascii="Times New Roman" w:hAnsi="Times New Roman"/>
                <w:color w:val="auto"/>
                <w:sz w:val="21"/>
                <w:lang w:val="en-US" w:eastAsia="zh-CN"/>
              </w:rPr>
              <w:t>0</w:t>
            </w:r>
          </w:p>
        </w:tc>
        <w:tc>
          <w:tcPr>
            <w:tcW w:w="606" w:type="dxa"/>
            <w:tcBorders>
              <w:top w:val="nil"/>
              <w:left w:val="nil"/>
              <w:bottom w:val="single" w:color="auto" w:sz="8" w:space="0"/>
              <w:right w:val="single" w:color="auto" w:sz="8" w:space="0"/>
              <w:tl2br w:val="nil"/>
              <w:tr2bl w:val="nil"/>
            </w:tcBorders>
            <w:noWrap w:val="0"/>
            <w:tcMar>
              <w:left w:w="108" w:type="dxa"/>
              <w:right w:w="108" w:type="dxa"/>
            </w:tcMar>
            <w:vAlign w:val="center"/>
          </w:tcPr>
          <w:p w14:paraId="6361EFCB">
            <w:pPr>
              <w:keepNext w:val="0"/>
              <w:keepLines w:val="0"/>
              <w:pageBreakBefore w:val="0"/>
              <w:widowControl/>
              <w:kinsoku/>
              <w:wordWrap/>
              <w:overflowPunct/>
              <w:topLinePunct w:val="0"/>
              <w:autoSpaceDE/>
              <w:autoSpaceDN/>
              <w:bidi w:val="0"/>
              <w:adjustRightInd/>
              <w:snapToGrid/>
              <w:spacing w:beforeLines="0" w:after="180" w:afterLines="0"/>
              <w:ind w:firstLine="0" w:firstLineChars="0"/>
              <w:jc w:val="center"/>
              <w:textAlignment w:val="auto"/>
              <w:rPr>
                <w:rFonts w:hint="eastAsia" w:ascii="Times New Roman" w:hAnsi="Times New Roman" w:eastAsia="仿宋_GB2312"/>
                <w:color w:val="auto"/>
                <w:sz w:val="21"/>
                <w:lang w:val="en-US" w:eastAsia="zh-CN"/>
              </w:rPr>
            </w:pPr>
            <w:r>
              <w:rPr>
                <w:rFonts w:hint="eastAsia"/>
                <w:color w:val="auto"/>
                <w:sz w:val="21"/>
                <w:lang w:val="en-US" w:eastAsia="zh-CN"/>
              </w:rPr>
              <w:t>0</w:t>
            </w:r>
          </w:p>
        </w:tc>
      </w:tr>
    </w:tbl>
    <w:p w14:paraId="79EB9C01">
      <w:pPr>
        <w:bidi w:val="0"/>
        <w:rPr>
          <w:rFonts w:hint="eastAsia" w:ascii="黑体" w:hAnsi="黑体" w:eastAsia="黑体" w:cs="黑体"/>
          <w:color w:val="auto"/>
        </w:rPr>
      </w:pPr>
      <w:r>
        <w:rPr>
          <w:rFonts w:hint="eastAsia" w:ascii="黑体" w:hAnsi="黑体" w:eastAsia="黑体" w:cs="黑体"/>
          <w:color w:val="auto"/>
          <w:lang w:val="en-US" w:eastAsia="zh-CN"/>
        </w:rPr>
        <w:t>五、</w:t>
      </w:r>
      <w:r>
        <w:rPr>
          <w:rFonts w:hint="eastAsia" w:ascii="黑体" w:hAnsi="黑体" w:eastAsia="黑体" w:cs="黑体"/>
          <w:color w:val="auto"/>
        </w:rPr>
        <w:t>存在的主要问题及改进情况</w:t>
      </w:r>
    </w:p>
    <w:p w14:paraId="38B83841">
      <w:pPr>
        <w:bidi w:val="0"/>
        <w:rPr>
          <w:rFonts w:hint="eastAsia" w:ascii="楷体_GB2312" w:hAnsi="楷体_GB2312" w:eastAsia="楷体_GB2312" w:cs="楷体_GB2312"/>
          <w:color w:val="auto"/>
        </w:rPr>
      </w:pPr>
      <w:r>
        <w:rPr>
          <w:rFonts w:hint="eastAsia" w:ascii="楷体_GB2312" w:hAnsi="楷体_GB2312" w:eastAsia="楷体_GB2312" w:cs="楷体_GB2312"/>
          <w:color w:val="auto"/>
        </w:rPr>
        <w:t>（一）针对上一年度存在的问题进行了整改</w:t>
      </w:r>
    </w:p>
    <w:p w14:paraId="52DDDC27">
      <w:pPr>
        <w:bidi w:val="0"/>
        <w:rPr>
          <w:color w:val="auto"/>
        </w:rPr>
      </w:pPr>
      <w:r>
        <w:rPr>
          <w:color w:val="auto"/>
        </w:rPr>
        <w:t>一是结合我区工作实际，加强对本部门制定文件的政策解读，通过</w:t>
      </w:r>
      <w:r>
        <w:rPr>
          <w:rFonts w:hint="eastAsia"/>
          <w:color w:val="auto"/>
          <w:lang w:val="en-US" w:eastAsia="zh-CN"/>
        </w:rPr>
        <w:t>新闻发布会</w:t>
      </w:r>
      <w:r>
        <w:rPr>
          <w:color w:val="auto"/>
        </w:rPr>
        <w:t>等多种形式展开解读，为社会公众和企业提供有效的信息参考。二是拓展载体，进一步丰富政府信息公开的手段。拓宽信息公开方式，畅通公开渠道，通过</w:t>
      </w:r>
      <w:r>
        <w:rPr>
          <w:rFonts w:hint="eastAsia"/>
          <w:color w:val="auto"/>
          <w:lang w:val="en-US" w:eastAsia="zh-CN"/>
        </w:rPr>
        <w:t>政府网站</w:t>
      </w:r>
      <w:r>
        <w:rPr>
          <w:color w:val="auto"/>
        </w:rPr>
        <w:t>等媒体更好地向群众提供与经济社会发展和群众生活密切相关的信息。</w:t>
      </w:r>
    </w:p>
    <w:p w14:paraId="55ABA48E">
      <w:pPr>
        <w:bidi w:val="0"/>
        <w:rPr>
          <w:rFonts w:hint="eastAsia" w:ascii="楷体_GB2312" w:hAnsi="楷体_GB2312" w:eastAsia="楷体_GB2312" w:cs="楷体_GB2312"/>
          <w:color w:val="auto"/>
        </w:rPr>
      </w:pPr>
      <w:r>
        <w:rPr>
          <w:rFonts w:hint="eastAsia" w:ascii="楷体_GB2312" w:hAnsi="楷体_GB2312" w:eastAsia="楷体_GB2312" w:cs="楷体_GB2312"/>
          <w:color w:val="auto"/>
        </w:rPr>
        <w:t>（二）202</w:t>
      </w:r>
      <w:r>
        <w:rPr>
          <w:rFonts w:hint="eastAsia" w:ascii="楷体_GB2312" w:hAnsi="楷体_GB2312" w:eastAsia="楷体_GB2312" w:cs="楷体_GB2312"/>
          <w:color w:val="auto"/>
          <w:lang w:val="en-US" w:eastAsia="zh-CN"/>
        </w:rPr>
        <w:t>4</w:t>
      </w:r>
      <w:r>
        <w:rPr>
          <w:rFonts w:hint="eastAsia" w:ascii="楷体_GB2312" w:hAnsi="楷体_GB2312" w:eastAsia="楷体_GB2312" w:cs="楷体_GB2312"/>
          <w:color w:val="auto"/>
        </w:rPr>
        <w:t>年存在的主要问题</w:t>
      </w:r>
    </w:p>
    <w:p w14:paraId="34196017">
      <w:pPr>
        <w:bidi w:val="0"/>
        <w:rPr>
          <w:rFonts w:hint="eastAsia"/>
          <w:color w:val="auto"/>
        </w:rPr>
      </w:pPr>
      <w:r>
        <w:rPr>
          <w:rFonts w:hint="eastAsia"/>
          <w:color w:val="auto"/>
        </w:rPr>
        <w:t>一是以文辅政能力不足，主动参与意识有待增强；二是主动工作、超前工作意识还不强，工作前瞻性不够，创新工作的能力欠缺。</w:t>
      </w:r>
    </w:p>
    <w:p w14:paraId="022D160E">
      <w:pPr>
        <w:bidi w:val="0"/>
        <w:rPr>
          <w:rFonts w:hint="eastAsia" w:ascii="楷体_GB2312" w:hAnsi="楷体_GB2312" w:eastAsia="楷体_GB2312" w:cs="楷体_GB2312"/>
          <w:color w:val="auto"/>
        </w:rPr>
      </w:pPr>
      <w:r>
        <w:rPr>
          <w:rFonts w:hint="eastAsia" w:ascii="楷体_GB2312" w:hAnsi="楷体_GB2312" w:eastAsia="楷体_GB2312" w:cs="楷体_GB2312"/>
          <w:color w:val="auto"/>
        </w:rPr>
        <w:t>（三）改进措施</w:t>
      </w:r>
    </w:p>
    <w:p w14:paraId="2A350939">
      <w:pPr>
        <w:bidi w:val="0"/>
        <w:rPr>
          <w:rFonts w:hint="default"/>
          <w:color w:val="auto"/>
        </w:rPr>
      </w:pPr>
      <w:r>
        <w:rPr>
          <w:rFonts w:hint="eastAsia"/>
          <w:color w:val="auto"/>
        </w:rPr>
        <w:t>一是做好政务公开信息的报送。明确</w:t>
      </w:r>
      <w:r>
        <w:rPr>
          <w:rFonts w:hint="eastAsia"/>
          <w:color w:val="auto"/>
          <w:lang w:eastAsia="zh-CN"/>
        </w:rPr>
        <w:t>办公室</w:t>
      </w:r>
      <w:r>
        <w:rPr>
          <w:rFonts w:hint="eastAsia"/>
          <w:color w:val="auto"/>
        </w:rPr>
        <w:t>作为政务公开信息的责任部门，负责政务公开信息的整理、概括和报送工作，确保完成信息报送工作。二是强化服务意识，转变工作作风，督促有关部门主动公开政务，进一步健全和完善</w:t>
      </w:r>
      <w:r>
        <w:rPr>
          <w:rFonts w:hint="eastAsia"/>
          <w:color w:val="auto"/>
          <w:lang w:val="en-US" w:eastAsia="zh-CN"/>
        </w:rPr>
        <w:t>相关</w:t>
      </w:r>
      <w:r>
        <w:rPr>
          <w:rFonts w:hint="eastAsia"/>
          <w:color w:val="auto"/>
        </w:rPr>
        <w:t>运行制度，加大政务信息工作的透明度。</w:t>
      </w:r>
    </w:p>
    <w:p w14:paraId="20721CAF">
      <w:pPr>
        <w:bidi w:val="0"/>
        <w:rPr>
          <w:rFonts w:hint="eastAsia" w:ascii="黑体" w:hAnsi="黑体" w:eastAsia="黑体" w:cs="黑体"/>
          <w:color w:val="auto"/>
        </w:rPr>
      </w:pPr>
      <w:r>
        <w:rPr>
          <w:rFonts w:hint="eastAsia" w:ascii="黑体" w:hAnsi="黑体" w:eastAsia="黑体" w:cs="黑体"/>
          <w:color w:val="auto"/>
        </w:rPr>
        <w:t xml:space="preserve">六、其他需要报告的事项 </w:t>
      </w:r>
    </w:p>
    <w:p w14:paraId="7301636F">
      <w:pPr>
        <w:bidi w:val="0"/>
        <w:rPr>
          <w:rFonts w:hint="eastAsia" w:ascii="楷体_GB2312" w:hAnsi="楷体_GB2312" w:eastAsia="楷体_GB2312" w:cs="楷体_GB2312"/>
          <w:color w:val="auto"/>
        </w:rPr>
      </w:pPr>
      <w:r>
        <w:rPr>
          <w:rFonts w:hint="eastAsia" w:ascii="楷体_GB2312" w:hAnsi="楷体_GB2312" w:eastAsia="楷体_GB2312" w:cs="楷体_GB2312"/>
          <w:color w:val="auto"/>
        </w:rPr>
        <w:t>（一）本单位收取政府信息公开信息处理费情况。</w:t>
      </w:r>
    </w:p>
    <w:p w14:paraId="02D43DBD">
      <w:pPr>
        <w:bidi w:val="0"/>
        <w:rPr>
          <w:rFonts w:hint="eastAsia"/>
          <w:color w:val="auto"/>
        </w:rPr>
      </w:pPr>
      <w:r>
        <w:rPr>
          <w:rFonts w:hint="eastAsia"/>
          <w:color w:val="auto"/>
        </w:rPr>
        <w:t xml:space="preserve"> 2024年度，本单位向申请人收取信息处理费为0。</w:t>
      </w:r>
    </w:p>
    <w:p w14:paraId="0739D246">
      <w:pPr>
        <w:bidi w:val="0"/>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rPr>
        <w:t>（二）202</w:t>
      </w:r>
      <w:r>
        <w:rPr>
          <w:rFonts w:hint="eastAsia" w:ascii="楷体_GB2312" w:hAnsi="楷体_GB2312" w:eastAsia="楷体_GB2312" w:cs="楷体_GB2312"/>
          <w:color w:val="auto"/>
          <w:lang w:val="en-US" w:eastAsia="zh-CN"/>
        </w:rPr>
        <w:t>4</w:t>
      </w:r>
      <w:r>
        <w:rPr>
          <w:rFonts w:hint="eastAsia" w:ascii="楷体_GB2312" w:hAnsi="楷体_GB2312" w:eastAsia="楷体_GB2312" w:cs="楷体_GB2312"/>
          <w:color w:val="auto"/>
        </w:rPr>
        <w:t>年山亭区政务公开工作要点落实情况</w:t>
      </w:r>
      <w:r>
        <w:rPr>
          <w:rFonts w:hint="eastAsia" w:ascii="楷体_GB2312" w:hAnsi="楷体_GB2312" w:eastAsia="楷体_GB2312" w:cs="楷体_GB2312"/>
          <w:color w:val="auto"/>
          <w:lang w:eastAsia="zh-CN"/>
        </w:rPr>
        <w:t>。</w:t>
      </w:r>
    </w:p>
    <w:p w14:paraId="21ACE036">
      <w:pPr>
        <w:bidi w:val="0"/>
        <w:rPr>
          <w:color w:val="auto"/>
        </w:rPr>
      </w:pPr>
      <w:r>
        <w:rPr>
          <w:rFonts w:hint="eastAsia"/>
          <w:color w:val="auto"/>
        </w:rPr>
        <w:t>根据政务公开工作要点要求做好政务公开工作，并加大日常工作指导和调度，目前各项工作已落实到位。</w:t>
      </w:r>
    </w:p>
    <w:p w14:paraId="15B5514B">
      <w:pPr>
        <w:bidi w:val="0"/>
        <w:rPr>
          <w:rFonts w:hint="eastAsia" w:ascii="楷体_GB2312" w:hAnsi="楷体_GB2312" w:eastAsia="楷体_GB2312" w:cs="楷体_GB2312"/>
          <w:color w:val="auto"/>
        </w:rPr>
      </w:pPr>
      <w:r>
        <w:rPr>
          <w:rFonts w:hint="eastAsia" w:ascii="楷体_GB2312" w:hAnsi="楷体_GB2312" w:eastAsia="楷体_GB2312" w:cs="楷体_GB2312"/>
          <w:color w:val="auto"/>
        </w:rPr>
        <w:t>（三）202</w:t>
      </w:r>
      <w:r>
        <w:rPr>
          <w:rFonts w:hint="eastAsia" w:ascii="楷体_GB2312" w:hAnsi="楷体_GB2312" w:eastAsia="楷体_GB2312" w:cs="楷体_GB2312"/>
          <w:color w:val="auto"/>
          <w:lang w:val="en-US" w:eastAsia="zh-CN"/>
        </w:rPr>
        <w:t>4</w:t>
      </w:r>
      <w:r>
        <w:rPr>
          <w:rFonts w:hint="eastAsia" w:ascii="楷体_GB2312" w:hAnsi="楷体_GB2312" w:eastAsia="楷体_GB2312" w:cs="楷体_GB2312"/>
          <w:color w:val="auto"/>
        </w:rPr>
        <w:t>年，我单位未承办建议提案。</w:t>
      </w:r>
    </w:p>
    <w:p w14:paraId="7DC0FFE8">
      <w:pPr>
        <w:numPr>
          <w:ilvl w:val="0"/>
          <w:numId w:val="2"/>
        </w:numPr>
        <w:bidi w:val="0"/>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本单位在政务公开制度、内容、形式和平台建设方面的创新实践情况。</w:t>
      </w:r>
    </w:p>
    <w:p w14:paraId="0B8C7EA2">
      <w:pPr>
        <w:numPr>
          <w:ilvl w:val="0"/>
          <w:numId w:val="0"/>
        </w:numPr>
        <w:bidi w:val="0"/>
        <w:ind w:firstLine="856"/>
        <w:rPr>
          <w:rFonts w:hint="eastAsia"/>
          <w:color w:val="auto"/>
        </w:rPr>
      </w:pPr>
      <w:r>
        <w:rPr>
          <w:rFonts w:hint="eastAsia" w:ascii="Times New Roman" w:hAnsi="Times New Roman" w:eastAsia="仿宋_GB2312" w:cs="Times New Roman"/>
          <w:color w:val="auto"/>
          <w:kern w:val="2"/>
          <w:sz w:val="32"/>
          <w:szCs w:val="20"/>
          <w:lang w:val="en-US" w:eastAsia="zh-CN" w:bidi="ar-SA"/>
        </w:rPr>
        <w:t>严格贯彻落实政务公开工作方案，依据总体要求认真开展各项工作，及时公开相关政务信息。一是拓宽政府信息公开内容深度。重点做好区政务公开办规定的重点领域信息公开工作，在深化完善和巩固提高上下功夫。按照有关规定对行政事项进一步公开办事程序、办事标准、办事结果，不断增强工作透明度，提升办事群众满意度。二是理顺信息公开工作机制。加强执行信息公开各项工作制度并定期考评，确保政府信息公开工作能按照既定的工作流程有效运作。同时，积极借鉴和学习省内其他地市信息公开工作的经验和做法。三是抓好政务公开薄弱环节。规范工作流程，加强</w:t>
      </w:r>
      <w:r>
        <w:rPr>
          <w:rFonts w:hint="eastAsia" w:ascii="Times New Roman" w:hAnsi="Times New Roman" w:cs="Times New Roman"/>
          <w:color w:val="auto"/>
          <w:kern w:val="2"/>
          <w:sz w:val="32"/>
          <w:szCs w:val="20"/>
          <w:lang w:val="en-US" w:eastAsia="zh-CN" w:bidi="ar-SA"/>
        </w:rPr>
        <w:t>审计评估</w:t>
      </w:r>
      <w:r>
        <w:rPr>
          <w:rFonts w:hint="eastAsia" w:ascii="Times New Roman" w:hAnsi="Times New Roman" w:eastAsia="仿宋_GB2312" w:cs="Times New Roman"/>
          <w:color w:val="auto"/>
          <w:kern w:val="2"/>
          <w:sz w:val="32"/>
          <w:szCs w:val="20"/>
          <w:lang w:val="en-US" w:eastAsia="zh-CN" w:bidi="ar-SA"/>
        </w:rPr>
        <w:t>等方面政府信息公开力度</w:t>
      </w:r>
      <w:r>
        <w:rPr>
          <w:rFonts w:hint="eastAsia" w:ascii="Times New Roman" w:hAnsi="Times New Roman" w:cs="Times New Roman"/>
          <w:color w:val="auto"/>
          <w:kern w:val="2"/>
          <w:sz w:val="32"/>
          <w:szCs w:val="20"/>
          <w:lang w:val="en-US" w:eastAsia="zh-CN" w:bidi="ar-SA"/>
        </w:rPr>
        <w:t>，</w:t>
      </w:r>
      <w:r>
        <w:rPr>
          <w:rFonts w:hint="eastAsia" w:ascii="Times New Roman" w:hAnsi="Times New Roman" w:eastAsia="仿宋_GB2312" w:cs="Times New Roman"/>
          <w:color w:val="auto"/>
          <w:kern w:val="2"/>
          <w:sz w:val="32"/>
          <w:szCs w:val="20"/>
          <w:lang w:val="en-US" w:eastAsia="zh-CN" w:bidi="ar-SA"/>
        </w:rPr>
        <w:t>做好重大政策解读。</w:t>
      </w:r>
    </w:p>
    <w:p w14:paraId="5D5CD50D">
      <w:pPr>
        <w:numPr>
          <w:ilvl w:val="0"/>
          <w:numId w:val="0"/>
        </w:numPr>
        <w:bidi w:val="0"/>
        <w:ind w:firstLine="856"/>
        <w:rPr>
          <w:rFonts w:hint="eastAsia"/>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D3E4">
    <w:pPr>
      <w:pStyle w:val="6"/>
      <w:spacing w:beforeLines="0" w:afterLines="0"/>
      <w:jc w:val="center"/>
      <w:rPr>
        <w:rFonts w:hint="eastAsia" w:ascii="宋体" w:hAnsi="宋体"/>
        <w:sz w:val="28"/>
      </w:rPr>
    </w:pPr>
    <w:r>
      <w:rPr>
        <w:rFonts w:hint="default"/>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372D08">
                          <w:pPr>
                            <w:snapToGrid w:val="0"/>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21"/>
                            </w:rPr>
                            <w:t>1</w:t>
                          </w:r>
                          <w:r>
                            <w:rPr>
                              <w:rFonts w:hint="default"/>
                              <w:sz w:val="21"/>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WfoH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WsSd56aCv9lHbDkzSW0M&#10;tcfucL5Zi3EX0wL9e85RT+9v/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pZ+gecBAADH&#10;AwAADgAAAAAAAAABACAAAAAfAQAAZHJzL2Uyb0RvYy54bWxQSwUGAAAAAAYABgBZAQAAeAUAAAAA&#10;">
              <v:fill on="f" focussize="0,0"/>
              <v:stroke on="f" weight="0.5pt"/>
              <v:imagedata o:title=""/>
              <o:lock v:ext="edit" aspectratio="f"/>
              <v:textbox inset="0mm,0mm,0mm,0mm" style="mso-fit-shape-to-text:t;">
                <w:txbxContent>
                  <w:p w14:paraId="28372D08">
                    <w:pPr>
                      <w:snapToGrid w:val="0"/>
                      <w:spacing w:beforeLines="0" w:afterLines="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21"/>
                      </w:rPr>
                      <w:t>1</w:t>
                    </w:r>
                    <w:r>
                      <w:rPr>
                        <w:rFonts w:hint="default"/>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8C761"/>
    <w:multiLevelType w:val="singleLevel"/>
    <w:tmpl w:val="FB78C761"/>
    <w:lvl w:ilvl="0" w:tentative="0">
      <w:start w:val="4"/>
      <w:numFmt w:val="chineseCounting"/>
      <w:suff w:val="nothing"/>
      <w:lvlText w:val="（%1）"/>
      <w:lvlJc w:val="left"/>
      <w:rPr>
        <w:rFonts w:hint="eastAsia"/>
      </w:rPr>
    </w:lvl>
  </w:abstractNum>
  <w:abstractNum w:abstractNumId="1">
    <w:nsid w:val="3484F6CE"/>
    <w:multiLevelType w:val="singleLevel"/>
    <w:tmpl w:val="3484F6C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6795B"/>
    <w:rsid w:val="01CE30B1"/>
    <w:rsid w:val="0A75668A"/>
    <w:rsid w:val="0DD82543"/>
    <w:rsid w:val="10525806"/>
    <w:rsid w:val="1FBE1512"/>
    <w:rsid w:val="23D9206E"/>
    <w:rsid w:val="2CE35D0C"/>
    <w:rsid w:val="3692654F"/>
    <w:rsid w:val="3EA32FA6"/>
    <w:rsid w:val="3F2120D8"/>
    <w:rsid w:val="47DB7AD9"/>
    <w:rsid w:val="4CB52279"/>
    <w:rsid w:val="4F987B6A"/>
    <w:rsid w:val="59BE463E"/>
    <w:rsid w:val="5EC96260"/>
    <w:rsid w:val="5F491D42"/>
    <w:rsid w:val="5F781A34"/>
    <w:rsid w:val="601654D5"/>
    <w:rsid w:val="61F30BB8"/>
    <w:rsid w:val="642320E3"/>
    <w:rsid w:val="686B33DE"/>
    <w:rsid w:val="6A8B6AC0"/>
    <w:rsid w:val="6B80414A"/>
    <w:rsid w:val="6F441792"/>
    <w:rsid w:val="702D6091"/>
    <w:rsid w:val="720A29C0"/>
    <w:rsid w:val="783529D8"/>
    <w:rsid w:val="7B0D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56"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1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keepNext/>
      <w:keepLines/>
      <w:spacing w:beforeLines="0" w:beforeAutospacing="0" w:afterLines="0" w:afterAutospacing="0" w:line="560" w:lineRule="exact"/>
      <w:ind w:firstLine="880" w:firstLineChars="200"/>
      <w:outlineLvl w:val="2"/>
    </w:pPr>
    <w:rPr>
      <w:rFonts w:eastAsia="仿宋_GB2312" w:asciiTheme="minorAscii" w:hAnsiTheme="minorAscii"/>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2 Char"/>
    <w:link w:val="4"/>
    <w:qFormat/>
    <w:uiPriority w:val="0"/>
    <w:rPr>
      <w:rFonts w:ascii="Arial" w:hAnsi="Arial" w:eastAsia="楷体_GB2312"/>
      <w:sz w:val="32"/>
    </w:rPr>
  </w:style>
  <w:style w:type="paragraph" w:customStyle="1" w:styleId="12">
    <w:name w:val="文章题目"/>
    <w:basedOn w:val="1"/>
    <w:qFormat/>
    <w:uiPriority w:val="0"/>
    <w:pPr>
      <w:spacing w:line="640" w:lineRule="exact"/>
      <w:ind w:firstLine="0" w:firstLineChars="0"/>
    </w:pPr>
    <w:rPr>
      <w:rFonts w:eastAsia="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2715</Words>
  <Characters>2847</Characters>
  <Lines>0</Lines>
  <Paragraphs>0</Paragraphs>
  <TotalTime>44</TotalTime>
  <ScaleCrop>false</ScaleCrop>
  <LinksUpToDate>false</LinksUpToDate>
  <CharactersWithSpaces>2851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烟花坠</dc:creator>
  <cp:lastModifiedBy>周沫</cp:lastModifiedBy>
  <dcterms:modified xsi:type="dcterms:W3CDTF">2025-01-17T11:00:05Z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eyJoZGlkIjoiYWRlMzAwYWFkYmQ1M2VhOWE0YjhmNTIzODNmOGVjYWQiLCJ1c2VySWQiOiIzNzgyOTM3MzgifQ==</vt:lpwstr>
  </property>
  <property fmtid="{D5CDD505-2E9C-101B-9397-08002B2CF9AE}" pid="4" name="ICV">
    <vt:lpwstr>BA6863E1B98649AEA26EF7347598142B_12</vt:lpwstr>
  </property>
</Properties>
</file>