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ECD5">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根据新修订的《中华人民共和国政府信息公开条例》《国务院办公厅政府信息与政务公开办公室关于政府信息公开工作年度报告有关事项的通知》（国办公开办函〔2019〕60号）和省、枣庄市有关工作要求，编制本报告并向社会公开。本报告所列数据的统计时限自2024年1月1日至2024年12月31日。本报告全文在将山亭区政府网站（</w:t>
      </w:r>
      <w:r>
        <w:rPr>
          <w:rFonts w:hint="eastAsia" w:ascii="仿宋_GB2312" w:hAnsi="仿宋_GB2312" w:eastAsia="仿宋_GB2312" w:cs="仿宋_GB2312"/>
          <w:i w:val="0"/>
          <w:caps w:val="0"/>
          <w:color w:val="auto"/>
          <w:spacing w:val="0"/>
          <w:kern w:val="0"/>
          <w:sz w:val="32"/>
          <w:szCs w:val="32"/>
          <w:u w:val="none"/>
          <w:lang w:val="en-US" w:eastAsia="zh-CN" w:bidi="ar"/>
        </w:rPr>
        <w:t>http://www.shanting.gov.cn/</w:t>
      </w:r>
      <w:r>
        <w:rPr>
          <w:rFonts w:hint="eastAsia" w:ascii="仿宋_GB2312" w:hAnsi="仿宋_GB2312" w:eastAsia="仿宋_GB2312" w:cs="仿宋_GB2312"/>
          <w:i w:val="0"/>
          <w:caps w:val="0"/>
          <w:color w:val="auto"/>
          <w:spacing w:val="0"/>
          <w:kern w:val="0"/>
          <w:sz w:val="32"/>
          <w:szCs w:val="32"/>
          <w:lang w:val="en-US" w:eastAsia="zh-CN" w:bidi="ar"/>
        </w:rPr>
        <w:t>），“政府信息公开年度报告”专栏公布。如对本报告有疑问，可与山亭区北庄镇党政办联系（地址：山亭区北庄镇驻地，邮编：277218，电话：0632-8911936，传真：0632-8912602） 。</w:t>
      </w:r>
    </w:p>
    <w:p w14:paraId="55E80BBA">
      <w:pPr>
        <w:pStyle w:val="2"/>
        <w:numPr>
          <w:ilvl w:val="0"/>
          <w:numId w:val="0"/>
        </w:numPr>
        <w:spacing w:before="0" w:after="0" w:line="240" w:lineRule="auto"/>
        <w:ind w:firstLine="640" w:firstLineChars="200"/>
        <w:rPr>
          <w:rFonts w:hint="eastAsia" w:ascii="仿宋_GB2312" w:hAnsi="仿宋_GB2312" w:eastAsia="仿宋_GB2312" w:cs="仿宋_GB2312"/>
          <w:i w:val="0"/>
          <w:caps w:val="0"/>
          <w:color w:val="auto"/>
          <w:spacing w:val="0"/>
          <w:kern w:val="0"/>
          <w:sz w:val="32"/>
          <w:szCs w:val="32"/>
          <w:lang w:val="en-US" w:eastAsia="zh-CN" w:bidi="ar"/>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总体情况</w:t>
      </w:r>
    </w:p>
    <w:p w14:paraId="4D3F08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2024 年，北庄镇始终秉持“公开为常态，不公开为例外”的原则，严格按照《条例》规定及区委、区政府的要求，积极推进政府信息公开工作，致力于提高政府工作的透明度，切实保障人民群众的知情权、参与权、表达权和监督权，不断提升工作的制度化、规范化、科学化水平，取得了显著成效。</w:t>
      </w:r>
    </w:p>
    <w:p w14:paraId="119EFB7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drawing>
          <wp:inline distT="0" distB="0" distL="114300" distR="114300">
            <wp:extent cx="2568575" cy="1920240"/>
            <wp:effectExtent l="0" t="0" r="3175" b="3810"/>
            <wp:docPr id="1" name="图片 1" descr="北庄镇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庄镇01"/>
                    <pic:cNvPicPr>
                      <a:picLocks noChangeAspect="1"/>
                    </pic:cNvPicPr>
                  </pic:nvPicPr>
                  <pic:blipFill>
                    <a:blip r:embed="rId5"/>
                    <a:stretch>
                      <a:fillRect/>
                    </a:stretch>
                  </pic:blipFill>
                  <pic:spPr>
                    <a:xfrm>
                      <a:off x="0" y="0"/>
                      <a:ext cx="2568575" cy="1920240"/>
                    </a:xfrm>
                    <a:prstGeom prst="rect">
                      <a:avLst/>
                    </a:prstGeom>
                  </pic:spPr>
                </pic:pic>
              </a:graphicData>
            </a:graphic>
          </wp:inline>
        </w:drawing>
      </w:r>
      <w:r>
        <w:rPr>
          <w:rFonts w:hint="eastAsia" w:ascii="仿宋_GB2312" w:hAnsi="仿宋_GB2312" w:eastAsia="仿宋_GB2312" w:cs="仿宋_GB2312"/>
          <w:b w:val="0"/>
          <w:bCs w:val="0"/>
          <w:i w:val="0"/>
          <w:caps w:val="0"/>
          <w:color w:val="auto"/>
          <w:spacing w:val="0"/>
          <w:kern w:val="0"/>
          <w:sz w:val="32"/>
          <w:szCs w:val="32"/>
          <w:lang w:val="en-US" w:eastAsia="zh-CN" w:bidi="ar"/>
        </w:rPr>
        <w:drawing>
          <wp:inline distT="0" distB="0" distL="114300" distR="114300">
            <wp:extent cx="2854325" cy="1897380"/>
            <wp:effectExtent l="0" t="0" r="3175" b="7620"/>
            <wp:docPr id="2" name="图片 2" descr="北庄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北庄02"/>
                    <pic:cNvPicPr>
                      <a:picLocks noChangeAspect="1"/>
                    </pic:cNvPicPr>
                  </pic:nvPicPr>
                  <pic:blipFill>
                    <a:blip r:embed="rId6"/>
                    <a:stretch>
                      <a:fillRect/>
                    </a:stretch>
                  </pic:blipFill>
                  <pic:spPr>
                    <a:xfrm>
                      <a:off x="0" y="0"/>
                      <a:ext cx="2854325" cy="1897380"/>
                    </a:xfrm>
                    <a:prstGeom prst="rect">
                      <a:avLst/>
                    </a:prstGeom>
                  </pic:spPr>
                </pic:pic>
              </a:graphicData>
            </a:graphic>
          </wp:inline>
        </w:drawing>
      </w:r>
    </w:p>
    <w:p w14:paraId="08232C5E">
      <w:pPr>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(一)主动公开方面。</w:t>
      </w:r>
      <w:r>
        <w:rPr>
          <w:rFonts w:hint="eastAsia" w:ascii="仿宋_GB2312" w:hAnsi="仿宋_GB2312" w:eastAsia="仿宋_GB2312" w:cs="仿宋_GB2312"/>
          <w:kern w:val="2"/>
          <w:sz w:val="32"/>
          <w:szCs w:val="32"/>
          <w:lang w:val="en-US" w:eastAsia="zh-CN" w:bidi="ar-SA"/>
        </w:rPr>
        <w:t>一是优化公开平台建设。对信息公开目录进行了全面细致的梳理，进一步完善区政府网站相关责任栏目和微信公众号信息推送的建设，确保应当主动公开的政府信息能够及时、准确、集中地发布。通过优化微信公众号平台界面和信息展示方式，有效提高群众的阅读体验和信息获取</w:t>
      </w:r>
      <w:r>
        <w:rPr>
          <w:rFonts w:hint="eastAsia" w:ascii="仿宋_GB2312" w:hAnsi="仿宋_GB2312" w:eastAsia="仿宋_GB2312" w:cs="仿宋_GB2312"/>
          <w:kern w:val="2"/>
          <w:sz w:val="32"/>
          <w:szCs w:val="32"/>
          <w:lang w:val="en-US" w:eastAsia="zh-CN" w:bidi="ar-SA"/>
        </w:rPr>
        <w:t>效率。二是深化公开与服务融合。积极探索创新基层政务公开模式，以镇便民服务中心和村级便民服务站为依托，全力打造政务公开体验区，并设置政务公开查阅点通过线上线下相结合的方式，全面了解政务服务事项、办事指南、办事流程、常见问题及监督举报方式等内容。三是强化公开向村级延伸。充分发挥镇村三务公开栏的作用，及时、全面地公开政务信息，确保群众能够就近了解政府相关信息及工作开展情况。同时，针对生产安全、社会治安、应急处置等社会热点问题，建立了快速响应机制，加强舆情监测、研判和回应，及时解答群众的疑问和关切。</w:t>
      </w:r>
    </w:p>
    <w:p w14:paraId="7E9BBB2A">
      <w:pPr>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（二）依申请公开方面。</w:t>
      </w:r>
      <w:r>
        <w:rPr>
          <w:rFonts w:hint="eastAsia" w:ascii="仿宋_GB2312" w:hAnsi="仿宋_GB2312" w:eastAsia="仿宋_GB2312" w:cs="仿宋_GB2312"/>
          <w:kern w:val="2"/>
          <w:sz w:val="32"/>
          <w:szCs w:val="32"/>
          <w:lang w:val="en-US" w:eastAsia="zh-CN" w:bidi="ar-SA"/>
        </w:rPr>
        <w:t>2024 年，北庄镇政府未收到政府信息公开申请。依据财政部、国家发展改革委联合印发的《关于清理规范一批行政事业性收费有关政策的通知》规定，本年度依申请公开政府信息未收取任何费用，包括检索费、复制费（含案卷材料复制费）、邮寄费等。</w:t>
      </w:r>
    </w:p>
    <w:p w14:paraId="651804C5">
      <w:pPr>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（三）政府信息管理。</w:t>
      </w:r>
      <w:r>
        <w:rPr>
          <w:rFonts w:hint="eastAsia" w:ascii="仿宋_GB2312" w:hAnsi="仿宋_GB2312" w:eastAsia="仿宋_GB2312" w:cs="仿宋_GB2312"/>
          <w:kern w:val="2"/>
          <w:sz w:val="32"/>
          <w:szCs w:val="32"/>
          <w:lang w:val="en-US" w:eastAsia="zh-CN" w:bidi="ar-SA"/>
        </w:rPr>
        <w:t xml:space="preserve">一是政府信息管理制度建设情况。本年度我镇没有制发与政务公开有关的文件或制定内部制度。二是政府信息管理动态调整机制建设情况。本年度我镇没有对本单位年度主动公开目录进行调整。三是规范性文件的情况。本年度我镇没有起草以镇政府或镇政府办公室名义制发的规范性文件。 </w:t>
      </w:r>
    </w:p>
    <w:p w14:paraId="4C1CB9E5">
      <w:pPr>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（四）平台建设方面。</w:t>
      </w:r>
      <w:r>
        <w:rPr>
          <w:rFonts w:hint="eastAsia" w:ascii="仿宋_GB2312" w:hAnsi="仿宋_GB2312" w:eastAsia="仿宋_GB2312" w:cs="仿宋_GB2312"/>
          <w:kern w:val="2"/>
          <w:sz w:val="32"/>
          <w:szCs w:val="32"/>
          <w:lang w:val="en-US" w:eastAsia="zh-CN" w:bidi="ar-SA"/>
        </w:rPr>
        <w:t>一是专人负责与高效运作。党政办公室安排专人负责政府信息公开内容的编写、审议和上传工作，并明确分管工作人员，确保信息能够及时、准确地通过区政府网站发布，保障政府信息公开工作的高效运行。二是推进标准化规范化工作。按照上级要求，在便民服务中心设立了 “开门见‘山’”政务公开专区，对 51 个领域的政务公开事项进行了全面梳理和进一步细化，并配备了政务服务 “智助办”自助终端设备、电脑及其他便民设备，为政务公开工作搭建了更加便捷、高效的平台。三是规范提升行政村“三务公开”专栏。对镇辖区内所有行政村的“三务公开”专栏进行了规范和提升，并线上线下互联，统一了公开内容、公开形式和公开时间，确保了公开信息的真实性、完整性和准确性，更好地满足公众和企业对政府信息和办事服务内容的公开需求。四是加强政务新媒体建设。高度重视北庄镇微信公众号“北庄微报”的建设和运营，及时发布各类政府信息，通过文字、图片和视频等形式，对公开材料进行准确解读，确保解释通俗易懂，便于群众接受。</w:t>
      </w:r>
    </w:p>
    <w:p w14:paraId="625511A8">
      <w:pPr>
        <w:ind w:firstLine="640" w:firstLineChars="200"/>
        <w:rPr>
          <w:rFonts w:hint="eastAsia" w:ascii="仿宋_GB2312" w:eastAsia="仿宋_GB2312"/>
          <w:b/>
          <w:bCs/>
          <w:color w:val="auto"/>
          <w:sz w:val="32"/>
          <w:szCs w:val="32"/>
          <w:lang w:val="en-US" w:eastAsia="zh-CN"/>
        </w:rPr>
      </w:pPr>
      <w:r>
        <w:rPr>
          <w:rFonts w:hint="eastAsia" w:ascii="楷体_GB2312" w:hAnsi="楷体_GB2312" w:eastAsia="楷体_GB2312" w:cs="楷体_GB2312"/>
          <w:kern w:val="2"/>
          <w:sz w:val="32"/>
          <w:szCs w:val="32"/>
          <w:lang w:val="en-US" w:eastAsia="zh-CN" w:bidi="ar-SA"/>
        </w:rPr>
        <w:t>（五）监督保障方面。</w:t>
      </w:r>
      <w:r>
        <w:rPr>
          <w:rFonts w:hint="eastAsia" w:ascii="仿宋_GB2312" w:hAnsi="仿宋_GB2312" w:eastAsia="仿宋_GB2312" w:cs="仿宋_GB2312"/>
          <w:kern w:val="2"/>
          <w:sz w:val="32"/>
          <w:szCs w:val="32"/>
          <w:lang w:val="en-US" w:eastAsia="zh-CN" w:bidi="ar-SA"/>
        </w:rPr>
        <w:t>一是进一步完善工作机制。在上级信息公开工作管理部门的指导下，进一步优化了北庄镇人民政府信息公开工作机制，明确分管人员、分管部门，明确职责分工和工作流程，确保信息公开工作的有序开展。二是常态化开展学习培训。组织政务公开工作人员深入学习国家法律法规和政策，针对《中华人民共和国政府信息公开条例》和政府信息公开工作的相关业务，以及与《中华人民共和国政府信息公开条例》第十四条、第十七条等条款相结合，明确政府信息在公开前需进行保密审查，在确保信息安全方面进行了系统培训，不断提高工作人员的政策水平和业务能力。三是广泛接受监督。除在便民服务中心设立了意见箱之外，另在微信公众号“北庄微报”开通“阳光三资”“线索征集”等专栏及直达链接，多方畅通了群众的监督渠道，广泛听取社会各界的意见和建议。同时，自觉接受人大、政协和人民群众的社会监督，及时回应社会关切，不断改进工作。</w:t>
      </w:r>
    </w:p>
    <w:p w14:paraId="082178CD">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35454E18">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2AC916C4">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2C21912B">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6BEB3549">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3DDD5E60">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10FBEA2B">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7E02B847">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64FAAD74">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01CC85F3">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3094FD48">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679BDDA9">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7C7E55E9">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22DB402E">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3E6D23B7">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72BB1A89">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1F91F753">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color w:val="auto"/>
          <w:sz w:val="32"/>
          <w:szCs w:val="32"/>
          <w:lang w:val="en-US" w:eastAsia="zh-CN"/>
        </w:rPr>
      </w:pPr>
    </w:p>
    <w:p w14:paraId="6AC68BE0">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ascii="方正小标宋简体" w:eastAsia="方正小标宋简体"/>
          <w:color w:val="auto"/>
          <w:sz w:val="44"/>
          <w:szCs w:val="44"/>
        </w:rPr>
      </w:pPr>
      <w:r>
        <w:rPr>
          <w:rFonts w:hint="eastAsia" w:ascii="仿宋_GB2312" w:eastAsia="仿宋_GB2312"/>
          <w:b/>
          <w:bCs/>
          <w:color w:val="auto"/>
          <w:sz w:val="32"/>
          <w:szCs w:val="32"/>
          <w:lang w:val="en-US" w:eastAsia="zh-CN"/>
        </w:rPr>
        <w:t>二、</w:t>
      </w:r>
      <w:r>
        <w:rPr>
          <w:rFonts w:hint="eastAsia" w:ascii="仿宋_GB2312" w:eastAsia="仿宋_GB2312"/>
          <w:b/>
          <w:bCs/>
          <w:color w:val="auto"/>
          <w:sz w:val="32"/>
          <w:szCs w:val="32"/>
        </w:rPr>
        <w:t>主动公开政府信息情况</w:t>
      </w:r>
    </w:p>
    <w:tbl>
      <w:tblPr>
        <w:tblStyle w:val="6"/>
        <w:tblW w:w="0" w:type="auto"/>
        <w:tblInd w:w="0" w:type="dxa"/>
        <w:tblLayout w:type="fixed"/>
        <w:tblCellMar>
          <w:top w:w="0" w:type="dxa"/>
          <w:left w:w="108" w:type="dxa"/>
          <w:bottom w:w="0" w:type="dxa"/>
          <w:right w:w="108" w:type="dxa"/>
        </w:tblCellMar>
      </w:tblPr>
      <w:tblGrid>
        <w:gridCol w:w="2206"/>
        <w:gridCol w:w="2206"/>
        <w:gridCol w:w="2206"/>
        <w:gridCol w:w="2206"/>
      </w:tblGrid>
      <w:tr w14:paraId="6E4C187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B3A4623">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14:paraId="641D445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1CDABD4">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14:paraId="08D5DD27">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1D1D6316">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4579EC10">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14:paraId="227E82D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9228985">
            <w:pPr>
              <w:pageBreakBefore w:val="0"/>
              <w:widowControl/>
              <w:kinsoku/>
              <w:overflowPunct/>
              <w:topLinePunct w:val="0"/>
              <w:autoSpaceDE/>
              <w:autoSpaceDN/>
              <w:bidi w:val="0"/>
              <w:adjustRightInd/>
              <w:snapToGrid/>
              <w:spacing w:line="560" w:lineRule="exact"/>
              <w:ind w:left="0" w:leftChars="0" w:right="0" w:rightChars="0"/>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noWrap w:val="0"/>
            <w:vAlign w:val="center"/>
          </w:tcPr>
          <w:p w14:paraId="68220D7F">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8127C5C">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B793601">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eastAsia" w:ascii="仿宋_GB2312" w:hAnsi="Calibri" w:eastAsia="仿宋_GB2312" w:cs="Calibri"/>
                <w:color w:val="auto"/>
                <w:kern w:val="0"/>
                <w:szCs w:val="21"/>
                <w:lang w:val="en-US" w:eastAsia="zh-CN"/>
              </w:rPr>
            </w:pPr>
            <w:r>
              <w:rPr>
                <w:rFonts w:hint="eastAsia" w:ascii="仿宋_GB2312" w:eastAsia="仿宋_GB2312" w:cs="Calibri"/>
                <w:color w:val="auto"/>
                <w:kern w:val="0"/>
                <w:szCs w:val="21"/>
                <w:lang w:val="en-US" w:eastAsia="zh-CN"/>
              </w:rPr>
              <w:t>0</w:t>
            </w:r>
          </w:p>
        </w:tc>
      </w:tr>
      <w:tr w14:paraId="2A64CC9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8DBBCF6">
            <w:pPr>
              <w:pageBreakBefore w:val="0"/>
              <w:widowControl/>
              <w:kinsoku/>
              <w:overflowPunct/>
              <w:topLinePunct w:val="0"/>
              <w:autoSpaceDE/>
              <w:autoSpaceDN/>
              <w:bidi w:val="0"/>
              <w:adjustRightInd/>
              <w:snapToGrid/>
              <w:spacing w:line="560" w:lineRule="exact"/>
              <w:ind w:left="0" w:leftChars="0" w:right="0" w:rightChars="0"/>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0BE2B44A">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2E0A4AC">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59AA88F">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eastAsia" w:ascii="仿宋_GB2312" w:hAnsi="Calibri" w:eastAsia="仿宋_GB2312" w:cs="Calibri"/>
                <w:color w:val="auto"/>
                <w:kern w:val="0"/>
                <w:szCs w:val="21"/>
                <w:lang w:val="en-US" w:eastAsia="zh-CN"/>
              </w:rPr>
            </w:pPr>
            <w:r>
              <w:rPr>
                <w:rFonts w:hint="eastAsia" w:ascii="仿宋_GB2312" w:eastAsia="仿宋_GB2312" w:cs="Calibri"/>
                <w:color w:val="auto"/>
                <w:kern w:val="0"/>
                <w:szCs w:val="21"/>
                <w:lang w:val="en-US" w:eastAsia="zh-CN"/>
              </w:rPr>
              <w:t>0</w:t>
            </w:r>
          </w:p>
        </w:tc>
      </w:tr>
      <w:tr w14:paraId="1C7D137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38DC51B">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6BEF1D9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A4BEB33">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9E51310">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079FDB9F">
        <w:tblPrEx>
          <w:tblCellMar>
            <w:top w:w="0" w:type="dxa"/>
            <w:left w:w="108" w:type="dxa"/>
            <w:bottom w:w="0" w:type="dxa"/>
            <w:right w:w="108" w:type="dxa"/>
          </w:tblCellMar>
        </w:tblPrEx>
        <w:trPr>
          <w:trHeight w:val="492" w:hRule="atLeast"/>
        </w:trPr>
        <w:tc>
          <w:tcPr>
            <w:tcW w:w="2206" w:type="dxa"/>
            <w:tcBorders>
              <w:top w:val="nil"/>
              <w:left w:val="single" w:color="auto" w:sz="8" w:space="0"/>
              <w:bottom w:val="single" w:color="auto" w:sz="8" w:space="0"/>
              <w:right w:val="single" w:color="auto" w:sz="8" w:space="0"/>
            </w:tcBorders>
            <w:noWrap w:val="0"/>
            <w:vAlign w:val="center"/>
          </w:tcPr>
          <w:p w14:paraId="13EE97FB">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06AA50F6">
            <w:pPr>
              <w:keepNext w:val="0"/>
              <w:keepLines w:val="0"/>
              <w:pageBreakBefore w:val="0"/>
              <w:widowControl/>
              <w:suppressLineNumbers w:val="0"/>
              <w:kinsoku/>
              <w:overflowPunct/>
              <w:topLinePunct w:val="0"/>
              <w:autoSpaceDE/>
              <w:autoSpaceDN/>
              <w:bidi w:val="0"/>
              <w:adjustRightInd/>
              <w:snapToGrid/>
              <w:spacing w:line="560" w:lineRule="exact"/>
              <w:ind w:left="0" w:leftChars="0" w:right="0" w:rightChars="0"/>
              <w:jc w:val="center"/>
              <w:textAlignment w:val="auto"/>
              <w:rPr>
                <w:rFonts w:ascii="仿宋_GB2312" w:hAnsi="Calibri" w:eastAsia="仿宋_GB2312" w:cs="Calibri"/>
                <w:color w:val="auto"/>
                <w:kern w:val="0"/>
                <w:szCs w:val="21"/>
              </w:rPr>
            </w:pPr>
            <w:r>
              <w:rPr>
                <w:rFonts w:hint="eastAsia" w:ascii="仿宋_GB2312" w:hAnsi="宋体" w:eastAsia="仿宋_GB2312" w:cs="仿宋_GB2312"/>
                <w:color w:val="auto"/>
                <w:kern w:val="0"/>
                <w:sz w:val="20"/>
                <w:szCs w:val="20"/>
                <w:lang w:val="en-US" w:eastAsia="zh-CN" w:bidi="ar"/>
              </w:rPr>
              <w:t>0</w:t>
            </w:r>
          </w:p>
        </w:tc>
      </w:tr>
      <w:tr w14:paraId="3C4C16B0">
        <w:tblPrEx>
          <w:tblCellMar>
            <w:top w:w="0" w:type="dxa"/>
            <w:left w:w="108" w:type="dxa"/>
            <w:bottom w:w="0" w:type="dxa"/>
            <w:right w:w="108" w:type="dxa"/>
          </w:tblCellMar>
        </w:tblPrEx>
        <w:trPr>
          <w:trHeight w:val="465"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33E5505">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11793AB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F694EE4">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6A10A0D5">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1B5451A5">
        <w:tblPrEx>
          <w:tblCellMar>
            <w:top w:w="0" w:type="dxa"/>
            <w:left w:w="108" w:type="dxa"/>
            <w:bottom w:w="0" w:type="dxa"/>
            <w:right w:w="108" w:type="dxa"/>
          </w:tblCellMar>
        </w:tblPrEx>
        <w:trPr>
          <w:trHeight w:val="447" w:hRule="atLeast"/>
        </w:trPr>
        <w:tc>
          <w:tcPr>
            <w:tcW w:w="2206" w:type="dxa"/>
            <w:tcBorders>
              <w:top w:val="nil"/>
              <w:left w:val="single" w:color="auto" w:sz="8" w:space="0"/>
              <w:bottom w:val="single" w:color="auto" w:sz="8" w:space="0"/>
              <w:right w:val="single" w:color="auto" w:sz="8" w:space="0"/>
            </w:tcBorders>
            <w:noWrap w:val="0"/>
            <w:vAlign w:val="center"/>
          </w:tcPr>
          <w:p w14:paraId="00ABA750">
            <w:pPr>
              <w:pageBreakBefore w:val="0"/>
              <w:widowControl/>
              <w:kinsoku/>
              <w:overflowPunct/>
              <w:topLinePunct w:val="0"/>
              <w:autoSpaceDE/>
              <w:autoSpaceDN/>
              <w:bidi w:val="0"/>
              <w:adjustRightInd/>
              <w:snapToGrid/>
              <w:spacing w:line="560" w:lineRule="exact"/>
              <w:ind w:left="0" w:leftChars="0" w:right="0" w:rightChars="0"/>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4AFE308D">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35922184">
        <w:tblPrEx>
          <w:tblCellMar>
            <w:top w:w="0" w:type="dxa"/>
            <w:left w:w="108" w:type="dxa"/>
            <w:bottom w:w="0" w:type="dxa"/>
            <w:right w:w="108" w:type="dxa"/>
          </w:tblCellMar>
        </w:tblPrEx>
        <w:trPr>
          <w:trHeight w:val="417" w:hRule="atLeast"/>
        </w:trPr>
        <w:tc>
          <w:tcPr>
            <w:tcW w:w="2206" w:type="dxa"/>
            <w:tcBorders>
              <w:top w:val="nil"/>
              <w:left w:val="single" w:color="auto" w:sz="8" w:space="0"/>
              <w:bottom w:val="single" w:color="auto" w:sz="8" w:space="0"/>
              <w:right w:val="single" w:color="auto" w:sz="8" w:space="0"/>
            </w:tcBorders>
            <w:noWrap w:val="0"/>
            <w:vAlign w:val="center"/>
          </w:tcPr>
          <w:p w14:paraId="5DE5FF7E">
            <w:pPr>
              <w:pageBreakBefore w:val="0"/>
              <w:widowControl/>
              <w:kinsoku/>
              <w:overflowPunct/>
              <w:topLinePunct w:val="0"/>
              <w:autoSpaceDE/>
              <w:autoSpaceDN/>
              <w:bidi w:val="0"/>
              <w:adjustRightInd/>
              <w:snapToGrid/>
              <w:spacing w:line="560" w:lineRule="exact"/>
              <w:ind w:left="0" w:leftChars="0" w:right="0" w:rightChars="0"/>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2BC857D0">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3D23B830">
        <w:tblPrEx>
          <w:tblCellMar>
            <w:top w:w="0" w:type="dxa"/>
            <w:left w:w="108" w:type="dxa"/>
            <w:bottom w:w="0" w:type="dxa"/>
            <w:right w:w="108" w:type="dxa"/>
          </w:tblCellMar>
        </w:tblPrEx>
        <w:trPr>
          <w:trHeight w:val="322"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E122028">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0F87E0C5">
        <w:tblPrEx>
          <w:tblCellMar>
            <w:top w:w="0" w:type="dxa"/>
            <w:left w:w="108" w:type="dxa"/>
            <w:bottom w:w="0" w:type="dxa"/>
            <w:right w:w="108" w:type="dxa"/>
          </w:tblCellMar>
        </w:tblPrEx>
        <w:trPr>
          <w:trHeight w:val="507" w:hRule="atLeast"/>
        </w:trPr>
        <w:tc>
          <w:tcPr>
            <w:tcW w:w="2206" w:type="dxa"/>
            <w:tcBorders>
              <w:top w:val="nil"/>
              <w:left w:val="single" w:color="auto" w:sz="8" w:space="0"/>
              <w:bottom w:val="single" w:color="auto" w:sz="8" w:space="0"/>
              <w:right w:val="single" w:color="auto" w:sz="8" w:space="0"/>
            </w:tcBorders>
            <w:noWrap w:val="0"/>
            <w:vAlign w:val="center"/>
          </w:tcPr>
          <w:p w14:paraId="6D5614E2">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1BCACAF8">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3F1C278D">
        <w:tblPrEx>
          <w:tblCellMar>
            <w:top w:w="0" w:type="dxa"/>
            <w:left w:w="108" w:type="dxa"/>
            <w:bottom w:w="0" w:type="dxa"/>
            <w:right w:w="108" w:type="dxa"/>
          </w:tblCellMar>
        </w:tblPrEx>
        <w:trPr>
          <w:trHeight w:val="332" w:hRule="atLeast"/>
        </w:trPr>
        <w:tc>
          <w:tcPr>
            <w:tcW w:w="2206" w:type="dxa"/>
            <w:tcBorders>
              <w:top w:val="nil"/>
              <w:left w:val="single" w:color="auto" w:sz="8" w:space="0"/>
              <w:bottom w:val="single" w:color="auto" w:sz="8" w:space="0"/>
              <w:right w:val="single" w:color="auto" w:sz="8" w:space="0"/>
            </w:tcBorders>
            <w:noWrap w:val="0"/>
            <w:vAlign w:val="center"/>
          </w:tcPr>
          <w:p w14:paraId="21060678">
            <w:pPr>
              <w:pageBreakBefore w:val="0"/>
              <w:widowControl/>
              <w:kinsoku/>
              <w:overflowPunct/>
              <w:topLinePunct w:val="0"/>
              <w:autoSpaceDE/>
              <w:autoSpaceDN/>
              <w:bidi w:val="0"/>
              <w:adjustRightInd/>
              <w:snapToGrid/>
              <w:spacing w:line="560" w:lineRule="exact"/>
              <w:ind w:left="0" w:leftChars="0" w:right="0" w:rightChars="0"/>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04622006">
            <w:pPr>
              <w:pageBreakBefore w:val="0"/>
              <w:widowControl/>
              <w:kinsoku/>
              <w:overflowPunct/>
              <w:topLinePunct w:val="0"/>
              <w:autoSpaceDE/>
              <w:autoSpaceDN/>
              <w:bidi w:val="0"/>
              <w:adjustRightInd/>
              <w:snapToGrid/>
              <w:spacing w:line="560" w:lineRule="exact"/>
              <w:ind w:left="0" w:leftChars="0" w:right="0" w:rightChars="0"/>
              <w:jc w:val="center"/>
              <w:textAlignment w:val="auto"/>
              <w:rPr>
                <w:rFonts w:hint="eastAsia" w:ascii="仿宋_GB2312" w:hAnsi="Calibri" w:eastAsia="仿宋_GB2312" w:cs="Calibri"/>
                <w:color w:val="auto"/>
                <w:kern w:val="0"/>
                <w:szCs w:val="21"/>
                <w:lang w:val="en-US" w:eastAsia="zh-CN"/>
              </w:rPr>
            </w:pPr>
            <w:r>
              <w:rPr>
                <w:rFonts w:hint="eastAsia" w:ascii="仿宋_GB2312" w:eastAsia="仿宋_GB2312" w:cs="Calibri"/>
                <w:color w:val="auto"/>
                <w:kern w:val="0"/>
                <w:szCs w:val="21"/>
                <w:lang w:val="en-US" w:eastAsia="zh-CN"/>
              </w:rPr>
              <w:t>0</w:t>
            </w:r>
          </w:p>
        </w:tc>
      </w:tr>
    </w:tbl>
    <w:p w14:paraId="5E5300CF">
      <w:pPr>
        <w:pageBreakBefore w:val="0"/>
        <w:kinsoku/>
        <w:overflowPunct/>
        <w:topLinePunct w:val="0"/>
        <w:autoSpaceDE/>
        <w:autoSpaceDN/>
        <w:bidi w:val="0"/>
        <w:adjustRightInd/>
        <w:snapToGrid/>
        <w:spacing w:line="560" w:lineRule="exact"/>
        <w:ind w:right="0" w:rightChars="0"/>
        <w:textAlignment w:val="auto"/>
        <w:rPr>
          <w:rFonts w:ascii="仿宋_GB2312" w:eastAsia="仿宋_GB2312"/>
          <w:color w:val="auto"/>
          <w:sz w:val="32"/>
          <w:szCs w:val="32"/>
        </w:rPr>
        <w:sectPr>
          <w:footerReference r:id="rId3" w:type="default"/>
          <w:pgSz w:w="11906" w:h="16838"/>
          <w:pgMar w:top="1440" w:right="1474" w:bottom="1440" w:left="1588" w:header="851" w:footer="992" w:gutter="0"/>
          <w:cols w:space="720" w:num="1"/>
          <w:docGrid w:type="lines" w:linePitch="312" w:charSpace="0"/>
        </w:sectPr>
      </w:pPr>
    </w:p>
    <w:p w14:paraId="6665F51E">
      <w:pPr>
        <w:ind w:firstLine="640" w:firstLineChars="200"/>
        <w:jc w:val="left"/>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lang w:eastAsia="zh-CN"/>
        </w:rPr>
        <w:t>收到和处理政府信息公开申请情况</w:t>
      </w:r>
    </w:p>
    <w:p w14:paraId="1BC4BF40">
      <w:pPr>
        <w:rPr>
          <w:rFonts w:ascii="仿宋_GB2312" w:eastAsia="仿宋_GB2312"/>
          <w:color w:val="auto"/>
          <w:sz w:val="32"/>
          <w:szCs w:val="32"/>
        </w:rPr>
      </w:pP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5D41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17D21981">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492B1454">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noWrap w:val="0"/>
            <w:tcMar>
              <w:left w:w="108" w:type="dxa"/>
              <w:right w:w="108" w:type="dxa"/>
            </w:tcMar>
            <w:vAlign w:val="center"/>
          </w:tcPr>
          <w:p w14:paraId="208B885D">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21F83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0E12A760">
            <w:pPr>
              <w:jc w:val="center"/>
              <w:rPr>
                <w:rFonts w:ascii="仿宋_GB2312" w:hAnsi="Times New Roman" w:eastAsia="仿宋_GB2312"/>
                <w:color w:val="auto"/>
                <w:szCs w:val="21"/>
              </w:rPr>
            </w:pPr>
          </w:p>
        </w:tc>
        <w:tc>
          <w:tcPr>
            <w:tcW w:w="829" w:type="dxa"/>
            <w:vMerge w:val="restart"/>
            <w:noWrap w:val="0"/>
            <w:tcMar>
              <w:left w:w="108" w:type="dxa"/>
              <w:right w:w="108" w:type="dxa"/>
            </w:tcMar>
            <w:vAlign w:val="center"/>
          </w:tcPr>
          <w:p w14:paraId="4C7CF314">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noWrap w:val="0"/>
            <w:tcMar>
              <w:left w:w="108" w:type="dxa"/>
              <w:right w:w="108" w:type="dxa"/>
            </w:tcMar>
            <w:vAlign w:val="center"/>
          </w:tcPr>
          <w:p w14:paraId="5CF9FC54">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noWrap w:val="0"/>
            <w:tcMar>
              <w:left w:w="108" w:type="dxa"/>
              <w:right w:w="108" w:type="dxa"/>
            </w:tcMar>
            <w:vAlign w:val="center"/>
          </w:tcPr>
          <w:p w14:paraId="12373995">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6FE8D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4FF0CC96">
            <w:pPr>
              <w:jc w:val="center"/>
              <w:rPr>
                <w:rFonts w:ascii="仿宋_GB2312" w:hAnsi="Times New Roman" w:eastAsia="仿宋_GB2312"/>
                <w:color w:val="auto"/>
                <w:szCs w:val="21"/>
              </w:rPr>
            </w:pPr>
          </w:p>
        </w:tc>
        <w:tc>
          <w:tcPr>
            <w:tcW w:w="829" w:type="dxa"/>
            <w:vMerge w:val="continue"/>
            <w:noWrap w:val="0"/>
            <w:tcMar>
              <w:left w:w="108" w:type="dxa"/>
              <w:right w:w="108" w:type="dxa"/>
            </w:tcMar>
            <w:vAlign w:val="center"/>
          </w:tcPr>
          <w:p w14:paraId="1F273AC4">
            <w:pPr>
              <w:jc w:val="center"/>
              <w:rPr>
                <w:rFonts w:ascii="黑体" w:hAnsi="黑体" w:eastAsia="黑体"/>
                <w:color w:val="auto"/>
                <w:szCs w:val="21"/>
              </w:rPr>
            </w:pPr>
          </w:p>
        </w:tc>
        <w:tc>
          <w:tcPr>
            <w:tcW w:w="567" w:type="dxa"/>
            <w:noWrap w:val="0"/>
            <w:tcMar>
              <w:left w:w="108" w:type="dxa"/>
              <w:right w:w="108" w:type="dxa"/>
            </w:tcMar>
            <w:vAlign w:val="center"/>
          </w:tcPr>
          <w:p w14:paraId="47EF9E95">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noWrap w:val="0"/>
            <w:tcMar>
              <w:left w:w="108" w:type="dxa"/>
              <w:right w:w="108" w:type="dxa"/>
            </w:tcMar>
            <w:vAlign w:val="center"/>
          </w:tcPr>
          <w:p w14:paraId="7EF0F391">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noWrap w:val="0"/>
            <w:tcMar>
              <w:left w:w="108" w:type="dxa"/>
              <w:right w:w="108" w:type="dxa"/>
            </w:tcMar>
            <w:vAlign w:val="center"/>
          </w:tcPr>
          <w:p w14:paraId="0F2832AC">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noWrap w:val="0"/>
            <w:tcMar>
              <w:left w:w="108" w:type="dxa"/>
              <w:right w:w="108" w:type="dxa"/>
            </w:tcMar>
            <w:vAlign w:val="center"/>
          </w:tcPr>
          <w:p w14:paraId="058F35B5">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noWrap w:val="0"/>
            <w:tcMar>
              <w:left w:w="108" w:type="dxa"/>
              <w:right w:w="108" w:type="dxa"/>
            </w:tcMar>
            <w:vAlign w:val="center"/>
          </w:tcPr>
          <w:p w14:paraId="000B0381">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noWrap w:val="0"/>
            <w:tcMar>
              <w:left w:w="108" w:type="dxa"/>
              <w:right w:w="108" w:type="dxa"/>
            </w:tcMar>
            <w:vAlign w:val="center"/>
          </w:tcPr>
          <w:p w14:paraId="28A840C4">
            <w:pPr>
              <w:jc w:val="center"/>
              <w:rPr>
                <w:rFonts w:ascii="仿宋_GB2312" w:hAnsi="Times New Roman" w:eastAsia="仿宋_GB2312"/>
                <w:color w:val="auto"/>
                <w:szCs w:val="21"/>
              </w:rPr>
            </w:pPr>
          </w:p>
        </w:tc>
      </w:tr>
      <w:tr w14:paraId="2E63B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079EFAED">
            <w:pPr>
              <w:widowControl/>
              <w:rPr>
                <w:rFonts w:ascii="黑体" w:hAnsi="黑体" w:eastAsia="黑体"/>
                <w:color w:val="auto"/>
                <w:szCs w:val="21"/>
              </w:rPr>
            </w:pPr>
            <w:bookmarkStart w:id="0" w:name="OLE_LINK1" w:colFirst="1" w:colLast="7"/>
            <w:r>
              <w:rPr>
                <w:rFonts w:hint="eastAsia" w:ascii="黑体" w:hAnsi="黑体" w:eastAsia="黑体"/>
                <w:color w:val="auto"/>
                <w:kern w:val="0"/>
                <w:szCs w:val="21"/>
              </w:rPr>
              <w:t>一、</w:t>
            </w:r>
            <w:bookmarkStart w:id="1" w:name="_Hlk66973412"/>
            <w:r>
              <w:rPr>
                <w:rFonts w:hint="eastAsia" w:ascii="黑体" w:hAnsi="黑体" w:eastAsia="黑体"/>
                <w:color w:val="auto"/>
                <w:kern w:val="0"/>
                <w:szCs w:val="21"/>
              </w:rPr>
              <w:t>本年新收政府信息公开申请数量</w:t>
            </w:r>
            <w:bookmarkEnd w:id="1"/>
          </w:p>
        </w:tc>
        <w:tc>
          <w:tcPr>
            <w:tcW w:w="829" w:type="dxa"/>
            <w:noWrap w:val="0"/>
            <w:tcMar>
              <w:left w:w="108" w:type="dxa"/>
              <w:right w:w="108" w:type="dxa"/>
            </w:tcMar>
            <w:vAlign w:val="center"/>
          </w:tcPr>
          <w:p w14:paraId="77161023">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75224C1E">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79AC6A83">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105098F7">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07E5FA9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0542F889">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6823CA99">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bookmarkEnd w:id="0"/>
      <w:tr w14:paraId="6DAEE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E7E2E8B">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noWrap w:val="0"/>
            <w:tcMar>
              <w:left w:w="108" w:type="dxa"/>
              <w:right w:w="108" w:type="dxa"/>
            </w:tcMar>
            <w:vAlign w:val="center"/>
          </w:tcPr>
          <w:p w14:paraId="3DCF07E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900FC0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A787E2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3DF6A7A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776AE3B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0283A7D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594DD95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B613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3FACBD6">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noWrap w:val="0"/>
            <w:tcMar>
              <w:left w:w="108" w:type="dxa"/>
              <w:right w:w="108" w:type="dxa"/>
            </w:tcMar>
            <w:vAlign w:val="center"/>
          </w:tcPr>
          <w:p w14:paraId="00630A59">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noWrap w:val="0"/>
            <w:tcMar>
              <w:left w:w="108" w:type="dxa"/>
              <w:right w:w="108" w:type="dxa"/>
            </w:tcMar>
            <w:vAlign w:val="center"/>
          </w:tcPr>
          <w:p w14:paraId="1C12742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83474B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7ECD52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7DC8CE1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015D4B1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A719E1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56E712D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76D2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DDEB930">
            <w:pPr>
              <w:rPr>
                <w:rFonts w:ascii="黑体" w:hAnsi="黑体" w:eastAsia="黑体"/>
                <w:color w:val="auto"/>
                <w:szCs w:val="21"/>
              </w:rPr>
            </w:pPr>
          </w:p>
        </w:tc>
        <w:tc>
          <w:tcPr>
            <w:tcW w:w="4677" w:type="dxa"/>
            <w:gridSpan w:val="2"/>
            <w:noWrap w:val="0"/>
            <w:tcMar>
              <w:left w:w="108" w:type="dxa"/>
              <w:right w:w="108" w:type="dxa"/>
            </w:tcMar>
            <w:vAlign w:val="center"/>
          </w:tcPr>
          <w:p w14:paraId="1B1E3CC4">
            <w:pPr>
              <w:widowControl/>
              <w:rPr>
                <w:rFonts w:ascii="黑体" w:hAnsi="黑体" w:eastAsia="黑体"/>
                <w:color w:val="auto"/>
                <w:szCs w:val="21"/>
              </w:rPr>
            </w:pPr>
            <w:r>
              <w:rPr>
                <w:rFonts w:hint="eastAsia" w:ascii="黑体" w:hAnsi="黑体" w:eastAsia="黑体"/>
                <w:color w:val="auto"/>
                <w:kern w:val="0"/>
                <w:szCs w:val="21"/>
              </w:rPr>
              <w:t>（二）部分公开（</w:t>
            </w:r>
            <w:bookmarkStart w:id="2" w:name="_Hlk66973981"/>
            <w:r>
              <w:rPr>
                <w:rFonts w:hint="eastAsia" w:ascii="黑体" w:hAnsi="黑体" w:eastAsia="黑体"/>
                <w:color w:val="auto"/>
                <w:kern w:val="0"/>
                <w:szCs w:val="21"/>
              </w:rPr>
              <w:t>区分处理的，只计这一情形，不计其他情形</w:t>
            </w:r>
            <w:bookmarkEnd w:id="2"/>
            <w:r>
              <w:rPr>
                <w:rFonts w:hint="eastAsia" w:ascii="黑体" w:hAnsi="黑体" w:eastAsia="黑体"/>
                <w:color w:val="auto"/>
                <w:kern w:val="0"/>
                <w:szCs w:val="21"/>
              </w:rPr>
              <w:t>）</w:t>
            </w:r>
          </w:p>
        </w:tc>
        <w:tc>
          <w:tcPr>
            <w:tcW w:w="829" w:type="dxa"/>
            <w:noWrap w:val="0"/>
            <w:tcMar>
              <w:left w:w="108" w:type="dxa"/>
              <w:right w:w="108" w:type="dxa"/>
            </w:tcMar>
            <w:vAlign w:val="center"/>
          </w:tcPr>
          <w:p w14:paraId="5AD8016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0390DDD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1BDD25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509F1CB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3538314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254E66E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1F0057E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F968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84DA056">
            <w:pPr>
              <w:rPr>
                <w:rFonts w:ascii="黑体" w:hAnsi="黑体" w:eastAsia="黑体"/>
                <w:color w:val="auto"/>
                <w:szCs w:val="21"/>
              </w:rPr>
            </w:pPr>
          </w:p>
        </w:tc>
        <w:tc>
          <w:tcPr>
            <w:tcW w:w="1701" w:type="dxa"/>
            <w:vMerge w:val="restart"/>
            <w:noWrap w:val="0"/>
            <w:tcMar>
              <w:left w:w="108" w:type="dxa"/>
              <w:right w:w="108" w:type="dxa"/>
            </w:tcMar>
            <w:vAlign w:val="center"/>
          </w:tcPr>
          <w:p w14:paraId="1D6A01F7">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14:paraId="30977C9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noWrap w:val="0"/>
            <w:tcMar>
              <w:left w:w="108" w:type="dxa"/>
              <w:right w:w="108" w:type="dxa"/>
            </w:tcMar>
            <w:vAlign w:val="center"/>
          </w:tcPr>
          <w:p w14:paraId="75086FA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E1A442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5872CA6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2AE4534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61B51F0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3D5BE01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1BEF26C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2A7F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8B85DD5">
            <w:pPr>
              <w:rPr>
                <w:rFonts w:ascii="黑体" w:hAnsi="黑体" w:eastAsia="黑体"/>
                <w:color w:val="auto"/>
                <w:szCs w:val="21"/>
              </w:rPr>
            </w:pPr>
          </w:p>
        </w:tc>
        <w:tc>
          <w:tcPr>
            <w:tcW w:w="1701" w:type="dxa"/>
            <w:vMerge w:val="continue"/>
            <w:noWrap w:val="0"/>
            <w:tcMar>
              <w:left w:w="108" w:type="dxa"/>
              <w:right w:w="108" w:type="dxa"/>
            </w:tcMar>
            <w:vAlign w:val="center"/>
          </w:tcPr>
          <w:p w14:paraId="7080056D">
            <w:pPr>
              <w:spacing w:line="200" w:lineRule="exact"/>
              <w:rPr>
                <w:rFonts w:ascii="黑体" w:hAnsi="黑体" w:eastAsia="黑体"/>
                <w:color w:val="auto"/>
                <w:szCs w:val="21"/>
              </w:rPr>
            </w:pPr>
          </w:p>
        </w:tc>
        <w:tc>
          <w:tcPr>
            <w:tcW w:w="2976" w:type="dxa"/>
            <w:noWrap w:val="0"/>
            <w:tcMar>
              <w:left w:w="108" w:type="dxa"/>
              <w:right w:w="108" w:type="dxa"/>
            </w:tcMar>
            <w:vAlign w:val="center"/>
          </w:tcPr>
          <w:p w14:paraId="5639DC32">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3" w:name="_Hlk66974104"/>
            <w:r>
              <w:rPr>
                <w:rFonts w:hint="eastAsia" w:ascii="仿宋_GB2312" w:hAnsi="黑体" w:eastAsia="仿宋_GB2312"/>
                <w:color w:val="auto"/>
                <w:kern w:val="0"/>
                <w:szCs w:val="21"/>
              </w:rPr>
              <w:t>其他法律行政法规禁止公开</w:t>
            </w:r>
            <w:bookmarkEnd w:id="3"/>
          </w:p>
        </w:tc>
        <w:tc>
          <w:tcPr>
            <w:tcW w:w="829" w:type="dxa"/>
            <w:noWrap w:val="0"/>
            <w:tcMar>
              <w:left w:w="108" w:type="dxa"/>
              <w:right w:w="108" w:type="dxa"/>
            </w:tcMar>
            <w:vAlign w:val="center"/>
          </w:tcPr>
          <w:p w14:paraId="77A201A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3625E9B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887813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203F470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76E6CD9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9456AB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4E99925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4BD05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E8A2F12">
            <w:pPr>
              <w:rPr>
                <w:rFonts w:ascii="黑体" w:hAnsi="黑体" w:eastAsia="黑体"/>
                <w:color w:val="auto"/>
                <w:szCs w:val="21"/>
              </w:rPr>
            </w:pPr>
          </w:p>
        </w:tc>
        <w:tc>
          <w:tcPr>
            <w:tcW w:w="1701" w:type="dxa"/>
            <w:vMerge w:val="continue"/>
            <w:noWrap w:val="0"/>
            <w:tcMar>
              <w:left w:w="108" w:type="dxa"/>
              <w:right w:w="108" w:type="dxa"/>
            </w:tcMar>
            <w:vAlign w:val="center"/>
          </w:tcPr>
          <w:p w14:paraId="2968C07E">
            <w:pPr>
              <w:spacing w:line="200" w:lineRule="exact"/>
              <w:rPr>
                <w:rFonts w:ascii="黑体" w:hAnsi="黑体" w:eastAsia="黑体"/>
                <w:color w:val="auto"/>
                <w:szCs w:val="21"/>
              </w:rPr>
            </w:pPr>
          </w:p>
        </w:tc>
        <w:tc>
          <w:tcPr>
            <w:tcW w:w="2976" w:type="dxa"/>
            <w:noWrap w:val="0"/>
            <w:tcMar>
              <w:left w:w="108" w:type="dxa"/>
              <w:right w:w="108" w:type="dxa"/>
            </w:tcMar>
            <w:vAlign w:val="center"/>
          </w:tcPr>
          <w:p w14:paraId="2DB99B8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noWrap w:val="0"/>
            <w:tcMar>
              <w:left w:w="108" w:type="dxa"/>
              <w:right w:w="108" w:type="dxa"/>
            </w:tcMar>
            <w:vAlign w:val="center"/>
          </w:tcPr>
          <w:p w14:paraId="4751332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0B99A0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8CDCFB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2B655AB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15AEFC1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01998E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696FFA8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301D7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7643B53">
            <w:pPr>
              <w:rPr>
                <w:rFonts w:ascii="黑体" w:hAnsi="黑体" w:eastAsia="黑体"/>
                <w:color w:val="auto"/>
                <w:szCs w:val="21"/>
              </w:rPr>
            </w:pPr>
          </w:p>
        </w:tc>
        <w:tc>
          <w:tcPr>
            <w:tcW w:w="1701" w:type="dxa"/>
            <w:vMerge w:val="continue"/>
            <w:noWrap w:val="0"/>
            <w:tcMar>
              <w:left w:w="108" w:type="dxa"/>
              <w:right w:w="108" w:type="dxa"/>
            </w:tcMar>
            <w:vAlign w:val="center"/>
          </w:tcPr>
          <w:p w14:paraId="418E2F81">
            <w:pPr>
              <w:spacing w:line="200" w:lineRule="exact"/>
              <w:rPr>
                <w:rFonts w:ascii="黑体" w:hAnsi="黑体" w:eastAsia="黑体"/>
                <w:color w:val="auto"/>
                <w:szCs w:val="21"/>
              </w:rPr>
            </w:pPr>
          </w:p>
        </w:tc>
        <w:tc>
          <w:tcPr>
            <w:tcW w:w="2976" w:type="dxa"/>
            <w:noWrap w:val="0"/>
            <w:tcMar>
              <w:left w:w="108" w:type="dxa"/>
              <w:right w:w="108" w:type="dxa"/>
            </w:tcMar>
            <w:vAlign w:val="center"/>
          </w:tcPr>
          <w:p w14:paraId="2FC61D7E">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4" w:name="_Hlk66974290"/>
            <w:r>
              <w:rPr>
                <w:rFonts w:hint="eastAsia" w:ascii="仿宋_GB2312" w:hAnsi="黑体" w:eastAsia="仿宋_GB2312"/>
                <w:color w:val="auto"/>
                <w:kern w:val="0"/>
                <w:szCs w:val="21"/>
              </w:rPr>
              <w:t>保护第三方合法权益</w:t>
            </w:r>
            <w:bookmarkEnd w:id="4"/>
          </w:p>
        </w:tc>
        <w:tc>
          <w:tcPr>
            <w:tcW w:w="829" w:type="dxa"/>
            <w:noWrap w:val="0"/>
            <w:tcMar>
              <w:left w:w="108" w:type="dxa"/>
              <w:right w:w="108" w:type="dxa"/>
            </w:tcMar>
            <w:vAlign w:val="center"/>
          </w:tcPr>
          <w:p w14:paraId="552E0BB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84DB85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680479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3C804E7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6B85385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F5B72C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68DEB15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2161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BC96B8E">
            <w:pPr>
              <w:rPr>
                <w:rFonts w:ascii="黑体" w:hAnsi="黑体" w:eastAsia="黑体"/>
                <w:color w:val="auto"/>
                <w:szCs w:val="21"/>
              </w:rPr>
            </w:pPr>
          </w:p>
        </w:tc>
        <w:tc>
          <w:tcPr>
            <w:tcW w:w="1701" w:type="dxa"/>
            <w:vMerge w:val="continue"/>
            <w:noWrap w:val="0"/>
            <w:tcMar>
              <w:left w:w="108" w:type="dxa"/>
              <w:right w:w="108" w:type="dxa"/>
            </w:tcMar>
            <w:vAlign w:val="center"/>
          </w:tcPr>
          <w:p w14:paraId="2352E68D">
            <w:pPr>
              <w:spacing w:line="200" w:lineRule="exact"/>
              <w:rPr>
                <w:rFonts w:ascii="黑体" w:hAnsi="黑体" w:eastAsia="黑体"/>
                <w:color w:val="auto"/>
                <w:szCs w:val="21"/>
              </w:rPr>
            </w:pPr>
          </w:p>
        </w:tc>
        <w:tc>
          <w:tcPr>
            <w:tcW w:w="2976" w:type="dxa"/>
            <w:noWrap w:val="0"/>
            <w:tcMar>
              <w:left w:w="108" w:type="dxa"/>
              <w:right w:w="108" w:type="dxa"/>
            </w:tcMar>
            <w:vAlign w:val="center"/>
          </w:tcPr>
          <w:p w14:paraId="5D25EBD3">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noWrap w:val="0"/>
            <w:tcMar>
              <w:left w:w="108" w:type="dxa"/>
              <w:right w:w="108" w:type="dxa"/>
            </w:tcMar>
            <w:vAlign w:val="center"/>
          </w:tcPr>
          <w:p w14:paraId="1E1D38C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00D2576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2637F22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606570F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6985ABE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0E4FE42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004C629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BE33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016CD9C">
            <w:pPr>
              <w:rPr>
                <w:rFonts w:ascii="黑体" w:hAnsi="黑体" w:eastAsia="黑体"/>
                <w:color w:val="auto"/>
                <w:szCs w:val="21"/>
              </w:rPr>
            </w:pPr>
          </w:p>
        </w:tc>
        <w:tc>
          <w:tcPr>
            <w:tcW w:w="1701" w:type="dxa"/>
            <w:vMerge w:val="continue"/>
            <w:noWrap w:val="0"/>
            <w:tcMar>
              <w:left w:w="108" w:type="dxa"/>
              <w:right w:w="108" w:type="dxa"/>
            </w:tcMar>
            <w:vAlign w:val="center"/>
          </w:tcPr>
          <w:p w14:paraId="5D514ABE">
            <w:pPr>
              <w:spacing w:line="200" w:lineRule="exact"/>
              <w:rPr>
                <w:rFonts w:ascii="黑体" w:hAnsi="黑体" w:eastAsia="黑体"/>
                <w:color w:val="auto"/>
                <w:szCs w:val="21"/>
              </w:rPr>
            </w:pPr>
          </w:p>
        </w:tc>
        <w:tc>
          <w:tcPr>
            <w:tcW w:w="2976" w:type="dxa"/>
            <w:noWrap w:val="0"/>
            <w:tcMar>
              <w:left w:w="108" w:type="dxa"/>
              <w:right w:w="108" w:type="dxa"/>
            </w:tcMar>
            <w:vAlign w:val="center"/>
          </w:tcPr>
          <w:p w14:paraId="60603E33">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5" w:name="_Hlk66974555"/>
            <w:r>
              <w:rPr>
                <w:rFonts w:hint="eastAsia" w:ascii="仿宋_GB2312" w:hAnsi="黑体" w:eastAsia="仿宋_GB2312"/>
                <w:color w:val="auto"/>
                <w:kern w:val="0"/>
                <w:szCs w:val="21"/>
              </w:rPr>
              <w:t>属于四类过程性信息</w:t>
            </w:r>
            <w:bookmarkEnd w:id="5"/>
          </w:p>
        </w:tc>
        <w:tc>
          <w:tcPr>
            <w:tcW w:w="829" w:type="dxa"/>
            <w:noWrap w:val="0"/>
            <w:tcMar>
              <w:left w:w="108" w:type="dxa"/>
              <w:right w:w="108" w:type="dxa"/>
            </w:tcMar>
            <w:vAlign w:val="center"/>
          </w:tcPr>
          <w:p w14:paraId="09EEFAC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4806AE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731B36C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2C4B5E3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7896892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2FB964E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176A71C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133D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5272098">
            <w:pPr>
              <w:rPr>
                <w:rFonts w:ascii="黑体" w:hAnsi="黑体" w:eastAsia="黑体"/>
                <w:color w:val="auto"/>
                <w:szCs w:val="21"/>
              </w:rPr>
            </w:pPr>
          </w:p>
        </w:tc>
        <w:tc>
          <w:tcPr>
            <w:tcW w:w="1701" w:type="dxa"/>
            <w:vMerge w:val="continue"/>
            <w:noWrap w:val="0"/>
            <w:tcMar>
              <w:left w:w="108" w:type="dxa"/>
              <w:right w:w="108" w:type="dxa"/>
            </w:tcMar>
            <w:vAlign w:val="center"/>
          </w:tcPr>
          <w:p w14:paraId="1E42624D">
            <w:pPr>
              <w:spacing w:line="200" w:lineRule="exact"/>
              <w:rPr>
                <w:rFonts w:ascii="黑体" w:hAnsi="黑体" w:eastAsia="黑体"/>
                <w:color w:val="auto"/>
                <w:szCs w:val="21"/>
              </w:rPr>
            </w:pPr>
          </w:p>
        </w:tc>
        <w:tc>
          <w:tcPr>
            <w:tcW w:w="2976" w:type="dxa"/>
            <w:noWrap w:val="0"/>
            <w:tcMar>
              <w:left w:w="108" w:type="dxa"/>
              <w:right w:w="108" w:type="dxa"/>
            </w:tcMar>
            <w:vAlign w:val="center"/>
          </w:tcPr>
          <w:p w14:paraId="03FECE8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noWrap w:val="0"/>
            <w:tcMar>
              <w:left w:w="108" w:type="dxa"/>
              <w:right w:w="108" w:type="dxa"/>
            </w:tcMar>
            <w:vAlign w:val="center"/>
          </w:tcPr>
          <w:p w14:paraId="7061F84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214FD9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5C6DB9C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3789DCD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1A9E094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0F2BF41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52FFE2F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D17C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53CFF3B">
            <w:pPr>
              <w:rPr>
                <w:rFonts w:ascii="黑体" w:hAnsi="黑体" w:eastAsia="黑体"/>
                <w:color w:val="auto"/>
                <w:szCs w:val="21"/>
              </w:rPr>
            </w:pPr>
          </w:p>
        </w:tc>
        <w:tc>
          <w:tcPr>
            <w:tcW w:w="1701" w:type="dxa"/>
            <w:vMerge w:val="continue"/>
            <w:noWrap w:val="0"/>
            <w:tcMar>
              <w:left w:w="108" w:type="dxa"/>
              <w:right w:w="108" w:type="dxa"/>
            </w:tcMar>
            <w:vAlign w:val="center"/>
          </w:tcPr>
          <w:p w14:paraId="3386751E">
            <w:pPr>
              <w:spacing w:line="200" w:lineRule="exact"/>
              <w:rPr>
                <w:rFonts w:ascii="黑体" w:hAnsi="黑体" w:eastAsia="黑体"/>
                <w:color w:val="auto"/>
                <w:szCs w:val="21"/>
              </w:rPr>
            </w:pPr>
          </w:p>
        </w:tc>
        <w:tc>
          <w:tcPr>
            <w:tcW w:w="2976" w:type="dxa"/>
            <w:noWrap w:val="0"/>
            <w:tcMar>
              <w:left w:w="108" w:type="dxa"/>
              <w:right w:w="108" w:type="dxa"/>
            </w:tcMar>
            <w:vAlign w:val="center"/>
          </w:tcPr>
          <w:p w14:paraId="294AC117">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6" w:name="_Hlk66975211"/>
            <w:r>
              <w:rPr>
                <w:rFonts w:hint="eastAsia" w:ascii="仿宋_GB2312" w:hAnsi="黑体" w:eastAsia="仿宋_GB2312"/>
                <w:color w:val="auto"/>
                <w:kern w:val="0"/>
                <w:szCs w:val="21"/>
              </w:rPr>
              <w:t>属于行政查询事项</w:t>
            </w:r>
            <w:bookmarkEnd w:id="6"/>
          </w:p>
        </w:tc>
        <w:tc>
          <w:tcPr>
            <w:tcW w:w="829" w:type="dxa"/>
            <w:noWrap w:val="0"/>
            <w:tcMar>
              <w:left w:w="108" w:type="dxa"/>
              <w:right w:w="108" w:type="dxa"/>
            </w:tcMar>
            <w:vAlign w:val="center"/>
          </w:tcPr>
          <w:p w14:paraId="0A50C2C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748248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0946F59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5C2C72E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7E26B55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B9A8BF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16FC028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D559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9237190">
            <w:pPr>
              <w:rPr>
                <w:rFonts w:ascii="黑体" w:hAnsi="黑体" w:eastAsia="黑体"/>
                <w:color w:val="auto"/>
                <w:szCs w:val="21"/>
              </w:rPr>
            </w:pPr>
          </w:p>
        </w:tc>
        <w:tc>
          <w:tcPr>
            <w:tcW w:w="1701" w:type="dxa"/>
            <w:vMerge w:val="restart"/>
            <w:noWrap w:val="0"/>
            <w:tcMar>
              <w:left w:w="108" w:type="dxa"/>
              <w:right w:w="108" w:type="dxa"/>
            </w:tcMar>
            <w:vAlign w:val="center"/>
          </w:tcPr>
          <w:p w14:paraId="37175373">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14:paraId="16196363">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noWrap w:val="0"/>
            <w:tcMar>
              <w:left w:w="108" w:type="dxa"/>
              <w:right w:w="108" w:type="dxa"/>
            </w:tcMar>
            <w:vAlign w:val="center"/>
          </w:tcPr>
          <w:p w14:paraId="59A3384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7E188E9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9F0D12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3FA4867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59F23D1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D9FFA9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6C0A5C8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4E0C5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09A37B9">
            <w:pPr>
              <w:rPr>
                <w:rFonts w:ascii="黑体" w:hAnsi="黑体" w:eastAsia="黑体"/>
                <w:color w:val="auto"/>
                <w:szCs w:val="21"/>
              </w:rPr>
            </w:pPr>
          </w:p>
        </w:tc>
        <w:tc>
          <w:tcPr>
            <w:tcW w:w="1701" w:type="dxa"/>
            <w:vMerge w:val="continue"/>
            <w:noWrap w:val="0"/>
            <w:tcMar>
              <w:left w:w="108" w:type="dxa"/>
              <w:right w:w="108" w:type="dxa"/>
            </w:tcMar>
            <w:vAlign w:val="center"/>
          </w:tcPr>
          <w:p w14:paraId="21B43146">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14:paraId="7597309E">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7" w:name="_Hlk66975392"/>
            <w:r>
              <w:rPr>
                <w:rFonts w:hint="eastAsia" w:ascii="仿宋_GB2312" w:hAnsi="黑体" w:eastAsia="仿宋_GB2312"/>
                <w:color w:val="auto"/>
                <w:kern w:val="0"/>
                <w:szCs w:val="21"/>
              </w:rPr>
              <w:t>没有现成信息需要另行制作</w:t>
            </w:r>
            <w:bookmarkEnd w:id="7"/>
          </w:p>
        </w:tc>
        <w:tc>
          <w:tcPr>
            <w:tcW w:w="829" w:type="dxa"/>
            <w:noWrap w:val="0"/>
            <w:tcMar>
              <w:left w:w="108" w:type="dxa"/>
              <w:right w:w="108" w:type="dxa"/>
            </w:tcMar>
            <w:vAlign w:val="center"/>
          </w:tcPr>
          <w:p w14:paraId="764380C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95A831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21F91EF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357EE27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78F77DA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A91671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29DC1F9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565B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A2C88B1">
            <w:pPr>
              <w:rPr>
                <w:rFonts w:ascii="黑体" w:hAnsi="黑体" w:eastAsia="黑体"/>
                <w:color w:val="auto"/>
                <w:szCs w:val="21"/>
              </w:rPr>
            </w:pPr>
          </w:p>
        </w:tc>
        <w:tc>
          <w:tcPr>
            <w:tcW w:w="1701" w:type="dxa"/>
            <w:vMerge w:val="continue"/>
            <w:noWrap w:val="0"/>
            <w:tcMar>
              <w:left w:w="108" w:type="dxa"/>
              <w:right w:w="108" w:type="dxa"/>
            </w:tcMar>
            <w:vAlign w:val="center"/>
          </w:tcPr>
          <w:p w14:paraId="28DCC7D8">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14:paraId="7D817820">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8" w:name="_Hlk66975466"/>
            <w:r>
              <w:rPr>
                <w:rFonts w:hint="eastAsia" w:ascii="仿宋_GB2312" w:hAnsi="黑体" w:eastAsia="仿宋_GB2312"/>
                <w:color w:val="auto"/>
                <w:kern w:val="0"/>
                <w:szCs w:val="21"/>
              </w:rPr>
              <w:t>补正后申请内容仍不明确</w:t>
            </w:r>
            <w:bookmarkEnd w:id="8"/>
          </w:p>
        </w:tc>
        <w:tc>
          <w:tcPr>
            <w:tcW w:w="829" w:type="dxa"/>
            <w:noWrap w:val="0"/>
            <w:tcMar>
              <w:left w:w="108" w:type="dxa"/>
              <w:right w:w="108" w:type="dxa"/>
            </w:tcMar>
            <w:vAlign w:val="center"/>
          </w:tcPr>
          <w:p w14:paraId="21C02C5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3CF55E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7422904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2390971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3AFA7E6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4B2BC6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4BF9B25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4E8D2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21ADF15">
            <w:pPr>
              <w:rPr>
                <w:rFonts w:ascii="黑体" w:hAnsi="黑体" w:eastAsia="黑体"/>
                <w:color w:val="auto"/>
                <w:szCs w:val="21"/>
              </w:rPr>
            </w:pPr>
          </w:p>
        </w:tc>
        <w:tc>
          <w:tcPr>
            <w:tcW w:w="1701" w:type="dxa"/>
            <w:vMerge w:val="restart"/>
            <w:noWrap w:val="0"/>
            <w:tcMar>
              <w:left w:w="108" w:type="dxa"/>
              <w:right w:w="108" w:type="dxa"/>
            </w:tcMar>
            <w:vAlign w:val="center"/>
          </w:tcPr>
          <w:p w14:paraId="7027B86D">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14:paraId="30144C88">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9" w:name="_Hlk66975537"/>
            <w:r>
              <w:rPr>
                <w:rFonts w:hint="eastAsia" w:ascii="仿宋_GB2312" w:hAnsi="黑体" w:eastAsia="仿宋_GB2312"/>
                <w:color w:val="auto"/>
                <w:kern w:val="0"/>
                <w:szCs w:val="21"/>
              </w:rPr>
              <w:t>信访举报投诉类申请</w:t>
            </w:r>
            <w:bookmarkEnd w:id="9"/>
          </w:p>
        </w:tc>
        <w:tc>
          <w:tcPr>
            <w:tcW w:w="829" w:type="dxa"/>
            <w:noWrap w:val="0"/>
            <w:tcMar>
              <w:left w:w="108" w:type="dxa"/>
              <w:right w:w="108" w:type="dxa"/>
            </w:tcMar>
            <w:vAlign w:val="center"/>
          </w:tcPr>
          <w:p w14:paraId="4B1980F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3F0160A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4E52EE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3447277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4CA3D71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BC1A99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1D3B1CC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474D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A19DFCF">
            <w:pPr>
              <w:rPr>
                <w:rFonts w:ascii="黑体" w:hAnsi="黑体" w:eastAsia="黑体"/>
                <w:color w:val="auto"/>
                <w:szCs w:val="21"/>
              </w:rPr>
            </w:pPr>
          </w:p>
        </w:tc>
        <w:tc>
          <w:tcPr>
            <w:tcW w:w="1701" w:type="dxa"/>
            <w:vMerge w:val="continue"/>
            <w:noWrap w:val="0"/>
            <w:tcMar>
              <w:left w:w="108" w:type="dxa"/>
              <w:right w:w="108" w:type="dxa"/>
            </w:tcMar>
            <w:vAlign w:val="center"/>
          </w:tcPr>
          <w:p w14:paraId="19BC222F">
            <w:pPr>
              <w:spacing w:line="200" w:lineRule="exact"/>
              <w:rPr>
                <w:rFonts w:ascii="黑体" w:hAnsi="黑体" w:eastAsia="黑体"/>
                <w:color w:val="auto"/>
                <w:szCs w:val="21"/>
              </w:rPr>
            </w:pPr>
          </w:p>
        </w:tc>
        <w:tc>
          <w:tcPr>
            <w:tcW w:w="2976" w:type="dxa"/>
            <w:noWrap w:val="0"/>
            <w:tcMar>
              <w:left w:w="108" w:type="dxa"/>
              <w:right w:w="108" w:type="dxa"/>
            </w:tcMar>
            <w:vAlign w:val="center"/>
          </w:tcPr>
          <w:p w14:paraId="7D2DBBB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noWrap w:val="0"/>
            <w:tcMar>
              <w:left w:w="108" w:type="dxa"/>
              <w:right w:w="108" w:type="dxa"/>
            </w:tcMar>
            <w:vAlign w:val="center"/>
          </w:tcPr>
          <w:p w14:paraId="0525D6D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29DA52E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58479FB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48BDEBC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721C1EC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59CDD6F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2AA3D8D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43274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BDB62B7">
            <w:pPr>
              <w:rPr>
                <w:rFonts w:ascii="黑体" w:hAnsi="黑体" w:eastAsia="黑体"/>
                <w:color w:val="auto"/>
                <w:szCs w:val="21"/>
              </w:rPr>
            </w:pPr>
          </w:p>
        </w:tc>
        <w:tc>
          <w:tcPr>
            <w:tcW w:w="1701" w:type="dxa"/>
            <w:vMerge w:val="continue"/>
            <w:noWrap w:val="0"/>
            <w:tcMar>
              <w:left w:w="108" w:type="dxa"/>
              <w:right w:w="108" w:type="dxa"/>
            </w:tcMar>
            <w:vAlign w:val="center"/>
          </w:tcPr>
          <w:p w14:paraId="132E3B8E">
            <w:pPr>
              <w:spacing w:line="200" w:lineRule="exact"/>
              <w:rPr>
                <w:rFonts w:ascii="黑体" w:hAnsi="黑体" w:eastAsia="黑体"/>
                <w:color w:val="auto"/>
                <w:szCs w:val="21"/>
              </w:rPr>
            </w:pPr>
          </w:p>
        </w:tc>
        <w:tc>
          <w:tcPr>
            <w:tcW w:w="2976" w:type="dxa"/>
            <w:noWrap w:val="0"/>
            <w:tcMar>
              <w:left w:w="108" w:type="dxa"/>
              <w:right w:w="108" w:type="dxa"/>
            </w:tcMar>
            <w:vAlign w:val="center"/>
          </w:tcPr>
          <w:p w14:paraId="39F5DD07">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noWrap w:val="0"/>
            <w:tcMar>
              <w:left w:w="108" w:type="dxa"/>
              <w:right w:w="108" w:type="dxa"/>
            </w:tcMar>
            <w:vAlign w:val="center"/>
          </w:tcPr>
          <w:p w14:paraId="2E58FF8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2524E3A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565B727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3BB2F85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76C1B5F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518870D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036AD1E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D425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04FABF2E">
            <w:pPr>
              <w:rPr>
                <w:rFonts w:ascii="黑体" w:hAnsi="黑体" w:eastAsia="黑体"/>
                <w:color w:val="auto"/>
                <w:szCs w:val="21"/>
              </w:rPr>
            </w:pPr>
          </w:p>
        </w:tc>
        <w:tc>
          <w:tcPr>
            <w:tcW w:w="1701" w:type="dxa"/>
            <w:vMerge w:val="continue"/>
            <w:noWrap w:val="0"/>
            <w:tcMar>
              <w:left w:w="108" w:type="dxa"/>
              <w:right w:w="108" w:type="dxa"/>
            </w:tcMar>
            <w:vAlign w:val="center"/>
          </w:tcPr>
          <w:p w14:paraId="0F1D9FBC">
            <w:pPr>
              <w:spacing w:line="200" w:lineRule="exact"/>
              <w:rPr>
                <w:rFonts w:ascii="黑体" w:hAnsi="黑体" w:eastAsia="黑体"/>
                <w:color w:val="auto"/>
                <w:szCs w:val="21"/>
              </w:rPr>
            </w:pPr>
          </w:p>
        </w:tc>
        <w:tc>
          <w:tcPr>
            <w:tcW w:w="2976" w:type="dxa"/>
            <w:noWrap w:val="0"/>
            <w:tcMar>
              <w:left w:w="108" w:type="dxa"/>
              <w:right w:w="108" w:type="dxa"/>
            </w:tcMar>
            <w:vAlign w:val="center"/>
          </w:tcPr>
          <w:p w14:paraId="650CECEA">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noWrap w:val="0"/>
            <w:tcMar>
              <w:left w:w="108" w:type="dxa"/>
              <w:right w:w="108" w:type="dxa"/>
            </w:tcMar>
            <w:vAlign w:val="center"/>
          </w:tcPr>
          <w:p w14:paraId="68317BE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59D89BC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643173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6E17853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5C25891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2FE219E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174D45B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C1EE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045A84E">
            <w:pPr>
              <w:rPr>
                <w:rFonts w:ascii="黑体" w:hAnsi="黑体" w:eastAsia="黑体"/>
                <w:color w:val="auto"/>
                <w:szCs w:val="21"/>
              </w:rPr>
            </w:pPr>
          </w:p>
        </w:tc>
        <w:tc>
          <w:tcPr>
            <w:tcW w:w="1701" w:type="dxa"/>
            <w:vMerge w:val="continue"/>
            <w:noWrap w:val="0"/>
            <w:tcMar>
              <w:left w:w="108" w:type="dxa"/>
              <w:right w:w="108" w:type="dxa"/>
            </w:tcMar>
            <w:vAlign w:val="center"/>
          </w:tcPr>
          <w:p w14:paraId="4D54E843">
            <w:pPr>
              <w:spacing w:line="200" w:lineRule="exact"/>
              <w:rPr>
                <w:rFonts w:ascii="黑体" w:hAnsi="黑体" w:eastAsia="黑体"/>
                <w:color w:val="auto"/>
                <w:szCs w:val="21"/>
              </w:rPr>
            </w:pPr>
          </w:p>
        </w:tc>
        <w:tc>
          <w:tcPr>
            <w:tcW w:w="2976" w:type="dxa"/>
            <w:noWrap w:val="0"/>
            <w:tcMar>
              <w:left w:w="108" w:type="dxa"/>
              <w:right w:w="108" w:type="dxa"/>
            </w:tcMar>
            <w:vAlign w:val="center"/>
          </w:tcPr>
          <w:p w14:paraId="5F6CF833">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7DB1D2CF">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noWrap w:val="0"/>
            <w:tcMar>
              <w:left w:w="108" w:type="dxa"/>
              <w:right w:w="108" w:type="dxa"/>
            </w:tcMar>
            <w:vAlign w:val="center"/>
          </w:tcPr>
          <w:p w14:paraId="6269619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6F176D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6BF35D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0FA8B99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026EDAF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3206F42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7990B5F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935B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2F7B104">
            <w:pPr>
              <w:rPr>
                <w:rFonts w:ascii="黑体" w:hAnsi="黑体" w:eastAsia="黑体"/>
                <w:color w:val="auto"/>
                <w:szCs w:val="21"/>
              </w:rPr>
            </w:pPr>
          </w:p>
        </w:tc>
        <w:tc>
          <w:tcPr>
            <w:tcW w:w="1701" w:type="dxa"/>
            <w:vMerge w:val="restart"/>
            <w:noWrap w:val="0"/>
            <w:tcMar>
              <w:left w:w="108" w:type="dxa"/>
              <w:right w:w="108" w:type="dxa"/>
            </w:tcMar>
            <w:vAlign w:val="center"/>
          </w:tcPr>
          <w:p w14:paraId="6515C798">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14:paraId="15624838">
            <w:pPr>
              <w:widowControl/>
              <w:spacing w:line="300" w:lineRule="exact"/>
              <w:rPr>
                <w:rFonts w:hint="eastAsia"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p w14:paraId="18259F84">
            <w:pPr>
              <w:widowControl/>
              <w:spacing w:line="300" w:lineRule="exact"/>
              <w:rPr>
                <w:rFonts w:hint="eastAsia" w:ascii="仿宋_GB2312" w:hAnsi="楷体" w:eastAsia="仿宋_GB2312"/>
                <w:color w:val="auto"/>
              </w:rPr>
            </w:pPr>
          </w:p>
        </w:tc>
        <w:tc>
          <w:tcPr>
            <w:tcW w:w="829" w:type="dxa"/>
            <w:noWrap w:val="0"/>
            <w:tcMar>
              <w:left w:w="108" w:type="dxa"/>
              <w:right w:w="108" w:type="dxa"/>
            </w:tcMar>
            <w:vAlign w:val="center"/>
          </w:tcPr>
          <w:p w14:paraId="3830C0D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2BFF06D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0F20C22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42DC538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4C77691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5DCA2DA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4B797A9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3FF06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89C6457">
            <w:pPr>
              <w:rPr>
                <w:rFonts w:ascii="黑体" w:hAnsi="黑体" w:eastAsia="黑体"/>
                <w:color w:val="auto"/>
                <w:szCs w:val="21"/>
              </w:rPr>
            </w:pPr>
          </w:p>
        </w:tc>
        <w:tc>
          <w:tcPr>
            <w:tcW w:w="1701" w:type="dxa"/>
            <w:vMerge w:val="continue"/>
            <w:noWrap w:val="0"/>
            <w:tcMar>
              <w:left w:w="108" w:type="dxa"/>
              <w:right w:w="108" w:type="dxa"/>
            </w:tcMar>
            <w:vAlign w:val="center"/>
          </w:tcPr>
          <w:p w14:paraId="5627C346">
            <w:pPr>
              <w:widowControl/>
              <w:spacing w:line="300" w:lineRule="exact"/>
              <w:rPr>
                <w:rFonts w:ascii="黑体" w:hAnsi="黑体" w:eastAsia="黑体"/>
                <w:color w:val="auto"/>
                <w:kern w:val="0"/>
                <w:szCs w:val="21"/>
              </w:rPr>
            </w:pPr>
          </w:p>
        </w:tc>
        <w:tc>
          <w:tcPr>
            <w:tcW w:w="2976" w:type="dxa"/>
            <w:noWrap w:val="0"/>
            <w:vAlign w:val="center"/>
          </w:tcPr>
          <w:p w14:paraId="0EB48124">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noWrap w:val="0"/>
            <w:tcMar>
              <w:left w:w="108" w:type="dxa"/>
              <w:right w:w="108" w:type="dxa"/>
            </w:tcMar>
            <w:vAlign w:val="center"/>
          </w:tcPr>
          <w:p w14:paraId="1478528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32361C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52AB11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5DF12B7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1DB3A89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ACD8F2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265009C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41D5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F0E96C6">
            <w:pPr>
              <w:rPr>
                <w:rFonts w:ascii="黑体" w:hAnsi="黑体" w:eastAsia="黑体"/>
                <w:color w:val="auto"/>
                <w:szCs w:val="21"/>
              </w:rPr>
            </w:pPr>
          </w:p>
        </w:tc>
        <w:tc>
          <w:tcPr>
            <w:tcW w:w="1701" w:type="dxa"/>
            <w:vMerge w:val="continue"/>
            <w:noWrap w:val="0"/>
            <w:tcMar>
              <w:left w:w="108" w:type="dxa"/>
              <w:right w:w="108" w:type="dxa"/>
            </w:tcMar>
            <w:vAlign w:val="center"/>
          </w:tcPr>
          <w:p w14:paraId="388CAF8F">
            <w:pPr>
              <w:widowControl/>
              <w:spacing w:line="300" w:lineRule="exact"/>
              <w:rPr>
                <w:rFonts w:ascii="黑体" w:hAnsi="黑体" w:eastAsia="黑体"/>
                <w:color w:val="auto"/>
                <w:kern w:val="0"/>
                <w:szCs w:val="21"/>
              </w:rPr>
            </w:pPr>
          </w:p>
        </w:tc>
        <w:tc>
          <w:tcPr>
            <w:tcW w:w="2976" w:type="dxa"/>
            <w:noWrap w:val="0"/>
            <w:vAlign w:val="center"/>
          </w:tcPr>
          <w:p w14:paraId="35C60AC3">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noWrap w:val="0"/>
            <w:tcMar>
              <w:left w:w="108" w:type="dxa"/>
              <w:right w:w="108" w:type="dxa"/>
            </w:tcMar>
            <w:vAlign w:val="center"/>
          </w:tcPr>
          <w:p w14:paraId="41704DF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04CBC44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2513281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3CF905E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3991528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8A7795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619E249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1732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3F2B77F">
            <w:pPr>
              <w:rPr>
                <w:rFonts w:ascii="黑体" w:hAnsi="黑体" w:eastAsia="黑体"/>
                <w:color w:val="auto"/>
                <w:szCs w:val="21"/>
              </w:rPr>
            </w:pPr>
          </w:p>
        </w:tc>
        <w:tc>
          <w:tcPr>
            <w:tcW w:w="4677" w:type="dxa"/>
            <w:gridSpan w:val="2"/>
            <w:noWrap w:val="0"/>
            <w:tcMar>
              <w:left w:w="108" w:type="dxa"/>
              <w:right w:w="108" w:type="dxa"/>
            </w:tcMar>
            <w:vAlign w:val="center"/>
          </w:tcPr>
          <w:p w14:paraId="262BD9EB">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noWrap w:val="0"/>
            <w:tcMar>
              <w:left w:w="108" w:type="dxa"/>
              <w:right w:w="108" w:type="dxa"/>
            </w:tcMar>
            <w:vAlign w:val="center"/>
          </w:tcPr>
          <w:p w14:paraId="08C5741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4A940DB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738832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54E7D4F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4B64DA7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69E88EC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15559C1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5EEAA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5135EA8C">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noWrap w:val="0"/>
            <w:tcMar>
              <w:left w:w="108" w:type="dxa"/>
              <w:right w:w="108" w:type="dxa"/>
            </w:tcMar>
            <w:vAlign w:val="center"/>
          </w:tcPr>
          <w:p w14:paraId="52DE291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FEEE05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1222B03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noWrap w:val="0"/>
            <w:tcMar>
              <w:left w:w="108" w:type="dxa"/>
              <w:right w:w="108" w:type="dxa"/>
            </w:tcMar>
            <w:vAlign w:val="center"/>
          </w:tcPr>
          <w:p w14:paraId="723E30F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noWrap w:val="0"/>
            <w:tcMar>
              <w:left w:w="108" w:type="dxa"/>
              <w:right w:w="108" w:type="dxa"/>
            </w:tcMar>
            <w:vAlign w:val="center"/>
          </w:tcPr>
          <w:p w14:paraId="26284C5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noWrap w:val="0"/>
            <w:tcMar>
              <w:left w:w="108" w:type="dxa"/>
              <w:right w:w="108" w:type="dxa"/>
            </w:tcMar>
            <w:vAlign w:val="center"/>
          </w:tcPr>
          <w:p w14:paraId="58FDC89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noWrap w:val="0"/>
            <w:tcMar>
              <w:left w:w="108" w:type="dxa"/>
              <w:right w:w="108" w:type="dxa"/>
            </w:tcMar>
            <w:vAlign w:val="center"/>
          </w:tcPr>
          <w:p w14:paraId="6C04B54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bl>
    <w:p w14:paraId="0F2D8CF9">
      <w:pPr>
        <w:pageBreakBefore w:val="0"/>
        <w:kinsoku/>
        <w:overflowPunct/>
        <w:topLinePunct w:val="0"/>
        <w:autoSpaceDE/>
        <w:autoSpaceDN/>
        <w:bidi w:val="0"/>
        <w:adjustRightInd/>
        <w:snapToGrid/>
        <w:spacing w:line="560" w:lineRule="exact"/>
        <w:ind w:left="0" w:leftChars="0" w:right="0" w:rightChars="0"/>
        <w:jc w:val="center"/>
        <w:textAlignment w:val="auto"/>
        <w:rPr>
          <w:rFonts w:ascii="仿宋_GB2312" w:eastAsia="仿宋_GB2312"/>
          <w:color w:val="auto"/>
          <w:sz w:val="32"/>
          <w:szCs w:val="32"/>
        </w:rPr>
      </w:pPr>
    </w:p>
    <w:p w14:paraId="10834BEB">
      <w:pPr>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ascii="仿宋_GB2312" w:eastAsia="仿宋_GB2312"/>
          <w:color w:val="auto"/>
          <w:sz w:val="32"/>
          <w:szCs w:val="32"/>
        </w:rPr>
        <w:sectPr>
          <w:pgSz w:w="11906" w:h="16838"/>
          <w:pgMar w:top="1440" w:right="1474" w:bottom="1440" w:left="1588" w:header="851" w:footer="992" w:gutter="0"/>
          <w:cols w:space="720" w:num="1"/>
          <w:docGrid w:type="lines" w:linePitch="312" w:charSpace="0"/>
        </w:sectPr>
      </w:pPr>
    </w:p>
    <w:p w14:paraId="7177E93A">
      <w:pPr>
        <w:ind w:firstLine="640" w:firstLineChars="200"/>
        <w:jc w:val="left"/>
        <w:rPr>
          <w:rFonts w:ascii="方正小标宋简体" w:eastAsia="方正小标宋简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lang w:eastAsia="zh-CN"/>
        </w:rPr>
        <w:t>因政府信息公开工作被申请行政复议、提起行政诉讼情况统计表</w:t>
      </w:r>
    </w:p>
    <w:p w14:paraId="06F7D0B0">
      <w:pPr>
        <w:jc w:val="center"/>
        <w:rPr>
          <w:rFonts w:ascii="仿宋_GB2312" w:eastAsia="仿宋_GB2312"/>
          <w:color w:val="auto"/>
          <w:sz w:val="32"/>
          <w:szCs w:val="32"/>
        </w:rPr>
      </w:pP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AE6C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428662">
            <w:pPr>
              <w:widowControl/>
              <w:jc w:val="center"/>
              <w:rPr>
                <w:rFonts w:ascii="黑体" w:hAnsi="黑体" w:eastAsia="黑体"/>
                <w:color w:val="auto"/>
              </w:rPr>
            </w:pPr>
            <w:r>
              <w:rPr>
                <w:rFonts w:ascii="黑体" w:hAnsi="黑体" w:eastAsia="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77F96E64">
            <w:pPr>
              <w:widowControl/>
              <w:jc w:val="center"/>
              <w:rPr>
                <w:rFonts w:ascii="黑体" w:hAnsi="黑体" w:eastAsia="黑体"/>
                <w:color w:val="auto"/>
              </w:rPr>
            </w:pPr>
            <w:r>
              <w:rPr>
                <w:rFonts w:ascii="黑体" w:hAnsi="黑体" w:eastAsia="黑体"/>
                <w:color w:val="auto"/>
                <w:kern w:val="0"/>
                <w:sz w:val="20"/>
                <w:szCs w:val="20"/>
              </w:rPr>
              <w:t>行政诉讼</w:t>
            </w:r>
          </w:p>
        </w:tc>
      </w:tr>
      <w:tr w14:paraId="1C67C3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6BAF565">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14:paraId="7C5F84F4">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65AFD70A">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E9FF7DD">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4331DF8">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14:paraId="54DB7D4E">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7B94108">
            <w:pPr>
              <w:widowControl/>
              <w:spacing w:line="320" w:lineRule="exact"/>
              <w:jc w:val="center"/>
              <w:rPr>
                <w:rFonts w:ascii="黑体" w:hAnsi="黑体" w:eastAsia="黑体"/>
                <w:color w:val="auto"/>
                <w:kern w:val="0"/>
                <w:sz w:val="20"/>
                <w:szCs w:val="20"/>
              </w:rPr>
            </w:pPr>
            <w:r>
              <w:rPr>
                <w:rFonts w:ascii="黑体" w:hAnsi="黑体" w:eastAsia="黑体"/>
                <w:color w:val="auto"/>
                <w:kern w:val="0"/>
                <w:sz w:val="20"/>
                <w:szCs w:val="20"/>
              </w:rPr>
              <w:t>总</w:t>
            </w:r>
          </w:p>
          <w:p w14:paraId="085E378C">
            <w:pPr>
              <w:widowControl/>
              <w:spacing w:line="320" w:lineRule="exact"/>
              <w:jc w:val="center"/>
              <w:rPr>
                <w:rFonts w:ascii="黑体" w:hAnsi="黑体" w:eastAsia="黑体"/>
                <w:color w:val="auto"/>
              </w:rPr>
            </w:pPr>
            <w:r>
              <w:rPr>
                <w:rFonts w:ascii="黑体" w:hAnsi="黑体" w:eastAsia="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6E87C19B">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F683BAE">
            <w:pPr>
              <w:widowControl/>
              <w:jc w:val="center"/>
              <w:rPr>
                <w:rFonts w:ascii="黑体" w:hAnsi="黑体" w:eastAsia="黑体"/>
                <w:color w:val="auto"/>
              </w:rPr>
            </w:pPr>
            <w:bookmarkStart w:id="10" w:name="_Hlk67039688"/>
            <w:r>
              <w:rPr>
                <w:rFonts w:ascii="黑体" w:hAnsi="黑体" w:eastAsia="黑体"/>
                <w:color w:val="auto"/>
                <w:kern w:val="0"/>
                <w:sz w:val="20"/>
                <w:szCs w:val="20"/>
              </w:rPr>
              <w:t>复议后起诉</w:t>
            </w:r>
            <w:bookmarkEnd w:id="10"/>
          </w:p>
        </w:tc>
      </w:tr>
      <w:tr w14:paraId="06F37F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8932DFE">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17A35251">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CD55F85">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31456AC">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B01651A">
            <w:pPr>
              <w:rPr>
                <w:rFonts w:ascii="黑体" w:hAnsi="黑体" w:eastAsia="黑体"/>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8CF73B8">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A15A21B">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DBCBA62">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14:paraId="22206BAA">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BE208EE">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14:paraId="5F797836">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735AD43">
            <w:pPr>
              <w:widowControl/>
              <w:jc w:val="center"/>
              <w:rPr>
                <w:rFonts w:ascii="黑体" w:hAnsi="黑体" w:eastAsia="黑体"/>
                <w:color w:val="auto"/>
              </w:rPr>
            </w:pPr>
            <w:r>
              <w:rPr>
                <w:rFonts w:ascii="黑体" w:hAnsi="黑体" w:eastAsia="黑体"/>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DD86B7">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63C5FF7">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14:paraId="6A055B65">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3245A03">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14:paraId="56154C7C">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51BE0D7">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B51AE0">
            <w:pPr>
              <w:widowControl/>
              <w:jc w:val="center"/>
              <w:rPr>
                <w:rFonts w:ascii="黑体" w:hAnsi="黑体" w:eastAsia="黑体"/>
                <w:color w:val="auto"/>
              </w:rPr>
            </w:pPr>
            <w:r>
              <w:rPr>
                <w:rFonts w:ascii="黑体" w:hAnsi="黑体" w:eastAsia="黑体"/>
                <w:color w:val="auto"/>
                <w:kern w:val="0"/>
                <w:sz w:val="20"/>
                <w:szCs w:val="20"/>
              </w:rPr>
              <w:t>总计</w:t>
            </w:r>
          </w:p>
        </w:tc>
      </w:tr>
      <w:tr w14:paraId="1229BB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C959D9">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1958171">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47F1F19">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D13FF00">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1F20352B">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6C22244C">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E6E5BDC">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03C5A0F">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599D071">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B16BFF8">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AB8B241">
            <w:pPr>
              <w:widowControl/>
              <w:spacing w:after="180"/>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1280B10">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07E60E8">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67805B2">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44C1ABD">
            <w:pPr>
              <w:widowControl/>
              <w:spacing w:after="180"/>
              <w:jc w:val="center"/>
              <w:rPr>
                <w:rFonts w:hint="eastAsia" w:ascii="Times New Roman" w:hAnsi="Times New Roman" w:eastAsia="宋体"/>
                <w:color w:val="auto"/>
                <w:lang w:val="en-US" w:eastAsia="zh-CN"/>
              </w:rPr>
            </w:pPr>
            <w:r>
              <w:rPr>
                <w:rFonts w:hint="eastAsia" w:ascii="Times New Roman" w:hAnsi="Times New Roman"/>
                <w:color w:val="auto"/>
                <w:lang w:val="en-US" w:eastAsia="zh-CN"/>
              </w:rPr>
              <w:t>0</w:t>
            </w:r>
          </w:p>
        </w:tc>
      </w:tr>
    </w:tbl>
    <w:p w14:paraId="54980C93">
      <w:pPr>
        <w:keepNext w:val="0"/>
        <w:keepLines w:val="0"/>
        <w:pageBreakBefore w:val="0"/>
        <w:numPr>
          <w:ilvl w:val="0"/>
          <w:numId w:val="0"/>
        </w:numPr>
        <w:kinsoku/>
        <w:overflowPunct/>
        <w:topLinePunct w:val="0"/>
        <w:autoSpaceDE/>
        <w:autoSpaceDN/>
        <w:bidi w:val="0"/>
        <w:adjustRightInd/>
        <w:snapToGrid/>
        <w:spacing w:line="560" w:lineRule="exact"/>
        <w:ind w:right="0" w:rightChars="0"/>
        <w:jc w:val="left"/>
        <w:textAlignment w:val="auto"/>
        <w:rPr>
          <w:rFonts w:hint="eastAsia" w:ascii="黑体" w:hAnsi="黑体" w:eastAsia="黑体" w:cs="Times New Roman"/>
          <w:color w:val="auto"/>
          <w:kern w:val="2"/>
          <w:sz w:val="32"/>
          <w:szCs w:val="32"/>
          <w:lang w:val="en-US" w:eastAsia="zh-CN" w:bidi="ar-SA"/>
        </w:rPr>
      </w:pPr>
    </w:p>
    <w:p w14:paraId="2950540E">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黑体" w:hAnsi="黑体" w:eastAsia="黑体"/>
          <w:color w:val="auto"/>
          <w:sz w:val="32"/>
          <w:szCs w:val="32"/>
          <w:lang w:val="en-US" w:eastAsia="zh-CN"/>
        </w:rPr>
      </w:pPr>
      <w:r>
        <w:rPr>
          <w:rFonts w:hint="eastAsia" w:ascii="黑体" w:hAnsi="黑体" w:eastAsia="黑体" w:cs="Times New Roman"/>
          <w:color w:val="auto"/>
          <w:kern w:val="2"/>
          <w:sz w:val="32"/>
          <w:szCs w:val="32"/>
          <w:lang w:val="en-US" w:eastAsia="zh-CN" w:bidi="ar-SA"/>
        </w:rPr>
        <w:t>五、</w:t>
      </w:r>
      <w:r>
        <w:rPr>
          <w:rFonts w:hint="eastAsia" w:ascii="黑体" w:hAnsi="黑体" w:eastAsia="黑体"/>
          <w:color w:val="auto"/>
          <w:sz w:val="32"/>
          <w:szCs w:val="32"/>
          <w:lang w:val="en-US" w:eastAsia="zh-CN"/>
        </w:rPr>
        <w:t>存在的主要问题及改进情况</w:t>
      </w:r>
    </w:p>
    <w:p w14:paraId="089E221A">
      <w:pPr>
        <w:ind w:firstLine="420" w:firstLineChars="200"/>
        <w:rPr>
          <w:rFonts w:hint="eastAsia" w:ascii="仿宋_GB2312" w:hAnsi="仿宋_GB2312" w:eastAsia="仿宋_GB2312" w:cs="仿宋_GB2312"/>
          <w:kern w:val="2"/>
          <w:sz w:val="32"/>
          <w:szCs w:val="32"/>
          <w:lang w:val="en-US" w:eastAsia="zh-CN" w:bidi="ar-SA"/>
        </w:rPr>
      </w:pPr>
      <w:r>
        <w:rPr>
          <w:rFonts w:hint="eastAsia"/>
          <w:color w:val="auto"/>
          <w:lang w:val="en-US" w:eastAsia="zh-CN"/>
        </w:rPr>
        <w:t xml:space="preserve">  </w:t>
      </w:r>
      <w:r>
        <w:rPr>
          <w:rFonts w:hint="eastAsia" w:ascii="仿宋_GB2312" w:hAnsi="仿宋_GB2312" w:eastAsia="仿宋_GB2312" w:cs="仿宋_GB2312"/>
          <w:kern w:val="2"/>
          <w:sz w:val="32"/>
          <w:szCs w:val="32"/>
          <w:lang w:val="en-US" w:eastAsia="zh-CN" w:bidi="ar-SA"/>
        </w:rPr>
        <w:t>2024 年，北庄镇政府信息公开工作在取得一定成绩的同时，也存在一些问题和不足。</w:t>
      </w:r>
    </w:p>
    <w:p w14:paraId="38D75C75">
      <w:pPr>
        <w:ind w:firstLine="640" w:firstLineChars="200"/>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（一）2023年度存在问题改进情况。</w:t>
      </w:r>
      <w:r>
        <w:rPr>
          <w:rFonts w:hint="eastAsia" w:ascii="仿宋_GB2312" w:hAnsi="仿宋_GB2312" w:eastAsia="仿宋_GB2312" w:cs="仿宋_GB2312"/>
          <w:kern w:val="2"/>
          <w:sz w:val="32"/>
          <w:szCs w:val="32"/>
          <w:lang w:val="en-US" w:eastAsia="zh-CN" w:bidi="ar-SA"/>
        </w:rPr>
        <w:t>一方面，着力打造北庄微报公众号信息公开专栏，明确公众参与行政决策的事项范围。对涉及群众切身利益、需要广泛知晓的政策措施，及时公开；另一方面，加大教育培训力度，积极组织学习培训，强化信息公开工作队伍力量，逐步把政务公开的规章制度、知识技能，纳入领导干部培训内容，增强公开意识。</w:t>
      </w:r>
    </w:p>
    <w:p w14:paraId="2F065CAC">
      <w:pPr>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（二）2024年度存在的主要问题及下步改进措施。</w:t>
      </w:r>
      <w:r>
        <w:rPr>
          <w:rFonts w:hint="eastAsia" w:ascii="仿宋_GB2312" w:hAnsi="仿宋_GB2312" w:eastAsia="仿宋_GB2312" w:cs="仿宋_GB2312"/>
          <w:kern w:val="2"/>
          <w:sz w:val="32"/>
          <w:szCs w:val="32"/>
          <w:lang w:val="en-US" w:eastAsia="zh-CN" w:bidi="ar-SA"/>
        </w:rPr>
        <w:t>主要问题：一是宣传方式创新不足。尽管在宣传形式上有所拓展，但仍未充分挖掘新媒体平台的互动潜力，宣传方式较为传统，缺乏创新性，导致公众参与度不高。二是业务提升持续性不够。培训工作尚未形成长效机制，工作人员业务提升的持续性难以保障，在面对新问题和新挑战时，有时会出现应对不及时的情况。三是思想认识深度不够。部分工作人员对政府信息公开工作的创新性不足，对信息公开工作的创新能力有待进一步提高。</w:t>
      </w:r>
    </w:p>
    <w:p w14:paraId="662477D0">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改进措施：一是创新宣传方式。积极探索新媒体平台的创新应用，如开展线上互动活动、制作短视频等，增强与公众的互动交流，提高公众的参与度和关注度。同时，结合线下宣传活动，形成全方位、多层次的宣传格局。二是建立长效培训机制。制定系统的培训计划，定期开展针对性的培训课程，内容涵盖最新的政策法规解读、信息管理系统操作技巧、舆情应对等方面。通过内部研讨、案例分析和实地考察等方式，不断提升工作人员的业务能力和综合素质。三是深化思想认识。加强思想教育工作，通过组织开展专题会议、学习先进地区的经验做法等方式，引导全体工作人员深刻理解政府信息公开工作的重大意义，将其作为一项重要的政治任务来抓。同时，建立健全考核评价机制，将信息公开工作纳入绩效考核体系，激励工作人员积极主动地做好信息公开工作。</w:t>
      </w:r>
    </w:p>
    <w:p w14:paraId="33D54BFA">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 xml:space="preserve">六、其他需要报告的事项 </w:t>
      </w:r>
    </w:p>
    <w:p w14:paraId="178B1438">
      <w:pPr>
        <w:ind w:firstLine="640" w:firstLineChars="200"/>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（一）依申请公开信息处理费收费情况。</w:t>
      </w:r>
      <w:r>
        <w:rPr>
          <w:rFonts w:hint="eastAsia" w:ascii="仿宋_GB2312" w:hAnsi="仿宋_GB2312" w:eastAsia="仿宋_GB2312" w:cs="仿宋_GB2312"/>
          <w:kern w:val="2"/>
          <w:sz w:val="32"/>
          <w:szCs w:val="32"/>
          <w:lang w:val="en-US" w:eastAsia="zh-CN" w:bidi="ar-SA"/>
        </w:rPr>
        <w:t>2024年度，山亭区北庄镇向申请人收取信息处理费为0。</w:t>
      </w:r>
    </w:p>
    <w:p w14:paraId="02122C26">
      <w:pPr>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（二）本行政机关落实上级年度政务公开工作要点情况。</w:t>
      </w:r>
      <w:r>
        <w:rPr>
          <w:rFonts w:hint="eastAsia" w:ascii="仿宋_GB2312" w:hAnsi="仿宋_GB2312" w:eastAsia="仿宋_GB2312" w:cs="仿宋_GB2312"/>
          <w:kern w:val="2"/>
          <w:sz w:val="32"/>
          <w:szCs w:val="32"/>
          <w:lang w:val="en-US" w:eastAsia="zh-CN" w:bidi="ar-SA"/>
        </w:rPr>
        <w:t>2024年，北庄镇紧扣国家、省市区政务公开工作要点，多措并举推进信息公开与政策解读工作。一是持续优化政府信息公开流程，借助微信公众号、村级“三务”公开栏等多元平台，精准推送涉及公众利益调整、需广泛知晓的重要信息，确保公开内容及时、准确、全面。二是全力推进政策解读工作，聚焦区级政府文件、重大政策及重点工作，通过多种创新形式进行深入解读，进一步提升解读效果。三是围绕本镇重点工作和社会关切热点，强化信息研判，及时通过多渠道公开，切实保障群众知情权，维护社会稳定和安全。</w:t>
      </w:r>
    </w:p>
    <w:p w14:paraId="15239054">
      <w:pPr>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（三）2024年度建议提案办理情况。</w:t>
      </w:r>
      <w:r>
        <w:rPr>
          <w:rFonts w:hint="eastAsia" w:ascii="仿宋_GB2312" w:hAnsi="仿宋_GB2312" w:eastAsia="仿宋_GB2312" w:cs="仿宋_GB2312"/>
          <w:kern w:val="2"/>
          <w:sz w:val="32"/>
          <w:szCs w:val="32"/>
          <w:lang w:val="en-US" w:eastAsia="zh-CN" w:bidi="ar-SA"/>
        </w:rPr>
        <w:t>2024年，我镇未承办人大代表建议和政协委员提案。</w:t>
      </w:r>
    </w:p>
    <w:p w14:paraId="7DB80428">
      <w:pPr>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（四）本部门在政务公开制度、内容、形式和平台建设方面的创新实践情况。</w:t>
      </w:r>
      <w:r>
        <w:rPr>
          <w:rFonts w:hint="eastAsia" w:ascii="仿宋_GB2312" w:hAnsi="仿宋_GB2312" w:eastAsia="仿宋_GB2312" w:cs="仿宋_GB2312"/>
          <w:kern w:val="2"/>
          <w:sz w:val="32"/>
          <w:szCs w:val="32"/>
          <w:lang w:val="en-US" w:eastAsia="zh-CN" w:bidi="ar-SA"/>
        </w:rPr>
        <w:t>一是优化公开平台建设。在持续规范北庄微报公众号和区政府网站相关责任栏目的基础上，积极探索与新兴媒体平台的深度合作，进一步拓展信息公开渠道。通过多平台协同发力，有效提升信息传播的覆盖面和影响力，确保政务公开工作与时俱进、贴近群众需求。二是强化公开与服务协同。进一步完善政务公开体验区的功能布局和服务效能，增设政务服务咨询台，定期开展政策解读讲座，为群众提供更加便捷、高效、贴心的政务服务。通过线上线下融合互动，切实增强群众的获得感和满意度。三是推动公开向村级进一步深入。在巩固镇村“三务”公开栏建设成果的基础上，创新探索建立村级政务公开微信群、完善微信公众号链接枣庄市农村集体“三资”公开平台，及</w:t>
      </w:r>
      <w:bookmarkStart w:id="11" w:name="_GoBack"/>
      <w:bookmarkEnd w:id="11"/>
      <w:r>
        <w:rPr>
          <w:rFonts w:hint="eastAsia" w:ascii="仿宋_GB2312" w:hAnsi="仿宋_GB2312" w:eastAsia="仿宋_GB2312" w:cs="仿宋_GB2312"/>
          <w:kern w:val="2"/>
          <w:sz w:val="32"/>
          <w:szCs w:val="32"/>
          <w:lang w:val="en-US" w:eastAsia="zh-CN" w:bidi="ar-SA"/>
        </w:rPr>
        <w:t>时推送与群众生产生活密切相关的政策信息和“六大领域”工作动态，真正实现政务公开“零距离”，让群众随时随地了解政府工作进展，切实保障群众的知情权和参与权。</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712C">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10FAAB">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E10FAAB">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34993"/>
    <w:rsid w:val="02725217"/>
    <w:rsid w:val="05CD7443"/>
    <w:rsid w:val="12434993"/>
    <w:rsid w:val="2198527F"/>
    <w:rsid w:val="239B70AC"/>
    <w:rsid w:val="288822B5"/>
    <w:rsid w:val="329D08FD"/>
    <w:rsid w:val="39E96AC4"/>
    <w:rsid w:val="3B581673"/>
    <w:rsid w:val="3FE2742B"/>
    <w:rsid w:val="40FD4FFD"/>
    <w:rsid w:val="4AAD305D"/>
    <w:rsid w:val="4B7E719A"/>
    <w:rsid w:val="4E3052D3"/>
    <w:rsid w:val="4E6600F3"/>
    <w:rsid w:val="53761A7E"/>
    <w:rsid w:val="58D77C23"/>
    <w:rsid w:val="5FD21144"/>
    <w:rsid w:val="69172000"/>
    <w:rsid w:val="698C05B6"/>
    <w:rsid w:val="731A1328"/>
    <w:rsid w:val="77942273"/>
    <w:rsid w:val="7B83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toc 1"/>
    <w:basedOn w:val="1"/>
    <w:next w:val="1"/>
    <w:qFormat/>
    <w:uiPriority w:val="39"/>
    <w:pPr>
      <w:widowControl/>
      <w:tabs>
        <w:tab w:val="right" w:leader="dot" w:pos="9060"/>
      </w:tabs>
      <w:spacing w:after="100" w:line="600" w:lineRule="exact"/>
    </w:pPr>
    <w:rPr>
      <w:rFonts w:ascii="Calibri" w:hAnsi="Calibri"/>
      <w:szCs w:val="24"/>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2705</Words>
  <Characters>2804</Characters>
  <Lines>0</Lines>
  <Paragraphs>0</Paragraphs>
  <TotalTime>4</TotalTime>
  <ScaleCrop>false</ScaleCrop>
  <LinksUpToDate>false</LinksUpToDate>
  <CharactersWithSpaces>2812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2025-01-13T04:01:00Z</dcterms:created>
  <dc:creator>冷无霜</dc:creator>
  <cp:lastModifiedBy>周沫</cp:lastModifiedBy>
  <dcterms:modified xsi:type="dcterms:W3CDTF">2025-01-20T10:25:14Z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A9EDC2A6E6CF400888B5AD39DD0048CD_13</vt:lpwstr>
  </property>
  <property fmtid="{D5CDD505-2E9C-101B-9397-08002B2CF9AE}" pid="4" name="KSOTemplateDocerSaveRecord">
    <vt:lpwstr>eyJoZGlkIjoiYWRlMzAwYWFkYmQ1M2VhOWE0YjhmNTIzODNmOGVjYWQiLCJ1c2VySWQiOiIzNzgyOTM3MzgifQ==</vt:lpwstr>
  </property>
</Properties>
</file>