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根据新修订的《中华人民共和国政府信息公开条例》和《国务院办公厅政府信息与政务公开办公室关于印发&lt;中华人民共和国政府信息公开工作年度报告格式&gt;的通知》相关要求编制本报告，</w:t>
      </w:r>
      <w:r>
        <w:rPr>
          <w:rFonts w:ascii="仿宋_GB2312" w:hAnsi="宋体" w:eastAsia="仿宋_GB2312" w:cs="仿宋_GB2312"/>
          <w:i w:val="0"/>
          <w:iCs w:val="0"/>
          <w:caps w:val="0"/>
          <w:color w:val="auto"/>
          <w:spacing w:val="0"/>
          <w:sz w:val="32"/>
          <w:szCs w:val="32"/>
          <w:shd w:val="clear" w:fill="FFFFFF"/>
        </w:rPr>
        <w:t>内容包括总体情况、主动公开政府信息情况、收到和处理政府信息公开申请情况、政府信息公开行政复议和行政诉讼情况、存在的主要问题及改进情况、其他需要报告的事项等六个部分。</w:t>
      </w:r>
      <w:r>
        <w:rPr>
          <w:rFonts w:hint="eastAsia" w:ascii="仿宋_GB2312" w:hAnsi="仿宋_GB2312" w:eastAsia="仿宋_GB2312" w:cs="仿宋_GB2312"/>
          <w:i w:val="0"/>
          <w:caps w:val="0"/>
          <w:color w:val="auto"/>
          <w:spacing w:val="0"/>
          <w:kern w:val="0"/>
          <w:sz w:val="32"/>
          <w:szCs w:val="32"/>
          <w:lang w:val="en-US" w:eastAsia="zh-CN" w:bidi="ar"/>
        </w:rPr>
        <w:t>本报告所列数据的统计时限自2024年1月1日至2024年12月31日。本报告电子版可从山亭区政府网站（</w:t>
      </w:r>
      <w:r>
        <w:rPr>
          <w:rFonts w:hint="eastAsia" w:ascii="仿宋_GB2312" w:hAnsi="仿宋_GB2312" w:eastAsia="仿宋_GB2312" w:cs="仿宋_GB2312"/>
          <w:i w:val="0"/>
          <w:caps w:val="0"/>
          <w:color w:val="auto"/>
          <w:spacing w:val="0"/>
          <w:kern w:val="0"/>
          <w:sz w:val="32"/>
          <w:szCs w:val="32"/>
          <w:u w:val="none"/>
          <w:lang w:val="en-US" w:eastAsia="zh-CN" w:bidi="ar"/>
        </w:rPr>
        <w:t>http://www.shanting.gov.cn/</w:t>
      </w:r>
      <w:r>
        <w:rPr>
          <w:rFonts w:hint="eastAsia" w:ascii="仿宋_GB2312" w:hAnsi="仿宋_GB2312" w:eastAsia="仿宋_GB2312" w:cs="仿宋_GB2312"/>
          <w:i w:val="0"/>
          <w:caps w:val="0"/>
          <w:color w:val="auto"/>
          <w:spacing w:val="0"/>
          <w:kern w:val="0"/>
          <w:sz w:val="32"/>
          <w:szCs w:val="32"/>
          <w:lang w:val="en-US" w:eastAsia="zh-CN" w:bidi="ar"/>
        </w:rPr>
        <w:t>）下载。如对本报告有疑问，可与山亭区司法局联系（地址:山亭区府前西路邻里广场二楼A区山亭区司法局，邮编：277200，电话：0632-8811389） 。</w:t>
      </w:r>
    </w:p>
    <w:p>
      <w:pPr>
        <w:pStyle w:val="3"/>
        <w:pageBreakBefore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ascii="楷体_GB2312" w:eastAsia="楷体_GB2312"/>
          <w:color w:val="auto"/>
          <w:sz w:val="32"/>
          <w:szCs w:val="32"/>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总体情况</w:t>
      </w:r>
    </w:p>
    <w:p>
      <w:pPr>
        <w:pStyle w:val="2"/>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仿宋_GB2312" w:hAnsi="仿宋_GB2312" w:eastAsia="仿宋_GB2312" w:cs="仿宋_GB2312"/>
          <w:b w:val="0"/>
          <w:bCs w:val="0"/>
          <w:i w:val="0"/>
          <w:caps w:val="0"/>
          <w:color w:val="auto"/>
          <w:spacing w:val="0"/>
          <w:kern w:val="0"/>
          <w:sz w:val="32"/>
          <w:szCs w:val="32"/>
          <w:lang w:val="en-US" w:eastAsia="zh-CN" w:bidi="ar"/>
        </w:rPr>
        <w:t>2024年，山亭区司法局坚持以习近平新时代中国特色社会主义思想为指导，深入学习贯彻党的二十大和二十届二中、三中全会精神，严格落实《中华人民共和国政府信息公开条例》，围绕主动公开、依申请公开、信息管理、政府信息公开平台建设、监督保障等方面不断深化政务公开，增强司法行政工作透明度和公开性，有效提高工作效率。</w:t>
      </w:r>
    </w:p>
    <w:p>
      <w:pPr>
        <w:jc w:val="center"/>
        <w:rPr>
          <w:rFonts w:hint="eastAsia"/>
          <w:lang w:val="en-US" w:eastAsia="zh-CN"/>
        </w:rPr>
      </w:pPr>
      <w:r>
        <w:rPr>
          <w:rFonts w:hint="eastAsia"/>
          <w:lang w:val="en-US" w:eastAsia="zh-CN"/>
        </w:rPr>
        <w:drawing>
          <wp:inline distT="0" distB="0" distL="114300" distR="114300">
            <wp:extent cx="2314575" cy="1904365"/>
            <wp:effectExtent l="0" t="0" r="9525" b="635"/>
            <wp:docPr id="2" name="图片 2" descr="司法局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司法局04"/>
                    <pic:cNvPicPr>
                      <a:picLocks noChangeAspect="1"/>
                    </pic:cNvPicPr>
                  </pic:nvPicPr>
                  <pic:blipFill>
                    <a:blip r:embed="rId5"/>
                    <a:stretch>
                      <a:fillRect/>
                    </a:stretch>
                  </pic:blipFill>
                  <pic:spPr>
                    <a:xfrm>
                      <a:off x="0" y="0"/>
                      <a:ext cx="2314575" cy="1904365"/>
                    </a:xfrm>
                    <a:prstGeom prst="rect">
                      <a:avLst/>
                    </a:prstGeom>
                  </pic:spPr>
                </pic:pic>
              </a:graphicData>
            </a:graphic>
          </wp:inline>
        </w:drawing>
      </w:r>
      <w:r>
        <w:rPr>
          <w:rFonts w:hint="eastAsia"/>
          <w:lang w:val="en-US" w:eastAsia="zh-CN"/>
        </w:rPr>
        <w:drawing>
          <wp:inline distT="0" distB="0" distL="114300" distR="114300">
            <wp:extent cx="2927985" cy="1888490"/>
            <wp:effectExtent l="0" t="0" r="5715" b="16510"/>
            <wp:docPr id="3" name="图片 3" descr="司法局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司法局01"/>
                    <pic:cNvPicPr>
                      <a:picLocks noChangeAspect="1"/>
                    </pic:cNvPicPr>
                  </pic:nvPicPr>
                  <pic:blipFill>
                    <a:blip r:embed="rId6"/>
                    <a:stretch>
                      <a:fillRect/>
                    </a:stretch>
                  </pic:blipFill>
                  <pic:spPr>
                    <a:xfrm>
                      <a:off x="0" y="0"/>
                      <a:ext cx="2927985" cy="18884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val="0"/>
          <w:bCs w:val="0"/>
          <w:i w:val="0"/>
          <w:caps w:val="0"/>
          <w:color w:val="000000"/>
          <w:spacing w:val="0"/>
          <w:kern w:val="0"/>
          <w:sz w:val="32"/>
          <w:szCs w:val="32"/>
          <w:lang w:val="en-US" w:eastAsia="zh-CN" w:bidi="ar"/>
        </w:rPr>
        <w:t>（一）主动公开方面。</w:t>
      </w:r>
      <w:r>
        <w:rPr>
          <w:rFonts w:hint="eastAsia" w:ascii="仿宋_GB2312" w:hAnsi="仿宋_GB2312" w:eastAsia="仿宋_GB2312" w:cs="仿宋_GB2312"/>
          <w:b w:val="0"/>
          <w:bCs w:val="0"/>
          <w:i w:val="0"/>
          <w:caps w:val="0"/>
          <w:color w:val="auto"/>
          <w:spacing w:val="0"/>
          <w:kern w:val="0"/>
          <w:sz w:val="32"/>
          <w:szCs w:val="32"/>
          <w:lang w:val="en-US" w:eastAsia="zh-CN" w:bidi="ar"/>
        </w:rPr>
        <w:t>坚持公开为常态、不公开为例外的原则，注重夯实基础突出重点，2024年以来，通过“山亭司法”微信公众号共发布信息367条。人大代表建议1件，主办1件，政协委员提案4件，主办2件，协办2件。多种渠道互动交流，通过网站、热线、微信公众号等渠道广泛收集群众意见建议，回应群众诉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val="0"/>
          <w:bCs w:val="0"/>
          <w:i w:val="0"/>
          <w:caps w:val="0"/>
          <w:color w:val="000000"/>
          <w:spacing w:val="0"/>
          <w:kern w:val="0"/>
          <w:sz w:val="32"/>
          <w:szCs w:val="32"/>
          <w:lang w:val="en-US" w:eastAsia="zh-CN" w:bidi="ar"/>
        </w:rPr>
        <w:t>（二）依申请公开方面。</w:t>
      </w:r>
      <w:r>
        <w:rPr>
          <w:rFonts w:hint="eastAsia" w:ascii="仿宋_GB2312" w:hAnsi="仿宋_GB2312" w:eastAsia="仿宋_GB2312" w:cs="仿宋_GB2312"/>
          <w:b w:val="0"/>
          <w:bCs w:val="0"/>
          <w:i w:val="0"/>
          <w:caps w:val="0"/>
          <w:color w:val="auto"/>
          <w:spacing w:val="0"/>
          <w:kern w:val="0"/>
          <w:sz w:val="32"/>
          <w:szCs w:val="32"/>
          <w:lang w:val="en-US" w:eastAsia="zh-CN" w:bidi="ar"/>
        </w:rPr>
        <w:t>2024年度，我局没有收到信息公开申请。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val="0"/>
          <w:bCs w:val="0"/>
          <w:i w:val="0"/>
          <w:caps w:val="0"/>
          <w:color w:val="000000"/>
          <w:spacing w:val="0"/>
          <w:kern w:val="0"/>
          <w:sz w:val="32"/>
          <w:szCs w:val="32"/>
          <w:lang w:val="en-US" w:eastAsia="zh-CN" w:bidi="ar"/>
        </w:rPr>
        <w:t>（三）政府信息管理方面。</w:t>
      </w:r>
      <w:r>
        <w:rPr>
          <w:rFonts w:hint="eastAsia" w:ascii="仿宋_GB2312" w:hAnsi="仿宋_GB2312" w:eastAsia="仿宋_GB2312" w:cs="仿宋_GB2312"/>
          <w:b w:val="0"/>
          <w:bCs w:val="0"/>
          <w:i w:val="0"/>
          <w:caps w:val="0"/>
          <w:color w:val="auto"/>
          <w:spacing w:val="0"/>
          <w:kern w:val="0"/>
          <w:sz w:val="32"/>
          <w:szCs w:val="32"/>
          <w:lang w:val="en-US" w:eastAsia="zh-CN" w:bidi="ar"/>
        </w:rPr>
        <w:t>规范性文件管理方面，严格执行规范性文件的起草、审查、审议相关制度，严格落实登记和公布制度。实现区司法局集中统一公开，实现项目要素保障全生命周期便捷查询。实行清单管理，制定《山亭区司法局2024年政府信息主动公开基本目录》，将政府信息公开有关要求落实到日常具体工作中，按照保密审查制度要求，确保政府信息公开前进行保密审查，持续规范政府信息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val="0"/>
          <w:bCs w:val="0"/>
          <w:i w:val="0"/>
          <w:caps w:val="0"/>
          <w:color w:val="000000"/>
          <w:spacing w:val="0"/>
          <w:kern w:val="0"/>
          <w:sz w:val="32"/>
          <w:szCs w:val="32"/>
          <w:lang w:val="en-US" w:eastAsia="zh-CN" w:bidi="ar"/>
        </w:rPr>
        <w:t>（四）平台建设方面。</w:t>
      </w:r>
      <w:r>
        <w:rPr>
          <w:rFonts w:hint="eastAsia" w:ascii="仿宋_GB2312" w:hAnsi="仿宋_GB2312" w:eastAsia="仿宋_GB2312" w:cs="仿宋_GB2312"/>
          <w:b w:val="0"/>
          <w:bCs w:val="0"/>
          <w:i w:val="0"/>
          <w:caps w:val="0"/>
          <w:color w:val="auto"/>
          <w:spacing w:val="0"/>
          <w:kern w:val="0"/>
          <w:sz w:val="32"/>
          <w:szCs w:val="32"/>
          <w:lang w:val="en-US" w:eastAsia="zh-CN" w:bidi="ar"/>
        </w:rPr>
        <w:t>一是法定主动公开信息情况。及时公开机构、领导分工情况。根据《中华人民共和国政府信息公开条例》第二十条第（二）款，及时更新机构信息、领导分工等信息，并在区政府信息公开专栏及时公布。根据《中华人民共和国政府信息公开条例》第二十条第（七）款要求，坚持“公开是原则，不公开是例外”，确保应公开尽公开及时通过区政府网站信息公开专栏发布部门财政预算等重点领域信息，确保信息公开透明。二是重点领域主动公开情况。2024年度，公开部门规范性文件3件。三是公开“双随机、一公开”监管信息。在政府信息公开平台发布了随机抽查计划2个，并按计划认真进行了执行，对辖区内2家律师事务所、1家基层法律服务所开展律师、基层法律服务执业活动监督检查工作。四是公开行政执法公示信息。进一步明晰行政执法主体、职责、依据、监督途径等，在信息公开平台予以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val="0"/>
          <w:bCs w:val="0"/>
          <w:i w:val="0"/>
          <w:caps w:val="0"/>
          <w:color w:val="000000"/>
          <w:spacing w:val="0"/>
          <w:kern w:val="0"/>
          <w:sz w:val="32"/>
          <w:szCs w:val="32"/>
          <w:lang w:val="en-US" w:eastAsia="zh-CN" w:bidi="ar"/>
        </w:rPr>
        <w:t>（五）监督保障方面。</w:t>
      </w:r>
      <w:r>
        <w:rPr>
          <w:rFonts w:hint="eastAsia" w:ascii="仿宋_GB2312" w:hAnsi="仿宋_GB2312" w:eastAsia="仿宋_GB2312" w:cs="仿宋_GB2312"/>
          <w:b w:val="0"/>
          <w:bCs w:val="0"/>
          <w:i w:val="0"/>
          <w:caps w:val="0"/>
          <w:color w:val="auto"/>
          <w:spacing w:val="0"/>
          <w:kern w:val="0"/>
          <w:sz w:val="32"/>
          <w:szCs w:val="32"/>
          <w:lang w:val="en-US" w:eastAsia="zh-CN" w:bidi="ar"/>
        </w:rPr>
        <w:t>山亭区司法局高度重视政府信息公开工作，把这项工作列入重要议事日程，明确了专职人员负责政务公开工作，统筹组织协调全局政务信息公开工作，做到了组织领导到位，机构人员落实到位，工作措施到位，确保了各项政务公开工作的顺利开展。</w:t>
      </w: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textAlignment w:val="auto"/>
        <w:rPr>
          <w:rFonts w:hint="eastAsia" w:ascii="黑体" w:hAnsi="黑体" w:eastAsia="黑体" w:cs="黑体"/>
          <w:b w:val="0"/>
          <w:bCs w:val="0"/>
          <w:color w:val="auto"/>
          <w:sz w:val="44"/>
          <w:szCs w:val="44"/>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主动公开政府信息情况</w:t>
      </w:r>
    </w:p>
    <w:tbl>
      <w:tblPr>
        <w:tblStyle w:val="8"/>
        <w:tblW w:w="8824" w:type="dxa"/>
        <w:tblInd w:w="0" w:type="dxa"/>
        <w:tblLayout w:type="fixed"/>
        <w:tblCellMar>
          <w:top w:w="0" w:type="dxa"/>
          <w:left w:w="108" w:type="dxa"/>
          <w:bottom w:w="0" w:type="dxa"/>
          <w:right w:w="108" w:type="dxa"/>
        </w:tblCellMar>
      </w:tblPr>
      <w:tblGrid>
        <w:gridCol w:w="2206"/>
        <w:gridCol w:w="2206"/>
        <w:gridCol w:w="2206"/>
        <w:gridCol w:w="2206"/>
      </w:tblGrid>
      <w:tr>
        <w:tblPrEx>
          <w:tblLayout w:type="fixed"/>
          <w:tblCellMar>
            <w:top w:w="0" w:type="dxa"/>
            <w:left w:w="108" w:type="dxa"/>
            <w:bottom w:w="0" w:type="dxa"/>
            <w:right w:w="108" w:type="dxa"/>
          </w:tblCellMar>
        </w:tblPrEx>
        <w:trPr>
          <w:trHeight w:val="624"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第二十条第（一）项</w:t>
            </w:r>
          </w:p>
        </w:tc>
      </w:tr>
      <w:tr>
        <w:tblPrEx>
          <w:tblLayout w:type="fixed"/>
          <w:tblCellMar>
            <w:top w:w="0" w:type="dxa"/>
            <w:left w:w="108" w:type="dxa"/>
            <w:bottom w:w="0" w:type="dxa"/>
            <w:right w:w="108" w:type="dxa"/>
          </w:tblCellMar>
        </w:tblPrEx>
        <w:trPr>
          <w:trHeight w:val="624"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本年制发件数</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本年废止件数</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现行有效件数</w:t>
            </w:r>
          </w:p>
        </w:tc>
      </w:tr>
      <w:tr>
        <w:tblPrEx>
          <w:tblLayout w:type="fixed"/>
          <w:tblCellMar>
            <w:top w:w="0" w:type="dxa"/>
            <w:left w:w="108" w:type="dxa"/>
            <w:bottom w:w="0" w:type="dxa"/>
            <w:right w:w="108" w:type="dxa"/>
          </w:tblCellMar>
        </w:tblPrEx>
        <w:trPr>
          <w:trHeight w:val="624"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规章</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auto"/>
                <w:kern w:val="0"/>
                <w:szCs w:val="21"/>
                <w:lang w:val="en-US" w:eastAsia="zh-CN"/>
              </w:rPr>
            </w:pPr>
            <w:r>
              <w:rPr>
                <w:rFonts w:hint="eastAsia" w:ascii="仿宋_GB2312" w:eastAsia="仿宋_GB2312" w:cs="Calibri"/>
                <w:color w:val="auto"/>
                <w:kern w:val="0"/>
                <w:szCs w:val="21"/>
                <w:lang w:val="en-US" w:eastAsia="zh-CN"/>
              </w:rPr>
              <w:t>0</w:t>
            </w:r>
          </w:p>
        </w:tc>
      </w:tr>
      <w:tr>
        <w:tblPrEx>
          <w:tblLayout w:type="fixed"/>
          <w:tblCellMar>
            <w:top w:w="0" w:type="dxa"/>
            <w:left w:w="108" w:type="dxa"/>
            <w:bottom w:w="0" w:type="dxa"/>
            <w:right w:w="108" w:type="dxa"/>
          </w:tblCellMar>
        </w:tblPrEx>
        <w:trPr>
          <w:trHeight w:val="624"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3</w:t>
            </w:r>
          </w:p>
        </w:tc>
        <w:tc>
          <w:tcPr>
            <w:tcW w:w="2206" w:type="dxa"/>
            <w:tcBorders>
              <w:top w:val="nil"/>
              <w:left w:val="nil"/>
              <w:bottom w:val="single" w:color="auto" w:sz="8" w:space="0"/>
              <w:right w:val="single" w:color="auto" w:sz="8" w:space="0"/>
            </w:tcBorders>
            <w:noWrap w:val="0"/>
            <w:vAlign w:val="center"/>
          </w:tcPr>
          <w:p>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w:t>
            </w:r>
          </w:p>
        </w:tc>
        <w:tc>
          <w:tcPr>
            <w:tcW w:w="2206" w:type="dxa"/>
            <w:tcBorders>
              <w:top w:val="nil"/>
              <w:left w:val="nil"/>
              <w:bottom w:val="single" w:color="auto" w:sz="8" w:space="0"/>
              <w:right w:val="single" w:color="auto" w:sz="8" w:space="0"/>
            </w:tcBorders>
            <w:noWrap w:val="0"/>
            <w:vAlign w:val="center"/>
          </w:tcPr>
          <w:p>
            <w:pPr>
              <w:widowControl/>
              <w:jc w:val="center"/>
              <w:rPr>
                <w:rFonts w:hint="default" w:ascii="仿宋_GB2312" w:hAnsi="Calibri" w:eastAsia="仿宋_GB2312" w:cs="Calibri"/>
                <w:color w:val="auto"/>
                <w:kern w:val="0"/>
                <w:szCs w:val="21"/>
                <w:lang w:val="en-US" w:eastAsia="zh-CN"/>
              </w:rPr>
            </w:pPr>
            <w:r>
              <w:rPr>
                <w:rFonts w:hint="eastAsia" w:ascii="仿宋_GB2312" w:eastAsia="仿宋_GB2312" w:cs="Calibri"/>
                <w:color w:val="auto"/>
                <w:kern w:val="0"/>
                <w:szCs w:val="21"/>
                <w:lang w:val="en-US" w:eastAsia="zh-CN"/>
              </w:rPr>
              <w:t>7</w:t>
            </w:r>
            <w:bookmarkStart w:id="10" w:name="_GoBack"/>
            <w:bookmarkEnd w:id="10"/>
          </w:p>
        </w:tc>
      </w:tr>
      <w:tr>
        <w:tblPrEx>
          <w:tblLayout w:type="fixed"/>
          <w:tblCellMar>
            <w:top w:w="0" w:type="dxa"/>
            <w:left w:w="108" w:type="dxa"/>
            <w:bottom w:w="0" w:type="dxa"/>
            <w:right w:w="108" w:type="dxa"/>
          </w:tblCellMar>
        </w:tblPrEx>
        <w:trPr>
          <w:trHeight w:val="624"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tblPrEx>
          <w:tblLayout w:type="fixed"/>
          <w:tblCellMar>
            <w:top w:w="0" w:type="dxa"/>
            <w:left w:w="108" w:type="dxa"/>
            <w:bottom w:w="0" w:type="dxa"/>
            <w:right w:w="108" w:type="dxa"/>
          </w:tblCellMar>
        </w:tblPrEx>
        <w:trPr>
          <w:trHeight w:val="624"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tblPrEx>
          <w:tblLayout w:type="fixed"/>
          <w:tblCellMar>
            <w:top w:w="0" w:type="dxa"/>
            <w:left w:w="108" w:type="dxa"/>
            <w:bottom w:w="0" w:type="dxa"/>
            <w:right w:w="108" w:type="dxa"/>
          </w:tblCellMar>
        </w:tblPrEx>
        <w:trPr>
          <w:trHeight w:val="624"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widowControl/>
              <w:suppressLineNumbers w:val="0"/>
              <w:jc w:val="center"/>
              <w:rPr>
                <w:rFonts w:ascii="仿宋_GB2312" w:hAnsi="Calibri" w:eastAsia="仿宋_GB2312" w:cs="Calibri"/>
                <w:color w:val="auto"/>
                <w:kern w:val="0"/>
                <w:szCs w:val="21"/>
              </w:rPr>
            </w:pPr>
            <w:r>
              <w:rPr>
                <w:rFonts w:hint="eastAsia" w:ascii="仿宋_GB2312" w:hAnsi="宋体" w:eastAsia="仿宋_GB2312" w:cs="仿宋_GB2312"/>
                <w:color w:val="auto"/>
                <w:kern w:val="0"/>
                <w:sz w:val="20"/>
                <w:szCs w:val="20"/>
                <w:lang w:val="en-US" w:eastAsia="zh-CN" w:bidi="ar"/>
              </w:rPr>
              <w:t>0</w:t>
            </w:r>
          </w:p>
        </w:tc>
      </w:tr>
      <w:tr>
        <w:tblPrEx>
          <w:tblLayout w:type="fixed"/>
          <w:tblCellMar>
            <w:top w:w="0" w:type="dxa"/>
            <w:left w:w="108" w:type="dxa"/>
            <w:bottom w:w="0" w:type="dxa"/>
            <w:right w:w="108" w:type="dxa"/>
          </w:tblCellMar>
        </w:tblPrEx>
        <w:trPr>
          <w:trHeight w:val="624"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tblPrEx>
          <w:tblLayout w:type="fixed"/>
          <w:tblCellMar>
            <w:top w:w="0" w:type="dxa"/>
            <w:left w:w="108" w:type="dxa"/>
            <w:bottom w:w="0" w:type="dxa"/>
            <w:right w:w="108" w:type="dxa"/>
          </w:tblCellMar>
        </w:tblPrEx>
        <w:trPr>
          <w:trHeight w:val="624"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tblPrEx>
          <w:tblLayout w:type="fixed"/>
          <w:tblCellMar>
            <w:top w:w="0" w:type="dxa"/>
            <w:left w:w="108" w:type="dxa"/>
            <w:bottom w:w="0" w:type="dxa"/>
            <w:right w:w="108" w:type="dxa"/>
          </w:tblCellMar>
        </w:tblPrEx>
        <w:trPr>
          <w:trHeight w:val="624"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tblPrEx>
          <w:tblLayout w:type="fixed"/>
          <w:tblCellMar>
            <w:top w:w="0" w:type="dxa"/>
            <w:left w:w="108" w:type="dxa"/>
            <w:bottom w:w="0" w:type="dxa"/>
            <w:right w:w="108" w:type="dxa"/>
          </w:tblCellMar>
        </w:tblPrEx>
        <w:trPr>
          <w:trHeight w:val="624"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tblPrEx>
          <w:tblLayout w:type="fixed"/>
          <w:tblCellMar>
            <w:top w:w="0" w:type="dxa"/>
            <w:left w:w="108" w:type="dxa"/>
            <w:bottom w:w="0" w:type="dxa"/>
            <w:right w:w="108" w:type="dxa"/>
          </w:tblCellMar>
        </w:tblPrEx>
        <w:trPr>
          <w:trHeight w:val="624"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tblPrEx>
          <w:tblLayout w:type="fixed"/>
          <w:tblCellMar>
            <w:top w:w="0" w:type="dxa"/>
            <w:left w:w="108" w:type="dxa"/>
            <w:bottom w:w="0" w:type="dxa"/>
            <w:right w:w="108" w:type="dxa"/>
          </w:tblCellMar>
        </w:tblPrEx>
        <w:trPr>
          <w:trHeight w:val="624"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tblPrEx>
          <w:tblLayout w:type="fixed"/>
          <w:tblCellMar>
            <w:top w:w="0" w:type="dxa"/>
            <w:left w:w="108" w:type="dxa"/>
            <w:bottom w:w="0" w:type="dxa"/>
            <w:right w:w="108" w:type="dxa"/>
          </w:tblCellMar>
        </w:tblPrEx>
        <w:trPr>
          <w:trHeight w:val="624"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auto"/>
                <w:kern w:val="0"/>
                <w:szCs w:val="21"/>
                <w:lang w:val="en-US" w:eastAsia="zh-CN"/>
              </w:rPr>
            </w:pPr>
            <w:r>
              <w:rPr>
                <w:rFonts w:hint="eastAsia" w:ascii="仿宋_GB2312" w:eastAsia="仿宋_GB2312" w:cs="Calibri"/>
                <w:color w:val="auto"/>
                <w:kern w:val="0"/>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after="313" w:afterLines="100"/>
        <w:ind w:firstLine="640" w:firstLineChars="200"/>
        <w:jc w:val="left"/>
        <w:textAlignment w:val="auto"/>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ind w:firstLine="640" w:firstLineChars="200"/>
        <w:jc w:val="left"/>
        <w:textAlignment w:val="auto"/>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ind w:firstLine="640" w:firstLineChars="200"/>
        <w:jc w:val="left"/>
        <w:textAlignment w:val="auto"/>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ind w:firstLine="640" w:firstLineChars="200"/>
        <w:jc w:val="left"/>
        <w:textAlignment w:val="auto"/>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ind w:firstLine="640" w:firstLineChars="200"/>
        <w:jc w:val="left"/>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lang w:eastAsia="zh-CN"/>
        </w:rPr>
        <w:t>收到和处理政府信息公开申请情况</w:t>
      </w:r>
    </w:p>
    <w:tbl>
      <w:tblPr>
        <w:tblStyle w:val="8"/>
        <w:tblW w:w="991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ascii="楷体_GB2312" w:hAnsi="黑体" w:eastAsia="楷体_GB2312"/>
                <w:color w:val="auto"/>
                <w:kern w:val="0"/>
                <w:szCs w:val="21"/>
              </w:rPr>
            </w:pPr>
            <w:r>
              <w:rPr>
                <w:rFonts w:hint="eastAsia" w:ascii="楷体_GB2312" w:hAnsi="黑体" w:eastAsia="楷体_GB2312"/>
                <w:color w:val="auto"/>
                <w:kern w:val="0"/>
                <w:szCs w:val="21"/>
              </w:rPr>
              <w:t>（本列数据的勾稽关系为：第一项加第二项之和，</w:t>
            </w:r>
          </w:p>
          <w:p>
            <w:pPr>
              <w:widowControl/>
              <w:jc w:val="center"/>
              <w:rPr>
                <w:rFonts w:ascii="仿宋_GB2312" w:hAnsi="Times New Roman" w:eastAsia="仿宋_GB2312"/>
                <w:color w:val="auto"/>
                <w:szCs w:val="21"/>
              </w:rPr>
            </w:pPr>
            <w:r>
              <w:rPr>
                <w:rFonts w:hint="eastAsia" w:ascii="楷体_GB2312" w:hAnsi="黑体" w:eastAsia="楷体_GB2312"/>
                <w:color w:val="auto"/>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color w:val="auto"/>
                <w:szCs w:val="21"/>
              </w:rPr>
            </w:pPr>
          </w:p>
        </w:tc>
        <w:tc>
          <w:tcPr>
            <w:tcW w:w="829" w:type="dxa"/>
            <w:vMerge w:val="restart"/>
            <w:noWrap w:val="0"/>
            <w:tcMar>
              <w:left w:w="108" w:type="dxa"/>
              <w:right w:w="108" w:type="dxa"/>
            </w:tcMar>
            <w:vAlign w:val="center"/>
          </w:tcPr>
          <w:p>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851" w:type="dxa"/>
            <w:vMerge w:val="restart"/>
            <w:noWrap w:val="0"/>
            <w:tcMar>
              <w:left w:w="108" w:type="dxa"/>
              <w:right w:w="108" w:type="dxa"/>
            </w:tcMar>
            <w:vAlign w:val="center"/>
          </w:tcPr>
          <w:p>
            <w:pPr>
              <w:widowControl/>
              <w:jc w:val="center"/>
              <w:rPr>
                <w:rFonts w:ascii="黑体" w:hAnsi="黑体" w:eastAsia="黑体"/>
                <w:color w:val="auto"/>
                <w:szCs w:val="21"/>
              </w:rPr>
            </w:pPr>
            <w:r>
              <w:rPr>
                <w:rFonts w:hint="eastAsia" w:ascii="黑体" w:hAnsi="黑体" w:eastAsia="黑体"/>
                <w:color w:val="auto"/>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color w:val="auto"/>
                <w:szCs w:val="21"/>
              </w:rPr>
            </w:pPr>
          </w:p>
        </w:tc>
        <w:tc>
          <w:tcPr>
            <w:tcW w:w="829" w:type="dxa"/>
            <w:vMerge w:val="continue"/>
            <w:noWrap w:val="0"/>
            <w:tcMar>
              <w:left w:w="108" w:type="dxa"/>
              <w:right w:w="108" w:type="dxa"/>
            </w:tcMar>
            <w:vAlign w:val="center"/>
          </w:tcPr>
          <w:p>
            <w:pPr>
              <w:jc w:val="center"/>
              <w:rPr>
                <w:rFonts w:ascii="黑体" w:hAnsi="黑体" w:eastAsia="黑体"/>
                <w:color w:val="auto"/>
                <w:szCs w:val="21"/>
              </w:rPr>
            </w:pPr>
          </w:p>
        </w:tc>
        <w:tc>
          <w:tcPr>
            <w:tcW w:w="567" w:type="dxa"/>
            <w:noWrap w:val="0"/>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商业企业</w:t>
            </w:r>
          </w:p>
        </w:tc>
        <w:tc>
          <w:tcPr>
            <w:tcW w:w="567"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31"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708" w:type="dxa"/>
            <w:noWrap w:val="0"/>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法律服务机构</w:t>
            </w:r>
          </w:p>
        </w:tc>
        <w:tc>
          <w:tcPr>
            <w:tcW w:w="567" w:type="dxa"/>
            <w:noWrap w:val="0"/>
            <w:tcMar>
              <w:left w:w="108" w:type="dxa"/>
              <w:right w:w="108" w:type="dxa"/>
            </w:tcMar>
            <w:vAlign w:val="center"/>
          </w:tcPr>
          <w:p>
            <w:pPr>
              <w:widowControl/>
              <w:spacing w:line="360" w:lineRule="exact"/>
              <w:ind w:left="-63" w:leftChars="-30" w:right="-134"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851" w:type="dxa"/>
            <w:vMerge w:val="continue"/>
            <w:noWrap w:val="0"/>
            <w:tcMar>
              <w:left w:w="108" w:type="dxa"/>
              <w:right w:w="108" w:type="dxa"/>
            </w:tcMar>
            <w:vAlign w:val="center"/>
          </w:tcPr>
          <w:p>
            <w:pPr>
              <w:jc w:val="center"/>
              <w:rPr>
                <w:rFonts w:ascii="仿宋_GB2312" w:hAnsi="Times New Roman" w:eastAsia="仿宋_GB2312"/>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677" w:type="dxa"/>
            <w:gridSpan w:val="2"/>
            <w:noWrap w:val="0"/>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（一）予以公开</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4677" w:type="dxa"/>
            <w:gridSpan w:val="2"/>
            <w:noWrap w:val="0"/>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（三）不予公开</w:t>
            </w: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170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2" w:name="_Hlk66974104"/>
            <w:r>
              <w:rPr>
                <w:rFonts w:hint="eastAsia" w:ascii="仿宋_GB2312" w:hAnsi="黑体" w:eastAsia="仿宋_GB2312"/>
                <w:color w:val="auto"/>
                <w:kern w:val="0"/>
                <w:szCs w:val="21"/>
              </w:rPr>
              <w:t>其他法律行政法规禁止公开</w:t>
            </w:r>
            <w:bookmarkEnd w:id="2"/>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170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170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3" w:name="_Hlk66974290"/>
            <w:r>
              <w:rPr>
                <w:rFonts w:hint="eastAsia" w:ascii="仿宋_GB2312" w:hAnsi="黑体" w:eastAsia="仿宋_GB2312"/>
                <w:color w:val="auto"/>
                <w:kern w:val="0"/>
                <w:szCs w:val="21"/>
              </w:rPr>
              <w:t>保护第三方合法权益</w:t>
            </w:r>
            <w:bookmarkEnd w:id="3"/>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170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170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4" w:name="_Hlk66974555"/>
            <w:r>
              <w:rPr>
                <w:rFonts w:hint="eastAsia" w:ascii="仿宋_GB2312" w:hAnsi="黑体" w:eastAsia="仿宋_GB2312"/>
                <w:color w:val="auto"/>
                <w:kern w:val="0"/>
                <w:szCs w:val="21"/>
              </w:rPr>
              <w:t>属于四类过程性信息</w:t>
            </w:r>
            <w:bookmarkEnd w:id="4"/>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170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170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5" w:name="_Hlk66975211"/>
            <w:r>
              <w:rPr>
                <w:rFonts w:hint="eastAsia" w:ascii="仿宋_GB2312" w:hAnsi="黑体" w:eastAsia="仿宋_GB2312"/>
                <w:color w:val="auto"/>
                <w:kern w:val="0"/>
                <w:szCs w:val="21"/>
              </w:rPr>
              <w:t>属于行政查询事项</w:t>
            </w:r>
            <w:bookmarkEnd w:id="5"/>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（四）无法提供</w:t>
            </w: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1701" w:type="dxa"/>
            <w:vMerge w:val="continue"/>
            <w:noWrap w:val="0"/>
            <w:tcMar>
              <w:left w:w="108" w:type="dxa"/>
              <w:right w:w="108" w:type="dxa"/>
            </w:tcMar>
            <w:vAlign w:val="center"/>
          </w:tcPr>
          <w:p>
            <w:pPr>
              <w:spacing w:line="200" w:lineRule="exact"/>
              <w:ind w:left="-107" w:leftChars="-51"/>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6" w:name="_Hlk66975392"/>
            <w:r>
              <w:rPr>
                <w:rFonts w:hint="eastAsia" w:ascii="仿宋_GB2312" w:hAnsi="黑体" w:eastAsia="仿宋_GB2312"/>
                <w:color w:val="auto"/>
                <w:kern w:val="0"/>
                <w:szCs w:val="21"/>
              </w:rPr>
              <w:t>没有现成信息需要另行制作</w:t>
            </w:r>
            <w:bookmarkEnd w:id="6"/>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1701" w:type="dxa"/>
            <w:vMerge w:val="continue"/>
            <w:noWrap w:val="0"/>
            <w:tcMar>
              <w:left w:w="108" w:type="dxa"/>
              <w:right w:w="108" w:type="dxa"/>
            </w:tcMar>
            <w:vAlign w:val="center"/>
          </w:tcPr>
          <w:p>
            <w:pPr>
              <w:spacing w:line="200" w:lineRule="exact"/>
              <w:ind w:left="-107" w:leftChars="-51"/>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7" w:name="_Hlk66975466"/>
            <w:r>
              <w:rPr>
                <w:rFonts w:hint="eastAsia" w:ascii="仿宋_GB2312" w:hAnsi="黑体" w:eastAsia="仿宋_GB2312"/>
                <w:color w:val="auto"/>
                <w:kern w:val="0"/>
                <w:szCs w:val="21"/>
              </w:rPr>
              <w:t>补正后申请内容仍不明确</w:t>
            </w:r>
            <w:bookmarkEnd w:id="7"/>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（五）不予处理</w:t>
            </w: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8" w:name="_Hlk66975537"/>
            <w:r>
              <w:rPr>
                <w:rFonts w:hint="eastAsia" w:ascii="仿宋_GB2312" w:hAnsi="黑体" w:eastAsia="仿宋_GB2312"/>
                <w:color w:val="auto"/>
                <w:kern w:val="0"/>
                <w:szCs w:val="21"/>
              </w:rPr>
              <w:t>信访举报投诉类申请</w:t>
            </w:r>
            <w:bookmarkEnd w:id="8"/>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170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170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170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170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300" w:lineRule="exact"/>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pPr>
              <w:widowControl/>
              <w:spacing w:line="300" w:lineRule="exact"/>
              <w:ind w:firstLine="210" w:firstLineChars="100"/>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1701" w:type="dxa"/>
            <w:vMerge w:val="restart"/>
            <w:noWrap w:val="0"/>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noWrap w:val="0"/>
            <w:vAlign w:val="center"/>
          </w:tcPr>
          <w:p>
            <w:pPr>
              <w:widowControl/>
              <w:spacing w:line="300" w:lineRule="exact"/>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color w:val="auto"/>
                <w:kern w:val="0"/>
                <w:szCs w:val="21"/>
              </w:rPr>
            </w:pPr>
          </w:p>
        </w:tc>
        <w:tc>
          <w:tcPr>
            <w:tcW w:w="2976" w:type="dxa"/>
            <w:noWrap w:val="0"/>
            <w:vAlign w:val="center"/>
          </w:tcPr>
          <w:p>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color w:val="auto"/>
                <w:kern w:val="0"/>
                <w:szCs w:val="21"/>
              </w:rPr>
            </w:pPr>
          </w:p>
        </w:tc>
        <w:tc>
          <w:tcPr>
            <w:tcW w:w="2976" w:type="dxa"/>
            <w:noWrap w:val="0"/>
            <w:vAlign w:val="center"/>
          </w:tcPr>
          <w:p>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3.其他</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color w:val="auto"/>
                <w:szCs w:val="21"/>
              </w:rPr>
            </w:pPr>
          </w:p>
        </w:tc>
        <w:tc>
          <w:tcPr>
            <w:tcW w:w="4677" w:type="dxa"/>
            <w:gridSpan w:val="2"/>
            <w:noWrap w:val="0"/>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（七）总计</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jc w:val="left"/>
        <w:textAlignment w:val="auto"/>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jc w:val="left"/>
        <w:textAlignment w:val="auto"/>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jc w:val="left"/>
        <w:textAlignment w:val="auto"/>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jc w:val="left"/>
        <w:textAlignment w:val="auto"/>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jc w:val="left"/>
        <w:textAlignment w:val="auto"/>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jc w:val="left"/>
        <w:textAlignment w:val="auto"/>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jc w:val="left"/>
        <w:textAlignment w:val="auto"/>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jc w:val="left"/>
        <w:textAlignment w:val="auto"/>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jc w:val="left"/>
        <w:textAlignment w:val="auto"/>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jc w:val="left"/>
        <w:textAlignment w:val="auto"/>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jc w:val="left"/>
        <w:textAlignment w:val="auto"/>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jc w:val="left"/>
        <w:textAlignment w:val="auto"/>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jc w:val="left"/>
        <w:textAlignment w:val="auto"/>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jc w:val="left"/>
        <w:textAlignment w:val="auto"/>
        <w:rPr>
          <w:rFonts w:ascii="仿宋_GB2312" w:eastAsia="仿宋_GB2312"/>
          <w:color w:val="auto"/>
          <w:sz w:val="32"/>
          <w:szCs w:val="32"/>
        </w:rPr>
      </w:pPr>
      <w:r>
        <w:rPr>
          <w:rFonts w:hint="eastAsia" w:ascii="黑体" w:hAnsi="黑体" w:eastAsia="黑体"/>
          <w:color w:val="auto"/>
          <w:sz w:val="32"/>
          <w:szCs w:val="32"/>
          <w:lang w:val="en-US" w:eastAsia="zh-CN"/>
        </w:rPr>
        <w:t>四、</w:t>
      </w:r>
      <w:r>
        <w:rPr>
          <w:rFonts w:hint="eastAsia" w:ascii="黑体" w:hAnsi="黑体" w:eastAsia="黑体"/>
          <w:color w:val="auto"/>
          <w:sz w:val="32"/>
          <w:szCs w:val="32"/>
          <w:lang w:eastAsia="zh-CN"/>
        </w:rPr>
        <w:t>因政府信息公开工作被申请行政复议、提起行政诉讼情况统计表</w:t>
      </w:r>
    </w:p>
    <w:tbl>
      <w:tblPr>
        <w:tblStyle w:val="8"/>
        <w:tblW w:w="907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149" w:leftChars="-71" w:right="-170" w:rightChars="-81"/>
              <w:jc w:val="center"/>
              <w:rPr>
                <w:rFonts w:ascii="黑体" w:hAnsi="黑体" w:eastAsia="黑体"/>
                <w:color w:val="auto"/>
              </w:rPr>
            </w:pPr>
            <w:r>
              <w:rPr>
                <w:rFonts w:ascii="黑体" w:hAnsi="黑体" w:eastAsia="黑体"/>
                <w:color w:val="auto"/>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ascii="黑体" w:hAnsi="黑体" w:eastAsia="黑体"/>
                <w:color w:val="auto"/>
              </w:rPr>
            </w:pPr>
            <w:r>
              <w:rPr>
                <w:rFonts w:ascii="黑体" w:hAnsi="黑体" w:eastAsia="黑体"/>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ascii="黑体" w:hAnsi="黑体" w:eastAsia="黑体"/>
                <w:color w:val="auto"/>
              </w:rPr>
            </w:pPr>
            <w:r>
              <w:rPr>
                <w:rFonts w:ascii="黑体" w:hAnsi="黑体" w:eastAsia="黑体"/>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ascii="黑体" w:hAnsi="黑体" w:eastAsia="黑体"/>
                <w:color w:val="auto"/>
                <w:kern w:val="0"/>
                <w:sz w:val="20"/>
                <w:szCs w:val="20"/>
              </w:rPr>
            </w:pPr>
            <w:r>
              <w:rPr>
                <w:rFonts w:ascii="黑体" w:hAnsi="黑体" w:eastAsia="黑体"/>
                <w:color w:val="auto"/>
                <w:kern w:val="0"/>
                <w:sz w:val="20"/>
                <w:szCs w:val="20"/>
              </w:rPr>
              <w:t>尚未</w:t>
            </w:r>
          </w:p>
          <w:p>
            <w:pPr>
              <w:widowControl/>
              <w:ind w:left="-118" w:leftChars="-56" w:right="-118" w:rightChars="-56"/>
              <w:jc w:val="center"/>
              <w:rPr>
                <w:rFonts w:ascii="黑体" w:hAnsi="黑体" w:eastAsia="黑体"/>
                <w:color w:val="auto"/>
              </w:rPr>
            </w:pPr>
            <w:r>
              <w:rPr>
                <w:rFonts w:ascii="黑体" w:hAnsi="黑体" w:eastAsia="黑体"/>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color w:val="auto"/>
                <w:kern w:val="0"/>
                <w:sz w:val="20"/>
                <w:szCs w:val="20"/>
              </w:rPr>
            </w:pPr>
            <w:r>
              <w:rPr>
                <w:rFonts w:ascii="黑体" w:hAnsi="黑体" w:eastAsia="黑体"/>
                <w:color w:val="auto"/>
                <w:kern w:val="0"/>
                <w:sz w:val="20"/>
                <w:szCs w:val="20"/>
              </w:rPr>
              <w:t>总</w:t>
            </w:r>
          </w:p>
          <w:p>
            <w:pPr>
              <w:widowControl/>
              <w:spacing w:line="320" w:lineRule="exact"/>
              <w:jc w:val="center"/>
              <w:rPr>
                <w:rFonts w:ascii="黑体" w:hAnsi="黑体" w:eastAsia="黑体"/>
                <w:color w:val="auto"/>
              </w:rPr>
            </w:pPr>
            <w:r>
              <w:rPr>
                <w:rFonts w:ascii="黑体" w:hAnsi="黑体" w:eastAsia="黑体"/>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auto"/>
              </w:rPr>
            </w:pPr>
            <w:bookmarkStart w:id="9" w:name="_Hlk67039688"/>
            <w:r>
              <w:rPr>
                <w:rFonts w:ascii="黑体" w:hAnsi="黑体" w:eastAsia="黑体"/>
                <w:color w:val="auto"/>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color w:val="auto"/>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auto"/>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auto"/>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ascii="黑体" w:hAnsi="黑体" w:eastAsia="黑体"/>
                <w:color w:val="auto"/>
              </w:rPr>
            </w:pPr>
            <w:r>
              <w:rPr>
                <w:rFonts w:ascii="黑体" w:hAnsi="黑体" w:eastAsia="黑体"/>
                <w:color w:val="auto"/>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ascii="黑体" w:hAnsi="黑体" w:eastAsia="黑体"/>
                <w:color w:val="auto"/>
                <w:kern w:val="0"/>
                <w:sz w:val="20"/>
                <w:szCs w:val="20"/>
              </w:rPr>
            </w:pPr>
            <w:r>
              <w:rPr>
                <w:rFonts w:ascii="黑体" w:hAnsi="黑体" w:eastAsia="黑体"/>
                <w:color w:val="auto"/>
                <w:kern w:val="0"/>
                <w:sz w:val="20"/>
                <w:szCs w:val="20"/>
              </w:rPr>
              <w:t>其他</w:t>
            </w:r>
          </w:p>
          <w:p>
            <w:pPr>
              <w:widowControl/>
              <w:ind w:left="-126" w:leftChars="-60" w:right="-136" w:rightChars="-65"/>
              <w:jc w:val="center"/>
              <w:rPr>
                <w:rFonts w:ascii="黑体" w:hAnsi="黑体" w:eastAsia="黑体"/>
                <w:color w:val="auto"/>
              </w:rPr>
            </w:pPr>
            <w:r>
              <w:rPr>
                <w:rFonts w:ascii="黑体" w:hAnsi="黑体" w:eastAsia="黑体"/>
                <w:color w:val="auto"/>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ascii="黑体" w:hAnsi="黑体" w:eastAsia="黑体"/>
                <w:color w:val="auto"/>
                <w:kern w:val="0"/>
                <w:sz w:val="20"/>
                <w:szCs w:val="20"/>
              </w:rPr>
            </w:pPr>
            <w:r>
              <w:rPr>
                <w:rFonts w:ascii="黑体" w:hAnsi="黑体" w:eastAsia="黑体"/>
                <w:color w:val="auto"/>
                <w:kern w:val="0"/>
                <w:sz w:val="20"/>
                <w:szCs w:val="20"/>
              </w:rPr>
              <w:t>尚未</w:t>
            </w:r>
          </w:p>
          <w:p>
            <w:pPr>
              <w:widowControl/>
              <w:ind w:left="-164" w:leftChars="-78" w:right="-153" w:rightChars="-73"/>
              <w:jc w:val="center"/>
              <w:rPr>
                <w:rFonts w:ascii="黑体" w:hAnsi="黑体" w:eastAsia="黑体"/>
                <w:color w:val="auto"/>
              </w:rPr>
            </w:pPr>
            <w:r>
              <w:rPr>
                <w:rFonts w:ascii="黑体" w:hAnsi="黑体" w:eastAsia="黑体"/>
                <w:color w:val="auto"/>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136" w:leftChars="-65" w:right="-124" w:rightChars="-59"/>
              <w:jc w:val="center"/>
              <w:rPr>
                <w:rFonts w:ascii="黑体" w:hAnsi="黑体" w:eastAsia="黑体"/>
                <w:color w:val="auto"/>
              </w:rPr>
            </w:pPr>
            <w:r>
              <w:rPr>
                <w:rFonts w:ascii="黑体" w:hAnsi="黑体" w:eastAsia="黑体"/>
                <w:color w:val="auto"/>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ascii="黑体" w:hAnsi="黑体" w:eastAsia="黑体"/>
                <w:color w:val="auto"/>
                <w:kern w:val="0"/>
                <w:sz w:val="20"/>
                <w:szCs w:val="20"/>
              </w:rPr>
            </w:pPr>
            <w:r>
              <w:rPr>
                <w:rFonts w:ascii="黑体" w:hAnsi="黑体" w:eastAsia="黑体"/>
                <w:color w:val="auto"/>
                <w:kern w:val="0"/>
                <w:sz w:val="20"/>
                <w:szCs w:val="20"/>
              </w:rPr>
              <w:t>其他</w:t>
            </w:r>
          </w:p>
          <w:p>
            <w:pPr>
              <w:widowControl/>
              <w:ind w:left="-173" w:leftChars="-83" w:right="-134" w:rightChars="-64" w:hanging="1"/>
              <w:jc w:val="center"/>
              <w:rPr>
                <w:rFonts w:ascii="黑体" w:hAnsi="黑体" w:eastAsia="黑体"/>
                <w:color w:val="auto"/>
              </w:rPr>
            </w:pPr>
            <w:r>
              <w:rPr>
                <w:rFonts w:ascii="黑体" w:hAnsi="黑体" w:eastAsia="黑体"/>
                <w:color w:val="auto"/>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ascii="黑体" w:hAnsi="黑体" w:eastAsia="黑体"/>
                <w:color w:val="auto"/>
              </w:rPr>
            </w:pPr>
            <w:r>
              <w:rPr>
                <w:rFonts w:ascii="黑体" w:hAnsi="黑体" w:eastAsia="黑体"/>
                <w:color w:val="auto"/>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r>
    </w:tbl>
    <w:p>
      <w:pPr>
        <w:keepNext w:val="0"/>
        <w:keepLines w:val="0"/>
        <w:pageBreakBefore w:val="0"/>
        <w:numPr>
          <w:ilvl w:val="0"/>
          <w:numId w:val="1"/>
        </w:numPr>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存在的主要问题及改进情况</w:t>
      </w:r>
    </w:p>
    <w:p>
      <w:pPr>
        <w:keepNext w:val="0"/>
        <w:keepLines w:val="0"/>
        <w:widowControl/>
        <w:suppressLineNumbers w:val="0"/>
        <w:ind w:left="0" w:leftChars="0" w:firstLine="640" w:firstLineChars="200"/>
        <w:jc w:val="left"/>
        <w:rPr>
          <w:rFonts w:hint="default" w:ascii="楷体_GB2312" w:hAnsi="楷体_GB2312" w:eastAsia="楷体_GB2312" w:cs="楷体_GB2312"/>
          <w:b w:val="0"/>
          <w:bCs w:val="0"/>
          <w:i w:val="0"/>
          <w:caps w:val="0"/>
          <w:color w:val="000000"/>
          <w:spacing w:val="0"/>
          <w:kern w:val="0"/>
          <w:sz w:val="32"/>
          <w:szCs w:val="32"/>
          <w:lang w:val="en-US" w:eastAsia="zh-CN" w:bidi="ar"/>
        </w:rPr>
      </w:pPr>
      <w:r>
        <w:rPr>
          <w:rFonts w:hint="eastAsia" w:ascii="楷体_GB2312" w:hAnsi="楷体_GB2312" w:eastAsia="楷体_GB2312" w:cs="楷体_GB2312"/>
          <w:b w:val="0"/>
          <w:bCs w:val="0"/>
          <w:i w:val="0"/>
          <w:caps w:val="0"/>
          <w:color w:val="000000"/>
          <w:spacing w:val="0"/>
          <w:kern w:val="0"/>
          <w:sz w:val="32"/>
          <w:szCs w:val="32"/>
          <w:lang w:val="en-US" w:eastAsia="zh-CN" w:bidi="ar"/>
        </w:rPr>
        <w:t>（一）2023年度存在问题改进情况。</w:t>
      </w:r>
    </w:p>
    <w:p>
      <w:pPr>
        <w:keepNext w:val="0"/>
        <w:keepLines w:val="0"/>
        <w:widowControl/>
        <w:suppressLineNumbers w:val="0"/>
        <w:ind w:left="0" w:leftChars="0" w:firstLine="640" w:firstLineChars="200"/>
        <w:jc w:val="left"/>
        <w:rPr>
          <w:rFonts w:hint="eastAsia" w:ascii="仿宋_GB2312" w:hAnsi="Helvetica" w:eastAsia="仿宋_GB2312" w:cs="Helvetica"/>
          <w:sz w:val="32"/>
          <w:szCs w:val="32"/>
        </w:rPr>
      </w:pPr>
      <w:r>
        <w:rPr>
          <w:rFonts w:hint="eastAsia" w:ascii="仿宋_GB2312" w:hAnsi="Helvetica" w:eastAsia="仿宋_GB2312" w:cs="Helvetica"/>
          <w:sz w:val="32"/>
          <w:szCs w:val="32"/>
          <w:lang w:val="en-US" w:eastAsia="zh-CN"/>
        </w:rPr>
        <w:t>一是</w:t>
      </w:r>
      <w:r>
        <w:rPr>
          <w:rFonts w:hint="eastAsia" w:ascii="仿宋_GB2312" w:hAnsi="Helvetica" w:eastAsia="仿宋_GB2312" w:cs="Helvetica"/>
          <w:sz w:val="32"/>
          <w:szCs w:val="32"/>
        </w:rPr>
        <w:t>信息公开更新时效性有所提升。需要公开的信息，按时在区政府官网及时更新，增强了政府信息公开的全面性、及时性和规范性。</w:t>
      </w:r>
      <w:r>
        <w:rPr>
          <w:rFonts w:hint="eastAsia" w:ascii="仿宋_GB2312" w:hAnsi="Helvetica" w:eastAsia="仿宋_GB2312" w:cs="Helvetica"/>
          <w:sz w:val="32"/>
          <w:szCs w:val="32"/>
          <w:lang w:val="en-US" w:eastAsia="zh-CN"/>
        </w:rPr>
        <w:t>二是</w:t>
      </w:r>
      <w:r>
        <w:rPr>
          <w:rFonts w:hint="eastAsia" w:ascii="仿宋_GB2312" w:hAnsi="Helvetica" w:eastAsia="仿宋_GB2312" w:cs="Helvetica"/>
          <w:sz w:val="32"/>
          <w:szCs w:val="32"/>
        </w:rPr>
        <w:t>公开形式更加丰富。对于政策解读，采用文字解读、专家解读、音频解读和动漫视频解读等多种方式结合的方式。</w:t>
      </w:r>
    </w:p>
    <w:p>
      <w:pPr>
        <w:keepNext w:val="0"/>
        <w:keepLines w:val="0"/>
        <w:widowControl/>
        <w:suppressLineNumbers w:val="0"/>
        <w:ind w:left="0" w:leftChars="0" w:firstLine="640" w:firstLineChars="200"/>
        <w:jc w:val="left"/>
        <w:rPr>
          <w:rFonts w:hint="default" w:ascii="仿宋_GB2312" w:hAnsi="Helvetica" w:eastAsia="仿宋_GB2312" w:cs="Helvetica"/>
          <w:sz w:val="32"/>
          <w:szCs w:val="32"/>
          <w:lang w:val="en-US" w:eastAsia="zh-CN"/>
        </w:rPr>
      </w:pPr>
      <w:r>
        <w:rPr>
          <w:rFonts w:hint="eastAsia" w:ascii="楷体_GB2312" w:hAnsi="楷体_GB2312" w:eastAsia="楷体_GB2312" w:cs="楷体_GB2312"/>
          <w:b w:val="0"/>
          <w:bCs w:val="0"/>
          <w:i w:val="0"/>
          <w:caps w:val="0"/>
          <w:color w:val="000000"/>
          <w:spacing w:val="0"/>
          <w:kern w:val="0"/>
          <w:sz w:val="32"/>
          <w:szCs w:val="32"/>
          <w:lang w:val="en-US" w:eastAsia="zh-CN" w:bidi="ar"/>
        </w:rPr>
        <w:t>（二）2024年度存在的主要问题及下步改进措施。</w:t>
      </w:r>
    </w:p>
    <w:p>
      <w:pPr>
        <w:keepNext w:val="0"/>
        <w:keepLines w:val="0"/>
        <w:widowControl/>
        <w:suppressLineNumbers w:val="0"/>
        <w:ind w:left="0" w:leftChars="0" w:firstLine="640" w:firstLineChars="200"/>
        <w:jc w:val="left"/>
        <w:rPr>
          <w:rFonts w:hint="eastAsia" w:ascii="仿宋_GB2312" w:hAnsi="Helvetica" w:eastAsia="仿宋_GB2312" w:cs="Helvetica"/>
          <w:sz w:val="32"/>
          <w:szCs w:val="32"/>
          <w:lang w:val="en-US" w:eastAsia="zh-CN"/>
        </w:rPr>
      </w:pPr>
      <w:r>
        <w:rPr>
          <w:rFonts w:hint="eastAsia" w:ascii="仿宋_GB2312" w:hAnsi="Helvetica" w:eastAsia="仿宋_GB2312" w:cs="Helvetica"/>
          <w:sz w:val="32"/>
          <w:szCs w:val="32"/>
          <w:lang w:val="en-US" w:eastAsia="zh-CN"/>
        </w:rPr>
        <w:t>2024年政府信息公开工作取得了一定的成效，但仍存在一些问题，主要表现在：一是政策解读质量有待提升，有针对性的释疑解惑需要加强；二是政务新媒体传播效果有待加强，原创内容、政务服务需要提升；三是政务公开标准化规范化工作有待深化细化。</w:t>
      </w:r>
    </w:p>
    <w:p>
      <w:pPr>
        <w:keepNext w:val="0"/>
        <w:keepLines w:val="0"/>
        <w:widowControl/>
        <w:suppressLineNumbers w:val="0"/>
        <w:ind w:left="0" w:leftChars="0" w:firstLine="640" w:firstLineChars="200"/>
        <w:jc w:val="left"/>
        <w:rPr>
          <w:rFonts w:hint="eastAsia" w:ascii="仿宋_GB2312" w:hAnsi="Helvetica" w:eastAsia="仿宋_GB2312" w:cs="Helvetica"/>
          <w:sz w:val="32"/>
          <w:szCs w:val="32"/>
          <w:lang w:val="en-US" w:eastAsia="zh-CN"/>
        </w:rPr>
      </w:pPr>
      <w:r>
        <w:rPr>
          <w:rFonts w:hint="eastAsia" w:ascii="仿宋_GB2312" w:hAnsi="Helvetica" w:eastAsia="仿宋_GB2312" w:cs="Helvetica"/>
          <w:sz w:val="32"/>
          <w:szCs w:val="32"/>
          <w:lang w:val="en-US" w:eastAsia="zh-CN"/>
        </w:rPr>
        <w:t>下一步，山亭区司法局将按照上级决策部署，进一步全面推进政府信息公开工作，切实发挥政务公开在建设法治政府和服务型政府方面的积极作用。一是全力做好政策解读工作。从抓解读覆盖面延伸至抓内容质量上来，推进政策的进一步传播、落地。完善信息收集机制，有针对性地对政策执行过程中产生的疑惑予以回应解答。二是丰富公开内容，创新公开形式。确保法定公开内容的及时性、准确性，拓宽主动公开范围，充分发挥微信公众号、今日头条号等政务新媒体优势，以群众喜闻乐见的形式广泛发布丰富多样的信息内容，统筹推进政务新媒体与政府网站的协同联动、融合发展。三是加大教育培训，提升业务水平。加强业务培训，科学制定培训计划，突出培训课程的针对性和指导性</w:t>
      </w:r>
      <w:r>
        <w:rPr>
          <w:rFonts w:hint="eastAsia" w:ascii="仿宋_GB2312" w:hAnsi="Helvetica" w:eastAsia="仿宋_GB2312" w:cs="Helvetica"/>
          <w:sz w:val="32"/>
          <w:szCs w:val="32"/>
        </w:rPr>
        <w:t>，提升政务公开业务规范化水平，促进政府信息公开工作深入开展。</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color w:val="auto"/>
          <w:highlight w:val="none"/>
        </w:rPr>
      </w:pPr>
      <w:r>
        <w:rPr>
          <w:rFonts w:hint="eastAsia" w:ascii="黑体" w:hAnsi="黑体" w:eastAsia="黑体"/>
          <w:color w:val="auto"/>
          <w:sz w:val="32"/>
          <w:szCs w:val="32"/>
          <w:highlight w:val="none"/>
          <w:lang w:val="en-US" w:eastAsia="zh-CN"/>
        </w:rPr>
        <w:t xml:space="preserve">六、其他需要报告的事项 </w:t>
      </w:r>
    </w:p>
    <w:p>
      <w:pPr>
        <w:keepNext w:val="0"/>
        <w:keepLines w:val="0"/>
        <w:widowControl/>
        <w:suppressLineNumbers w:val="0"/>
        <w:ind w:left="0" w:leftChars="0" w:firstLine="640" w:firstLineChars="200"/>
        <w:jc w:val="left"/>
        <w:rPr>
          <w:rFonts w:hint="eastAsia" w:ascii="仿宋_GB2312" w:hAnsi="Helvetica" w:eastAsia="仿宋_GB2312" w:cs="Helvetica"/>
          <w:sz w:val="32"/>
          <w:szCs w:val="32"/>
          <w:lang w:val="en-US" w:eastAsia="zh-CN"/>
        </w:rPr>
      </w:pPr>
      <w:r>
        <w:rPr>
          <w:rFonts w:hint="eastAsia" w:ascii="楷体_GB2312" w:hAnsi="楷体_GB2312" w:eastAsia="楷体_GB2312" w:cs="楷体_GB2312"/>
          <w:b w:val="0"/>
          <w:bCs w:val="0"/>
          <w:i w:val="0"/>
          <w:caps w:val="0"/>
          <w:color w:val="000000"/>
          <w:spacing w:val="0"/>
          <w:kern w:val="0"/>
          <w:sz w:val="32"/>
          <w:szCs w:val="32"/>
          <w:lang w:val="en-US" w:eastAsia="zh-CN" w:bidi="ar"/>
        </w:rPr>
        <w:t>（一）政府信息公开信息处理费情况。</w:t>
      </w:r>
      <w:r>
        <w:rPr>
          <w:rFonts w:hint="eastAsia" w:ascii="仿宋_GB2312" w:hAnsi="Helvetica" w:eastAsia="仿宋_GB2312" w:cs="Helvetica"/>
          <w:sz w:val="32"/>
          <w:szCs w:val="32"/>
          <w:lang w:val="en-US" w:eastAsia="zh-CN"/>
        </w:rPr>
        <w:t>2024年，区司法局未收取政府信息公开信息处理费。</w:t>
      </w:r>
    </w:p>
    <w:p>
      <w:pPr>
        <w:keepNext w:val="0"/>
        <w:keepLines w:val="0"/>
        <w:widowControl/>
        <w:suppressLineNumbers w:val="0"/>
        <w:ind w:left="0" w:leftChars="0" w:firstLine="640" w:firstLineChars="200"/>
        <w:jc w:val="left"/>
        <w:rPr>
          <w:rFonts w:hint="eastAsia" w:ascii="仿宋_GB2312" w:hAnsi="Helvetica" w:eastAsia="仿宋_GB2312" w:cs="Helvetica"/>
          <w:sz w:val="32"/>
          <w:szCs w:val="32"/>
          <w:lang w:val="en-US" w:eastAsia="zh-CN"/>
        </w:rPr>
      </w:pPr>
      <w:r>
        <w:rPr>
          <w:rFonts w:hint="eastAsia" w:ascii="楷体_GB2312" w:hAnsi="楷体_GB2312" w:eastAsia="楷体_GB2312" w:cs="楷体_GB2312"/>
          <w:b w:val="0"/>
          <w:bCs w:val="0"/>
          <w:i w:val="0"/>
          <w:caps w:val="0"/>
          <w:color w:val="000000"/>
          <w:spacing w:val="0"/>
          <w:kern w:val="0"/>
          <w:sz w:val="32"/>
          <w:szCs w:val="32"/>
          <w:lang w:val="en-US" w:eastAsia="zh-CN" w:bidi="ar"/>
        </w:rPr>
        <w:t>（二）落实上级年度政务公开工作要点情况。</w:t>
      </w:r>
      <w:r>
        <w:rPr>
          <w:rFonts w:hint="eastAsia" w:ascii="仿宋_GB2312" w:hAnsi="Helvetica" w:eastAsia="仿宋_GB2312" w:cs="Helvetica"/>
          <w:sz w:val="32"/>
          <w:szCs w:val="32"/>
          <w:lang w:val="en-US" w:eastAsia="zh-CN"/>
        </w:rPr>
        <w:t>认真贯彻落实上级政务公开工作要点，细化相关任务，明确责任分工，顺利完成各项工作安排。持续推动政务公开工作提质增效，不断提高信息发布工作的制度化、规范化、常态化。</w:t>
      </w:r>
    </w:p>
    <w:p>
      <w:pPr>
        <w:keepNext w:val="0"/>
        <w:keepLines w:val="0"/>
        <w:widowControl/>
        <w:suppressLineNumbers w:val="0"/>
        <w:ind w:left="0" w:leftChars="0" w:firstLine="640" w:firstLineChars="200"/>
        <w:jc w:val="left"/>
        <w:rPr>
          <w:rFonts w:hint="eastAsia" w:ascii="仿宋_GB2312" w:hAnsi="Helvetica" w:eastAsia="仿宋_GB2312" w:cs="Helvetica"/>
          <w:sz w:val="32"/>
          <w:szCs w:val="32"/>
          <w:lang w:val="en-US" w:eastAsia="zh-CN"/>
        </w:rPr>
      </w:pPr>
      <w:r>
        <w:rPr>
          <w:rFonts w:hint="eastAsia" w:ascii="楷体_GB2312" w:hAnsi="楷体_GB2312" w:eastAsia="楷体_GB2312" w:cs="楷体_GB2312"/>
          <w:b w:val="0"/>
          <w:bCs w:val="0"/>
          <w:i w:val="0"/>
          <w:caps w:val="0"/>
          <w:color w:val="000000"/>
          <w:spacing w:val="0"/>
          <w:kern w:val="0"/>
          <w:sz w:val="32"/>
          <w:szCs w:val="32"/>
          <w:lang w:val="en-US" w:eastAsia="zh-CN" w:bidi="ar"/>
        </w:rPr>
        <w:t>（三）2024年度建议提案办理情况。</w:t>
      </w:r>
      <w:r>
        <w:rPr>
          <w:rFonts w:hint="eastAsia" w:ascii="仿宋_GB2312" w:hAnsi="Helvetica" w:eastAsia="仿宋_GB2312" w:cs="Helvetica"/>
          <w:sz w:val="32"/>
          <w:szCs w:val="32"/>
          <w:lang w:val="en-US" w:eastAsia="zh-CN"/>
        </w:rPr>
        <w:t>2024年，我单位共收到转办件5件。其中：人大代表建议1件，主办1件，于9月底全部规范办理完毕。政协委员提案4件，主办2件，协办2件，于9月底全部规范办理完毕。在办理过程中，先与代表进行电话沟通并提出面复请求，根据代表意愿进行面复，达到代表要求的面复率为100%；代表对我单位的办理态度和办理结果都给予了充分肯定和高度评价，满意率达到100%。对建议提案办理及执行落实情况公开，通过网站政务公开专栏统一规范格式集中发布。</w:t>
      </w:r>
    </w:p>
    <w:p>
      <w:pPr>
        <w:keepNext w:val="0"/>
        <w:keepLines w:val="0"/>
        <w:widowControl/>
        <w:suppressLineNumbers w:val="0"/>
        <w:ind w:left="0" w:leftChars="0" w:firstLine="640" w:firstLineChars="200"/>
        <w:jc w:val="left"/>
        <w:rPr>
          <w:rFonts w:hint="eastAsia" w:ascii="仿宋_GB2312" w:hAnsi="Helvetica" w:eastAsia="仿宋_GB2312" w:cs="Helvetica"/>
          <w:sz w:val="32"/>
          <w:szCs w:val="32"/>
          <w:lang w:val="en-US" w:eastAsia="zh-CN"/>
        </w:rPr>
      </w:pPr>
      <w:r>
        <w:rPr>
          <w:rFonts w:hint="eastAsia" w:ascii="楷体_GB2312" w:hAnsi="楷体_GB2312" w:eastAsia="楷体_GB2312" w:cs="楷体_GB2312"/>
          <w:b w:val="0"/>
          <w:bCs w:val="0"/>
          <w:i w:val="0"/>
          <w:caps w:val="0"/>
          <w:color w:val="000000"/>
          <w:spacing w:val="0"/>
          <w:kern w:val="0"/>
          <w:sz w:val="32"/>
          <w:szCs w:val="32"/>
          <w:lang w:val="en-US" w:eastAsia="zh-CN" w:bidi="ar"/>
        </w:rPr>
        <w:t>（四）本单位在政务公开制度、内容、形式和平台建设方面的创新实践情况。</w:t>
      </w:r>
      <w:r>
        <w:rPr>
          <w:rFonts w:hint="eastAsia" w:ascii="仿宋_GB2312" w:hAnsi="Helvetica" w:eastAsia="仿宋_GB2312" w:cs="Helvetica"/>
          <w:sz w:val="32"/>
          <w:szCs w:val="32"/>
          <w:lang w:val="en-US" w:eastAsia="zh-CN"/>
        </w:rPr>
        <w:t>一是优化政务公开专栏。根据区政府办公室要求，对平台目录进行优化调整，对涉及公众切身利益的重点领域信息及时公开。严格落实网络意识形态责任制，加强政府信息发布审核，把好政治关、政策关、文字关。二是完善新媒体平台。用好“山亭司法”公众号及时公开政务信息。加强与宣传、网信等部门以及新闻媒体的沟通联系，充分运用广播、电视、新闻网站等各级各类新闻媒体资源，做好政务公开工作，为群众提供方便快捷的信息公开服务渠道，全面提升服务效能。</w:t>
      </w:r>
    </w:p>
    <w:p>
      <w:pPr>
        <w:keepNext w:val="0"/>
        <w:keepLines w:val="0"/>
        <w:widowControl/>
        <w:suppressLineNumbers w:val="0"/>
        <w:ind w:left="0" w:leftChars="0" w:firstLine="640" w:firstLineChars="200"/>
        <w:jc w:val="left"/>
        <w:rPr>
          <w:rFonts w:hint="eastAsia" w:ascii="仿宋_GB2312" w:hAnsi="Helvetica" w:eastAsia="仿宋_GB2312" w:cs="Helvetica"/>
          <w:sz w:val="32"/>
          <w:szCs w:val="32"/>
          <w:lang w:val="en-US" w:eastAsia="zh-CN"/>
        </w:rPr>
      </w:pPr>
    </w:p>
    <w:p>
      <w:pPr>
        <w:rPr>
          <w:color w:val="auto"/>
        </w:rPr>
      </w:pPr>
    </w:p>
    <w:sectPr>
      <w:footerReference r:id="rId3" w:type="default"/>
      <w:pgSz w:w="11906" w:h="16838"/>
      <w:pgMar w:top="1440" w:right="147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decorative"/>
    <w:pitch w:val="default"/>
    <w:sig w:usb0="00000000" w:usb1="00000000" w:usb2="00000000" w:usb3="00000000" w:csb0="00000000" w:csb1="00000000"/>
  </w:font>
  <w:font w:name="楷体_GB2312">
    <w:panose1 w:val="02010609030101010101"/>
    <w:charset w:val="86"/>
    <w:family w:val="decorative"/>
    <w:pitch w:val="default"/>
    <w:sig w:usb0="00000000" w:usb1="00000000" w:usb2="00000000" w:usb3="00000000" w:csb0="00000000" w:csb1="00000000"/>
  </w:font>
  <w:font w:name="楷体">
    <w:panose1 w:val="02010609060101010101"/>
    <w:charset w:val="86"/>
    <w:family w:val="decorative"/>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1</w:t>
                    </w:r>
                    <w:r>
                      <w:rPr>
                        <w:rFonts w:hint="eastAsia" w:eastAsia="宋体"/>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317C6C"/>
    <w:multiLevelType w:val="singleLevel"/>
    <w:tmpl w:val="BE317C6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ZTJlNWM4YzZiNjdhMjAwNzk1Y2ZkMDMwZDdlYjgifQ=="/>
  </w:docVars>
  <w:rsids>
    <w:rsidRoot w:val="00000000"/>
    <w:rsid w:val="025B2DC4"/>
    <w:rsid w:val="02E90863"/>
    <w:rsid w:val="038500F8"/>
    <w:rsid w:val="03F11C32"/>
    <w:rsid w:val="04351B1E"/>
    <w:rsid w:val="04461F7D"/>
    <w:rsid w:val="052027CE"/>
    <w:rsid w:val="05DC421B"/>
    <w:rsid w:val="05EA2DDC"/>
    <w:rsid w:val="063B3638"/>
    <w:rsid w:val="06400C4E"/>
    <w:rsid w:val="06456265"/>
    <w:rsid w:val="06826B71"/>
    <w:rsid w:val="069074E0"/>
    <w:rsid w:val="06935222"/>
    <w:rsid w:val="086269D8"/>
    <w:rsid w:val="08BA6A96"/>
    <w:rsid w:val="0969226A"/>
    <w:rsid w:val="09A339CE"/>
    <w:rsid w:val="0BE502CE"/>
    <w:rsid w:val="0C14470F"/>
    <w:rsid w:val="0C3E178C"/>
    <w:rsid w:val="0CB41A4E"/>
    <w:rsid w:val="0DCE4AEA"/>
    <w:rsid w:val="0E0B1B42"/>
    <w:rsid w:val="0F452E31"/>
    <w:rsid w:val="0FDF5034"/>
    <w:rsid w:val="10BC7123"/>
    <w:rsid w:val="124E4C36"/>
    <w:rsid w:val="12964954"/>
    <w:rsid w:val="13342C88"/>
    <w:rsid w:val="135348A2"/>
    <w:rsid w:val="146E4BD8"/>
    <w:rsid w:val="14883FE5"/>
    <w:rsid w:val="151237B6"/>
    <w:rsid w:val="154047C7"/>
    <w:rsid w:val="15BF56EC"/>
    <w:rsid w:val="194B64D8"/>
    <w:rsid w:val="1A8B64E4"/>
    <w:rsid w:val="1AE01331"/>
    <w:rsid w:val="1B3B4E87"/>
    <w:rsid w:val="1B943F4C"/>
    <w:rsid w:val="1C1F5136"/>
    <w:rsid w:val="1CAB4C1C"/>
    <w:rsid w:val="1CB17D58"/>
    <w:rsid w:val="1E94191E"/>
    <w:rsid w:val="1F66307C"/>
    <w:rsid w:val="20140D2A"/>
    <w:rsid w:val="2091416B"/>
    <w:rsid w:val="212E5E1B"/>
    <w:rsid w:val="213C15CE"/>
    <w:rsid w:val="218B0B78"/>
    <w:rsid w:val="231E77CA"/>
    <w:rsid w:val="244020ED"/>
    <w:rsid w:val="249266C1"/>
    <w:rsid w:val="25F50CB6"/>
    <w:rsid w:val="26797B39"/>
    <w:rsid w:val="26867B60"/>
    <w:rsid w:val="270F5DA7"/>
    <w:rsid w:val="27675BE3"/>
    <w:rsid w:val="27A91D58"/>
    <w:rsid w:val="27B54BA0"/>
    <w:rsid w:val="27FF2D7C"/>
    <w:rsid w:val="28321D4D"/>
    <w:rsid w:val="288B3B53"/>
    <w:rsid w:val="28F65471"/>
    <w:rsid w:val="29086F52"/>
    <w:rsid w:val="2923474A"/>
    <w:rsid w:val="2BB533C1"/>
    <w:rsid w:val="2C3D5164"/>
    <w:rsid w:val="2E960B5C"/>
    <w:rsid w:val="2F5C1DA5"/>
    <w:rsid w:val="30580463"/>
    <w:rsid w:val="308C0468"/>
    <w:rsid w:val="32C1089D"/>
    <w:rsid w:val="33264BA4"/>
    <w:rsid w:val="333F17C2"/>
    <w:rsid w:val="33527747"/>
    <w:rsid w:val="34C93A39"/>
    <w:rsid w:val="34DA3E98"/>
    <w:rsid w:val="351C625F"/>
    <w:rsid w:val="354C01C6"/>
    <w:rsid w:val="35FC7E3E"/>
    <w:rsid w:val="36853990"/>
    <w:rsid w:val="371F2036"/>
    <w:rsid w:val="37F232A7"/>
    <w:rsid w:val="397523E2"/>
    <w:rsid w:val="3A4818A4"/>
    <w:rsid w:val="3BA1126C"/>
    <w:rsid w:val="3C9E1C4F"/>
    <w:rsid w:val="3CD236A7"/>
    <w:rsid w:val="3CD45671"/>
    <w:rsid w:val="3CE21B3C"/>
    <w:rsid w:val="3F116709"/>
    <w:rsid w:val="417F68F8"/>
    <w:rsid w:val="43171E14"/>
    <w:rsid w:val="451231DA"/>
    <w:rsid w:val="455E3D2A"/>
    <w:rsid w:val="45ED7EBA"/>
    <w:rsid w:val="480908C5"/>
    <w:rsid w:val="4A3B288C"/>
    <w:rsid w:val="4A8204BA"/>
    <w:rsid w:val="4B125CE2"/>
    <w:rsid w:val="4C0C76BE"/>
    <w:rsid w:val="4D5325E2"/>
    <w:rsid w:val="4DF25957"/>
    <w:rsid w:val="4F66019F"/>
    <w:rsid w:val="4FD572DE"/>
    <w:rsid w:val="5023004A"/>
    <w:rsid w:val="50852AB2"/>
    <w:rsid w:val="513D513B"/>
    <w:rsid w:val="51750D79"/>
    <w:rsid w:val="51BD627C"/>
    <w:rsid w:val="52DE294E"/>
    <w:rsid w:val="52F1442F"/>
    <w:rsid w:val="53B51901"/>
    <w:rsid w:val="53C953AC"/>
    <w:rsid w:val="54064470"/>
    <w:rsid w:val="54A656ED"/>
    <w:rsid w:val="54E56216"/>
    <w:rsid w:val="559D43FA"/>
    <w:rsid w:val="55E464CD"/>
    <w:rsid w:val="561C5C67"/>
    <w:rsid w:val="583F4AFD"/>
    <w:rsid w:val="58A5786E"/>
    <w:rsid w:val="58C12AF6"/>
    <w:rsid w:val="591744C4"/>
    <w:rsid w:val="59DD570D"/>
    <w:rsid w:val="5B3F5F54"/>
    <w:rsid w:val="5B525C87"/>
    <w:rsid w:val="5CD8040E"/>
    <w:rsid w:val="5D170F36"/>
    <w:rsid w:val="5D2D2508"/>
    <w:rsid w:val="5E0D2339"/>
    <w:rsid w:val="5E2E29DB"/>
    <w:rsid w:val="5E4A70E9"/>
    <w:rsid w:val="5E8343A9"/>
    <w:rsid w:val="60A76A75"/>
    <w:rsid w:val="610619ED"/>
    <w:rsid w:val="613A3445"/>
    <w:rsid w:val="61932B55"/>
    <w:rsid w:val="638900D7"/>
    <w:rsid w:val="647E189B"/>
    <w:rsid w:val="64DD2A65"/>
    <w:rsid w:val="65260BED"/>
    <w:rsid w:val="652F0DE7"/>
    <w:rsid w:val="654E74BF"/>
    <w:rsid w:val="659B647C"/>
    <w:rsid w:val="66911D59"/>
    <w:rsid w:val="66F26570"/>
    <w:rsid w:val="67F24A7A"/>
    <w:rsid w:val="68703BF0"/>
    <w:rsid w:val="68AD274F"/>
    <w:rsid w:val="68C301C4"/>
    <w:rsid w:val="6985191D"/>
    <w:rsid w:val="69CA7330"/>
    <w:rsid w:val="6A7259FE"/>
    <w:rsid w:val="6A8D2838"/>
    <w:rsid w:val="6A9E7746"/>
    <w:rsid w:val="6ABE6E95"/>
    <w:rsid w:val="6B594E10"/>
    <w:rsid w:val="6B6D2669"/>
    <w:rsid w:val="6BAF4A30"/>
    <w:rsid w:val="6BD61FBC"/>
    <w:rsid w:val="6BEC7A32"/>
    <w:rsid w:val="6BFF1513"/>
    <w:rsid w:val="6C25142A"/>
    <w:rsid w:val="6D724DCC"/>
    <w:rsid w:val="6DF0407A"/>
    <w:rsid w:val="6E46167B"/>
    <w:rsid w:val="6E734B1C"/>
    <w:rsid w:val="6E8C2E06"/>
    <w:rsid w:val="6ED46903"/>
    <w:rsid w:val="6F4F4560"/>
    <w:rsid w:val="6F6B5112"/>
    <w:rsid w:val="704561B0"/>
    <w:rsid w:val="7056191E"/>
    <w:rsid w:val="71630796"/>
    <w:rsid w:val="720C2BDC"/>
    <w:rsid w:val="724834E8"/>
    <w:rsid w:val="727A7B45"/>
    <w:rsid w:val="73221F8B"/>
    <w:rsid w:val="73D2575F"/>
    <w:rsid w:val="75622B13"/>
    <w:rsid w:val="7577036C"/>
    <w:rsid w:val="75B23A9A"/>
    <w:rsid w:val="75F25C45"/>
    <w:rsid w:val="76351AB1"/>
    <w:rsid w:val="771A36A5"/>
    <w:rsid w:val="773504DF"/>
    <w:rsid w:val="799F4335"/>
    <w:rsid w:val="7A097A01"/>
    <w:rsid w:val="7A140880"/>
    <w:rsid w:val="7A6D7491"/>
    <w:rsid w:val="7A813A3B"/>
    <w:rsid w:val="7BB045D8"/>
    <w:rsid w:val="7C077F70"/>
    <w:rsid w:val="7C80044E"/>
    <w:rsid w:val="7E5D031B"/>
    <w:rsid w:val="7F3630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39"/>
    <w:pPr>
      <w:widowControl/>
      <w:tabs>
        <w:tab w:val="right" w:leader="dot" w:pos="9060"/>
      </w:tabs>
      <w:spacing w:after="100" w:line="600" w:lineRule="exact"/>
    </w:pPr>
    <w:rPr>
      <w:rFonts w:ascii="Calibri" w:hAnsi="Calibri"/>
      <w:szCs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3389</Words>
  <Characters>3502</Characters>
  <Lines>0</Lines>
  <Paragraphs>0</Paragraphs>
  <TotalTime>5</TotalTime>
  <ScaleCrop>false</ScaleCrop>
  <LinksUpToDate>false</LinksUpToDate>
  <CharactersWithSpaces>3504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2023-01-12T02:37:00Z</dcterms:created>
  <dc:creator>Administrator</dc:creator>
  <cp:lastModifiedBy>周沫</cp:lastModifiedBy>
  <cp:lastPrinted>2024-01-12T08:33:00Z</cp:lastPrinted>
  <dcterms:modified xsi:type="dcterms:W3CDTF">2025-02-13T10:42:11Z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210ED51849BE4260BD9AF14F5D3CD278_13</vt:lpwstr>
  </property>
  <property fmtid="{D5CDD505-2E9C-101B-9397-08002B2CF9AE}" pid="4" name="KSOTemplateDocerSaveRecord">
    <vt:lpwstr>eyJoZGlkIjoiYWRlMzAwYWFkYmQ1M2VhOWE0YjhmNTIzODNmOGVjYWQiLCJ1c2VySWQiOiIzNzgyOTM3MzgifQ==</vt:lpwstr>
  </property>
</Properties>
</file>