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lang w:eastAsia="zh-CN"/>
        </w:rPr>
        <w:t>山亭区</w:t>
      </w:r>
      <w:r>
        <w:rPr>
          <w:rFonts w:hint="eastAsia" w:ascii="方正小标宋简体" w:hAnsi="方正小标宋简体" w:eastAsia="方正小标宋简体" w:cs="方正小标宋简体"/>
          <w:sz w:val="44"/>
          <w:szCs w:val="52"/>
        </w:rPr>
        <w:t>北庄镇2025年政府信息公开</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工作年度报告</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根据新修订的《中华人民共和国政府信息公开条例》《国务院办公厅政府信息与政务公开办公室关于政府信息公开工作年度报告有关事项的通知》(国办公开办函〔2019〕60号)和省:枣庄市有关工作要求，编制本报告并向社会公开。本报告所列数据的统计时限自2025年1月1日至2025年12月31日。本报告全文在将山亭区政府网站(http://www.shanting.gov.cn/)，“政府信息公开年度报告”专栏公布。如对本报告有疑问，可与山亭区北庄镇党政办联系(地址:山亭区北庄镇驻地，邮编:277218，电话:0632-8911936，传真:0632-8912602)</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sz w:val="32"/>
          <w:szCs w:val="40"/>
        </w:rPr>
      </w:pPr>
      <w:r>
        <w:rPr>
          <w:rFonts w:hint="eastAsia" w:ascii="黑体" w:hAnsi="黑体" w:eastAsia="黑体" w:cs="黑体"/>
          <w:sz w:val="32"/>
          <w:szCs w:val="40"/>
        </w:rPr>
        <w:t>一、总体情况</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2025年，山亭区北庄镇严格贯彻落实《中华人民共和国政府信息公开条例》及上级政务公开工作部署，坚持公开为常态、不公开为例外，聚焦群众需求和镇域发展重点，统筹推进主动公开、依申请公开、平台建设等各项工作，不断提升政府信息公开规范化、标准化水平，有效保障了群众的知情权、参与权和监督权，为“不墨山亭、幸福小城”建设贡献北庄力量。</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（一）聚焦重点领域，深化主动公开成效</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严格落实《条例》第二十条法定主动公开要求，全面梳理公开事项，重点推进法治政府建设、年度总结及计划等领域信息公开，通过多种方式及时回应企业和群众关于项目建设、民生保障等二十余个关切问题，确保政策红利精准直达。</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（二）规范办理流程，提升依申请公开质效</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2025年共收到政府信息公开申请1件，较上年增长100%，在规定时限内办结。完善依申请公开制度规范，优化“申请-受理-审核-答复-归档”全流程管理，提升答复的合法性和规范性。</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（三）强化制度保障，完善政府信息管理</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对照《山东省政府信息主动公开基本目录》，细化公开范围、内容和时限。建立政府信息全生命周期管理制度，从信息生成、审核、发布到归档全程留痕。健全保密审查制度，明确审查责任和流程，全年未发生信息泄露事件。</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（四）统筹多元载体，优化公开平台建设</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依托山亭区政府网站集约化平台，规范维护北庄镇政府信息公开专栏，及时更新栏目内容，确保信息可查可溯。用好镇政务服务大厅公开栏、村级公示栏等线下渠道，公开群众关心的民生政策、办事流程等信息十余条。</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sz w:val="32"/>
          <w:szCs w:val="40"/>
          <w:lang w:val="en-US" w:eastAsia="zh-CN"/>
        </w:rPr>
        <w:t>（五）健全工作机制，夯实监督保障基础​</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调整充实北庄镇政务公开工作人员配备，定期研究解决工作中的重点难点问题，推动工作落地落实。​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rightChars="0" w:firstLine="640" w:firstLineChars="200"/>
        <w:jc w:val="both"/>
        <w:textAlignment w:val="auto"/>
        <w:rPr>
          <w:rFonts w:hint="default" w:ascii="Times New Roman" w:hAnsi="Times New Roman" w:eastAsia="黑体" w:cs="Times New Roman"/>
          <w:b w:val="0"/>
          <w:bCs/>
          <w:i w:val="0"/>
          <w:caps w:val="0"/>
          <w:color w:val="auto"/>
          <w:spacing w:val="0"/>
          <w:kern w:val="0"/>
          <w:sz w:val="32"/>
          <w:szCs w:val="32"/>
          <w:lang w:val="en-US" w:eastAsia="zh-CN" w:bidi="ar-SA"/>
        </w:rPr>
      </w:pPr>
      <w:r>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SA"/>
        </w:rPr>
        <w:t>二、主动公开政府信息情况</w:t>
      </w:r>
    </w:p>
    <w:tbl>
      <w:tblPr>
        <w:tblStyle w:val="5"/>
        <w:tblW w:w="5000" w:type="pct"/>
        <w:tblInd w:w="0" w:type="dxa"/>
        <w:tblLayout w:type="fixed"/>
        <w:tblCellMar>
          <w:top w:w="0" w:type="dxa"/>
          <w:left w:w="108" w:type="dxa"/>
          <w:bottom w:w="0" w:type="dxa"/>
          <w:right w:w="108" w:type="dxa"/>
        </w:tblCellMar>
      </w:tblPr>
      <w:tblGrid>
        <w:gridCol w:w="2237"/>
        <w:gridCol w:w="2237"/>
        <w:gridCol w:w="2237"/>
        <w:gridCol w:w="2237"/>
      </w:tblGrid>
      <w:tr>
        <w:tblPrEx>
          <w:tblCellMar>
            <w:top w:w="0" w:type="dxa"/>
            <w:left w:w="108" w:type="dxa"/>
            <w:bottom w:w="0" w:type="dxa"/>
            <w:right w:w="108" w:type="dxa"/>
          </w:tblCellMar>
        </w:tblPrEx>
        <w:trPr>
          <w:trHeight w:val="331"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第二十条第（一）项</w:t>
            </w:r>
          </w:p>
        </w:tc>
      </w:tr>
      <w:tr>
        <w:tblPrEx>
          <w:tblCellMar>
            <w:top w:w="0" w:type="dxa"/>
            <w:left w:w="108" w:type="dxa"/>
            <w:bottom w:w="0" w:type="dxa"/>
            <w:right w:w="108" w:type="dxa"/>
          </w:tblCellMar>
        </w:tblPrEx>
        <w:trPr>
          <w:trHeight w:val="41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本年制发件数</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本年废止件数</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现行有效件数</w:t>
            </w:r>
          </w:p>
        </w:tc>
      </w:tr>
      <w:tr>
        <w:tblPrEx>
          <w:tblCellMar>
            <w:top w:w="0" w:type="dxa"/>
            <w:left w:w="108" w:type="dxa"/>
            <w:bottom w:w="0" w:type="dxa"/>
            <w:right w:w="108" w:type="dxa"/>
          </w:tblCellMar>
        </w:tblPrEx>
        <w:trPr>
          <w:trHeight w:val="400"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规章</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334"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430"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第二十条第（五）项</w:t>
            </w:r>
          </w:p>
        </w:tc>
      </w:tr>
      <w:tr>
        <w:tblPrEx>
          <w:tblCellMar>
            <w:top w:w="0" w:type="dxa"/>
            <w:left w:w="108" w:type="dxa"/>
            <w:bottom w:w="0" w:type="dxa"/>
            <w:right w:w="108" w:type="dxa"/>
          </w:tblCellMar>
        </w:tblPrEx>
        <w:trPr>
          <w:trHeight w:val="301"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tblPrEx>
          <w:tblCellMar>
            <w:top w:w="0" w:type="dxa"/>
            <w:left w:w="108" w:type="dxa"/>
            <w:bottom w:w="0" w:type="dxa"/>
            <w:right w:w="108" w:type="dxa"/>
          </w:tblCellMar>
        </w:tblPrEx>
        <w:trPr>
          <w:trHeight w:val="351"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330"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第二十条第（六）项</w:t>
            </w:r>
          </w:p>
        </w:tc>
      </w:tr>
      <w:tr>
        <w:tblPrEx>
          <w:tblCellMar>
            <w:top w:w="0" w:type="dxa"/>
            <w:left w:w="108" w:type="dxa"/>
            <w:bottom w:w="0" w:type="dxa"/>
            <w:right w:w="108" w:type="dxa"/>
          </w:tblCellMar>
        </w:tblPrEx>
        <w:trPr>
          <w:trHeight w:val="194" w:hRule="atLeast"/>
        </w:trPr>
        <w:tc>
          <w:tcPr>
            <w:tcW w:w="2206" w:type="dxa"/>
            <w:tcBorders>
              <w:top w:val="nil"/>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tblPrEx>
          <w:tblCellMar>
            <w:top w:w="0" w:type="dxa"/>
            <w:left w:w="108" w:type="dxa"/>
            <w:bottom w:w="0" w:type="dxa"/>
            <w:right w:w="108" w:type="dxa"/>
          </w:tblCellMar>
        </w:tblPrEx>
        <w:trPr>
          <w:trHeight w:val="240" w:hRule="atLeast"/>
        </w:trPr>
        <w:tc>
          <w:tcPr>
            <w:tcW w:w="2206" w:type="dxa"/>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eastAsia="zh-CN"/>
              </w:rPr>
              <w:t>0</w:t>
            </w:r>
          </w:p>
        </w:tc>
      </w:tr>
      <w:tr>
        <w:tblPrEx>
          <w:tblCellMar>
            <w:top w:w="0" w:type="dxa"/>
            <w:left w:w="108" w:type="dxa"/>
            <w:bottom w:w="0" w:type="dxa"/>
            <w:right w:w="108" w:type="dxa"/>
          </w:tblCellMar>
        </w:tblPrEx>
        <w:trPr>
          <w:trHeight w:val="207" w:hRule="atLeast"/>
        </w:trPr>
        <w:tc>
          <w:tcPr>
            <w:tcW w:w="2206" w:type="dxa"/>
            <w:tcBorders>
              <w:top w:val="single" w:color="auto" w:sz="4" w:space="0"/>
              <w:left w:val="single" w:color="auto" w:sz="4"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24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第二十条第（八）项</w:t>
            </w:r>
          </w:p>
        </w:tc>
      </w:tr>
      <w:tr>
        <w:tblPrEx>
          <w:tblCellMar>
            <w:top w:w="0" w:type="dxa"/>
            <w:left w:w="108" w:type="dxa"/>
            <w:bottom w:w="0" w:type="dxa"/>
            <w:right w:w="108" w:type="dxa"/>
          </w:tblCellMar>
        </w:tblPrEx>
        <w:trPr>
          <w:trHeight w:val="233"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本年收费金额（单位：万元）</w:t>
            </w:r>
          </w:p>
        </w:tc>
      </w:tr>
      <w:tr>
        <w:tblPrEx>
          <w:tblCellMar>
            <w:top w:w="0" w:type="dxa"/>
            <w:left w:w="108" w:type="dxa"/>
            <w:bottom w:w="0" w:type="dxa"/>
            <w:right w:w="108" w:type="dxa"/>
          </w:tblCellMar>
        </w:tblPrEx>
        <w:trPr>
          <w:trHeight w:val="321"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val="en-US" w:eastAsia="zh-CN"/>
              </w:rPr>
              <w:t>0</w:t>
            </w:r>
          </w:p>
        </w:tc>
      </w:tr>
    </w:tbl>
    <w:p>
      <w:pPr>
        <w:keepNext w:val="0"/>
        <w:keepLines w:val="0"/>
        <w:pageBreakBefore w:val="0"/>
        <w:kinsoku/>
        <w:wordWrap/>
        <w:overflowPunct/>
        <w:topLinePunct w:val="0"/>
        <w:autoSpaceDE/>
        <w:autoSpaceDN/>
        <w:bidi w:val="0"/>
        <w:adjustRightInd/>
        <w:snapToGrid/>
        <w:spacing w:line="540" w:lineRule="exact"/>
        <w:ind w:left="0" w:right="0" w:rightChars="0"/>
        <w:textAlignment w:val="auto"/>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t>三、收到和处理政府信息公开申请情况</w:t>
      </w:r>
    </w:p>
    <w:tbl>
      <w:tblPr>
        <w:tblStyle w:val="5"/>
        <w:tblpPr w:leftFromText="180" w:rightFromText="180" w:vertAnchor="text" w:horzAnchor="page" w:tblpXSpec="center" w:tblpY="649"/>
        <w:tblOverlap w:val="never"/>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08"/>
        <w:gridCol w:w="1644"/>
        <w:gridCol w:w="2871"/>
        <w:gridCol w:w="644"/>
        <w:gridCol w:w="611"/>
        <w:gridCol w:w="5"/>
        <w:gridCol w:w="523"/>
        <w:gridCol w:w="701"/>
        <w:gridCol w:w="658"/>
        <w:gridCol w:w="514"/>
        <w:gridCol w:w="3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楷体_GB2312" w:cs="Times New Roman"/>
                <w:color w:val="auto"/>
                <w:kern w:val="0"/>
                <w:szCs w:val="21"/>
              </w:rPr>
            </w:pPr>
            <w:r>
              <w:rPr>
                <w:rFonts w:hint="default" w:ascii="Times New Roman" w:hAnsi="Times New Roman" w:eastAsia="楷体_GB2312" w:cs="Times New Roman"/>
                <w:color w:val="auto"/>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szCs w:val="21"/>
              </w:rPr>
            </w:pPr>
            <w:r>
              <w:rPr>
                <w:rFonts w:hint="default" w:ascii="Times New Roman" w:hAnsi="Times New Roman" w:eastAsia="楷体_GB2312" w:cs="Times New Roman"/>
                <w:color w:val="auto"/>
                <w:kern w:val="0"/>
                <w:szCs w:val="21"/>
              </w:rPr>
              <w:t>等于第三项加第四项之和）</w:t>
            </w:r>
          </w:p>
        </w:tc>
        <w:tc>
          <w:tcPr>
            <w:tcW w:w="4122" w:type="dxa"/>
            <w:gridSpan w:val="8"/>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szCs w:val="21"/>
              </w:rPr>
            </w:pPr>
          </w:p>
        </w:tc>
        <w:tc>
          <w:tcPr>
            <w:tcW w:w="66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自然人</w:t>
            </w:r>
          </w:p>
        </w:tc>
        <w:tc>
          <w:tcPr>
            <w:tcW w:w="3086" w:type="dxa"/>
            <w:gridSpan w:val="6"/>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法人或其他组织</w:t>
            </w:r>
          </w:p>
        </w:tc>
        <w:tc>
          <w:tcPr>
            <w:tcW w:w="37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szCs w:val="21"/>
              </w:rPr>
            </w:pPr>
          </w:p>
        </w:tc>
        <w:tc>
          <w:tcPr>
            <w:tcW w:w="66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szCs w:val="21"/>
              </w:rPr>
            </w:pP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hanging="1"/>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商业企业</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科研机构</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社会公益组织</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hanging="1"/>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法律服务机构</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其他</w:t>
            </w:r>
          </w:p>
        </w:tc>
        <w:tc>
          <w:tcPr>
            <w:tcW w:w="37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一、</w:t>
            </w:r>
            <w:bookmarkStart w:id="0" w:name="_Hlk66973412"/>
            <w:r>
              <w:rPr>
                <w:rFonts w:hint="default" w:ascii="Times New Roman" w:hAnsi="Times New Roman" w:eastAsia="黑体" w:cs="Times New Roman"/>
                <w:color w:val="auto"/>
                <w:kern w:val="0"/>
                <w:szCs w:val="21"/>
              </w:rPr>
              <w:t>本年新收政府信息公开申请数量</w:t>
            </w:r>
            <w:bookmarkEnd w:id="0"/>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二、上年结转政府信息公开申请数量</w:t>
            </w:r>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三、本年度办理结果</w:t>
            </w: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（一）予以公开</w:t>
            </w:r>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w:t>
            </w:r>
          </w:p>
        </w:tc>
        <w:tc>
          <w:tcPr>
            <w:tcW w:w="63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37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（二）部分公开（</w:t>
            </w:r>
            <w:bookmarkStart w:id="1" w:name="_Hlk66973981"/>
            <w:r>
              <w:rPr>
                <w:rFonts w:hint="default" w:ascii="Times New Roman" w:hAnsi="Times New Roman" w:eastAsia="黑体" w:cs="Times New Roman"/>
                <w:color w:val="auto"/>
                <w:kern w:val="0"/>
                <w:szCs w:val="21"/>
              </w:rPr>
              <w:t>区分处理的，只计这一情形，不计其他情形</w:t>
            </w:r>
            <w:bookmarkEnd w:id="1"/>
            <w:r>
              <w:rPr>
                <w:rFonts w:hint="default" w:ascii="Times New Roman" w:hAnsi="Times New Roman" w:eastAsia="黑体" w:cs="Times New Roman"/>
                <w:color w:val="auto"/>
                <w:kern w:val="0"/>
                <w:szCs w:val="21"/>
              </w:rPr>
              <w:t>）</w:t>
            </w:r>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63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37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1.属于国家秘密</w:t>
            </w:r>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bookmarkStart w:id="2" w:name="_Hlk66974104"/>
            <w:r>
              <w:rPr>
                <w:rFonts w:hint="default" w:ascii="Times New Roman" w:hAnsi="Times New Roman" w:eastAsia="仿宋_GB2312" w:cs="Times New Roman"/>
                <w:color w:val="auto"/>
                <w:kern w:val="0"/>
                <w:szCs w:val="21"/>
              </w:rPr>
              <w:t>其他法律行政法规禁止公开</w:t>
            </w:r>
            <w:bookmarkEnd w:id="2"/>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3.危及“三安全一稳定”</w:t>
            </w:r>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w:t>
            </w:r>
            <w:bookmarkStart w:id="3" w:name="_Hlk66974290"/>
            <w:r>
              <w:rPr>
                <w:rFonts w:hint="default" w:ascii="Times New Roman" w:hAnsi="Times New Roman" w:eastAsia="仿宋_GB2312" w:cs="Times New Roman"/>
                <w:color w:val="auto"/>
                <w:kern w:val="0"/>
                <w:szCs w:val="21"/>
              </w:rPr>
              <w:t>保护第三方合法权益</w:t>
            </w:r>
            <w:bookmarkEnd w:id="3"/>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5.属于三类内部事务信息</w:t>
            </w:r>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6.</w:t>
            </w:r>
            <w:bookmarkStart w:id="4" w:name="_Hlk66974555"/>
            <w:r>
              <w:rPr>
                <w:rFonts w:hint="default" w:ascii="Times New Roman" w:hAnsi="Times New Roman" w:eastAsia="仿宋_GB2312" w:cs="Times New Roman"/>
                <w:color w:val="auto"/>
                <w:kern w:val="0"/>
                <w:szCs w:val="21"/>
              </w:rPr>
              <w:t>属于四类过程性信息</w:t>
            </w:r>
            <w:bookmarkEnd w:id="4"/>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7.属于行政执法案卷</w:t>
            </w:r>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w:t>
            </w:r>
            <w:bookmarkStart w:id="5" w:name="_Hlk66975211"/>
            <w:r>
              <w:rPr>
                <w:rFonts w:hint="default" w:ascii="Times New Roman" w:hAnsi="Times New Roman" w:eastAsia="仿宋_GB2312" w:cs="Times New Roman"/>
                <w:color w:val="auto"/>
                <w:kern w:val="0"/>
                <w:szCs w:val="21"/>
              </w:rPr>
              <w:t>属于行政查询事项</w:t>
            </w:r>
            <w:bookmarkEnd w:id="5"/>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1.本机关不掌握相关政府信息</w:t>
            </w:r>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9"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bookmarkStart w:id="6" w:name="_Hlk66975392"/>
            <w:r>
              <w:rPr>
                <w:rFonts w:hint="default" w:ascii="Times New Roman" w:hAnsi="Times New Roman" w:eastAsia="仿宋_GB2312" w:cs="Times New Roman"/>
                <w:color w:val="auto"/>
                <w:kern w:val="0"/>
                <w:szCs w:val="21"/>
              </w:rPr>
              <w:t>没有现成信息需要另行制作</w:t>
            </w:r>
            <w:bookmarkEnd w:id="6"/>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bookmarkStart w:id="7" w:name="_Hlk66975466"/>
            <w:r>
              <w:rPr>
                <w:rFonts w:hint="default" w:ascii="Times New Roman" w:hAnsi="Times New Roman" w:eastAsia="仿宋_GB2312" w:cs="Times New Roman"/>
                <w:color w:val="auto"/>
                <w:kern w:val="0"/>
                <w:szCs w:val="21"/>
              </w:rPr>
              <w:t>补正后申请内容仍不明确</w:t>
            </w:r>
            <w:bookmarkEnd w:id="7"/>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9"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w:t>
            </w:r>
            <w:bookmarkStart w:id="8" w:name="_Hlk66975537"/>
            <w:r>
              <w:rPr>
                <w:rFonts w:hint="default" w:ascii="Times New Roman" w:hAnsi="Times New Roman" w:eastAsia="仿宋_GB2312" w:cs="Times New Roman"/>
                <w:color w:val="auto"/>
                <w:kern w:val="0"/>
                <w:szCs w:val="21"/>
              </w:rPr>
              <w:t>信访举报投诉类申请</w:t>
            </w:r>
            <w:bookmarkEnd w:id="8"/>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2.重复申请</w:t>
            </w:r>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3.要求提供公开出版物</w:t>
            </w:r>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2"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4.无正当理由大量反复申请</w:t>
            </w:r>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210" w:firstLineChars="100"/>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出具已获取信息</w:t>
            </w:r>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1.申请人无正当理由逾期不补正、行政机关不再处理其政府信息公开申请</w:t>
            </w:r>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2.申请人逾期未按收费通知要求缴纳费用、行政机关不再处理其政府信息公开申请</w:t>
            </w:r>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3.其他</w:t>
            </w:r>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rPr>
            </w:pPr>
            <w:r>
              <w:rPr>
                <w:rFonts w:hint="eastAsia"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Cs w:val="21"/>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（七）总计</w:t>
            </w:r>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1</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rPr>
            </w:pPr>
            <w:r>
              <w:rPr>
                <w:rFonts w:hint="eastAsia" w:ascii="Times New Roman" w:hAnsi="Times New Roman" w:eastAsia="仿宋_GB2312" w:cs="Times New Roman"/>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四、结转下年度继续办理</w:t>
            </w:r>
          </w:p>
        </w:tc>
        <w:tc>
          <w:tcPr>
            <w:tcW w:w="6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6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3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auto"/>
                <w:szCs w:val="21"/>
                <w:lang w:val="en-US"/>
              </w:rPr>
            </w:pPr>
            <w:r>
              <w:rPr>
                <w:rFonts w:hint="eastAsia" w:ascii="Times New Roman" w:hAnsi="Times New Roman" w:eastAsia="仿宋_GB2312" w:cs="Times New Roman"/>
                <w:color w:val="auto"/>
                <w:szCs w:val="21"/>
                <w:lang w:val="en-US" w:eastAsia="zh-CN"/>
              </w:rPr>
              <w:t>0</w:t>
            </w:r>
          </w:p>
        </w:tc>
      </w:tr>
    </w:tbl>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bookmarkStart w:id="10" w:name="_GoBack"/>
      <w:bookmarkEnd w:id="10"/>
      <w:r>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t>四、政府信息公开行政复议、行政诉讼情况</w:t>
      </w:r>
    </w:p>
    <w:tbl>
      <w:tblPr>
        <w:tblStyle w:val="5"/>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95"/>
        <w:gridCol w:w="595"/>
        <w:gridCol w:w="595"/>
        <w:gridCol w:w="596"/>
        <w:gridCol w:w="649"/>
        <w:gridCol w:w="543"/>
        <w:gridCol w:w="597"/>
        <w:gridCol w:w="597"/>
        <w:gridCol w:w="597"/>
        <w:gridCol w:w="597"/>
        <w:gridCol w:w="597"/>
        <w:gridCol w:w="597"/>
        <w:gridCol w:w="597"/>
        <w:gridCol w:w="598"/>
        <w:gridCol w:w="5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3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行政复议</w:t>
            </w:r>
          </w:p>
        </w:tc>
        <w:tc>
          <w:tcPr>
            <w:tcW w:w="5918"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59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维持</w:t>
            </w:r>
          </w:p>
        </w:tc>
        <w:tc>
          <w:tcPr>
            <w:tcW w:w="595"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hanging="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59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其他结果</w:t>
            </w:r>
          </w:p>
        </w:tc>
        <w:tc>
          <w:tcPr>
            <w:tcW w:w="596"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49"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总</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计</w:t>
            </w:r>
          </w:p>
        </w:tc>
        <w:tc>
          <w:tcPr>
            <w:tcW w:w="2931"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未经复议直接起诉</w:t>
            </w:r>
          </w:p>
        </w:tc>
        <w:tc>
          <w:tcPr>
            <w:tcW w:w="298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rPr>
            </w:pPr>
            <w:bookmarkStart w:id="9" w:name="_Hlk67039688"/>
            <w:r>
              <w:rPr>
                <w:rFonts w:hint="default" w:ascii="Times New Roman" w:hAnsi="Times New Roman" w:eastAsia="黑体" w:cs="Times New Roman"/>
                <w:color w:val="auto"/>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59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 w:val="24"/>
              </w:rPr>
            </w:pPr>
          </w:p>
        </w:tc>
        <w:tc>
          <w:tcPr>
            <w:tcW w:w="595"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 w:val="24"/>
              </w:rPr>
            </w:pPr>
          </w:p>
        </w:tc>
        <w:tc>
          <w:tcPr>
            <w:tcW w:w="59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 w:val="24"/>
              </w:rPr>
            </w:pPr>
          </w:p>
        </w:tc>
        <w:tc>
          <w:tcPr>
            <w:tcW w:w="596"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 w:val="24"/>
              </w:rPr>
            </w:pPr>
          </w:p>
        </w:tc>
        <w:tc>
          <w:tcPr>
            <w:tcW w:w="649"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黑体" w:cs="Times New Roman"/>
                <w:color w:val="auto"/>
                <w:sz w:val="24"/>
              </w:rPr>
            </w:pPr>
          </w:p>
        </w:tc>
        <w:tc>
          <w:tcPr>
            <w:tcW w:w="54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59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59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59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59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c>
          <w:tcPr>
            <w:tcW w:w="59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59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纠正</w:t>
            </w:r>
          </w:p>
        </w:tc>
        <w:tc>
          <w:tcPr>
            <w:tcW w:w="59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hanging="1"/>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hanging="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598"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2" w:leftChars="0" w:right="0" w:rightChars="0" w:hanging="2" w:hangingChars="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尚未审结</w:t>
            </w:r>
          </w:p>
        </w:tc>
        <w:tc>
          <w:tcPr>
            <w:tcW w:w="598"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95"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宋体" w:cs="Times New Roman"/>
                <w:color w:val="auto"/>
              </w:rPr>
            </w:pPr>
            <w:r>
              <w:rPr>
                <w:rFonts w:hint="eastAsia" w:ascii="Times New Roman" w:hAnsi="Times New Roman" w:eastAsia="仿宋_GB2312" w:cs="Times New Roman"/>
                <w:color w:val="auto"/>
                <w:szCs w:val="21"/>
                <w:lang w:val="en-US" w:eastAsia="zh-CN"/>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宋体" w:cs="Times New Roman"/>
                <w:color w:val="auto"/>
              </w:rPr>
            </w:pPr>
            <w:r>
              <w:rPr>
                <w:rFonts w:hint="eastAsia" w:ascii="Times New Roman" w:hAnsi="Times New Roman" w:eastAsia="仿宋_GB2312" w:cs="Times New Roman"/>
                <w:color w:val="auto"/>
                <w:szCs w:val="21"/>
                <w:lang w:val="en-US" w:eastAsia="zh-CN"/>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宋体" w:cs="Times New Roman"/>
                <w:color w:val="auto"/>
              </w:rPr>
            </w:pPr>
            <w:r>
              <w:rPr>
                <w:rFonts w:hint="eastAsia" w:ascii="Times New Roman" w:hAnsi="Times New Roman" w:eastAsia="仿宋_GB2312" w:cs="Times New Roman"/>
                <w:color w:val="auto"/>
                <w:szCs w:val="21"/>
                <w:lang w:val="en-US" w:eastAsia="zh-CN"/>
              </w:rPr>
              <w:t>0</w:t>
            </w: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宋体" w:cs="Times New Roman"/>
                <w:color w:val="auto"/>
              </w:rPr>
            </w:pPr>
            <w:r>
              <w:rPr>
                <w:rFonts w:hint="eastAsia" w:ascii="Times New Roman" w:hAnsi="Times New Roman" w:eastAsia="仿宋_GB2312" w:cs="Times New Roman"/>
                <w:color w:val="auto"/>
                <w:szCs w:val="21"/>
                <w:lang w:val="en-US" w:eastAsia="zh-CN"/>
              </w:rPr>
              <w:t>0</w:t>
            </w:r>
          </w:p>
        </w:tc>
        <w:tc>
          <w:tcPr>
            <w:tcW w:w="64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宋体" w:cs="Times New Roman"/>
                <w:color w:val="auto"/>
              </w:rPr>
            </w:pPr>
            <w:r>
              <w:rPr>
                <w:rFonts w:hint="eastAsia" w:ascii="Times New Roman" w:hAnsi="Times New Roman" w:eastAsia="仿宋_GB2312" w:cs="Times New Roman"/>
                <w:color w:val="auto"/>
                <w:szCs w:val="21"/>
                <w:lang w:val="en-US" w:eastAsia="zh-CN"/>
              </w:rPr>
              <w:t>0</w:t>
            </w:r>
          </w:p>
        </w:tc>
        <w:tc>
          <w:tcPr>
            <w:tcW w:w="54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宋体" w:cs="Times New Roman"/>
                <w:color w:val="auto"/>
              </w:rPr>
            </w:pPr>
            <w:r>
              <w:rPr>
                <w:rFonts w:hint="eastAsia" w:ascii="Times New Roman" w:hAnsi="Times New Roman" w:eastAsia="仿宋_GB2312" w:cs="Times New Roman"/>
                <w:color w:val="auto"/>
                <w:szCs w:val="21"/>
                <w:lang w:val="en-US" w:eastAsia="zh-CN"/>
              </w:rPr>
              <w:t>0</w:t>
            </w:r>
          </w:p>
        </w:tc>
        <w:tc>
          <w:tcPr>
            <w:tcW w:w="59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宋体" w:cs="Times New Roman"/>
                <w:color w:val="auto"/>
              </w:rPr>
            </w:pPr>
            <w:r>
              <w:rPr>
                <w:rFonts w:hint="eastAsia" w:ascii="Times New Roman" w:hAnsi="Times New Roman" w:eastAsia="仿宋_GB2312" w:cs="Times New Roman"/>
                <w:color w:val="auto"/>
                <w:szCs w:val="21"/>
                <w:lang w:val="en-US" w:eastAsia="zh-CN"/>
              </w:rPr>
              <w:t>0</w:t>
            </w:r>
          </w:p>
        </w:tc>
        <w:tc>
          <w:tcPr>
            <w:tcW w:w="59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宋体" w:cs="Times New Roman"/>
                <w:color w:val="auto"/>
              </w:rPr>
            </w:pPr>
            <w:r>
              <w:rPr>
                <w:rFonts w:hint="eastAsia" w:ascii="Times New Roman" w:hAnsi="Times New Roman" w:eastAsia="仿宋_GB2312" w:cs="Times New Roman"/>
                <w:color w:val="auto"/>
                <w:szCs w:val="21"/>
                <w:lang w:val="en-US" w:eastAsia="zh-CN"/>
              </w:rPr>
              <w:t>0</w:t>
            </w:r>
          </w:p>
        </w:tc>
        <w:tc>
          <w:tcPr>
            <w:tcW w:w="59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宋体" w:cs="Times New Roman"/>
                <w:color w:val="auto"/>
              </w:rPr>
            </w:pPr>
            <w:r>
              <w:rPr>
                <w:rFonts w:hint="eastAsia" w:ascii="Times New Roman" w:hAnsi="Times New Roman" w:eastAsia="仿宋_GB2312" w:cs="Times New Roman"/>
                <w:color w:val="auto"/>
                <w:szCs w:val="21"/>
                <w:lang w:val="en-US" w:eastAsia="zh-CN"/>
              </w:rPr>
              <w:t>0</w:t>
            </w:r>
          </w:p>
        </w:tc>
        <w:tc>
          <w:tcPr>
            <w:tcW w:w="59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宋体" w:cs="Times New Roman"/>
                <w:color w:val="auto"/>
              </w:rPr>
            </w:pPr>
            <w:r>
              <w:rPr>
                <w:rFonts w:hint="eastAsia" w:ascii="Times New Roman" w:hAnsi="Times New Roman" w:eastAsia="仿宋_GB2312" w:cs="Times New Roman"/>
                <w:color w:val="auto"/>
                <w:szCs w:val="21"/>
                <w:lang w:val="en-US" w:eastAsia="zh-CN"/>
              </w:rPr>
              <w:t>0</w:t>
            </w:r>
          </w:p>
        </w:tc>
        <w:tc>
          <w:tcPr>
            <w:tcW w:w="59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宋体" w:cs="Times New Roman"/>
                <w:color w:val="auto"/>
              </w:rPr>
            </w:pPr>
            <w:r>
              <w:rPr>
                <w:rFonts w:hint="eastAsia" w:ascii="Times New Roman" w:hAnsi="Times New Roman" w:eastAsia="仿宋_GB2312" w:cs="Times New Roman"/>
                <w:color w:val="auto"/>
                <w:szCs w:val="21"/>
                <w:lang w:val="en-US" w:eastAsia="zh-CN"/>
              </w:rPr>
              <w:t>0</w:t>
            </w:r>
          </w:p>
        </w:tc>
        <w:tc>
          <w:tcPr>
            <w:tcW w:w="59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宋体" w:cs="Times New Roman"/>
                <w:color w:val="auto"/>
              </w:rPr>
            </w:pPr>
            <w:r>
              <w:rPr>
                <w:rFonts w:hint="eastAsia" w:ascii="Times New Roman" w:hAnsi="Times New Roman" w:eastAsia="仿宋_GB2312" w:cs="Times New Roman"/>
                <w:color w:val="auto"/>
                <w:szCs w:val="21"/>
                <w:lang w:val="en-US" w:eastAsia="zh-CN"/>
              </w:rPr>
              <w:t>0</w:t>
            </w:r>
          </w:p>
        </w:tc>
        <w:tc>
          <w:tcPr>
            <w:tcW w:w="59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宋体" w:cs="Times New Roman"/>
                <w:color w:val="auto"/>
              </w:rPr>
            </w:pPr>
            <w:r>
              <w:rPr>
                <w:rFonts w:hint="eastAsia" w:ascii="Times New Roman" w:hAnsi="Times New Roman" w:eastAsia="仿宋_GB2312" w:cs="Times New Roman"/>
                <w:color w:val="auto"/>
                <w:szCs w:val="21"/>
                <w:lang w:val="en-US" w:eastAsia="zh-CN"/>
              </w:rPr>
              <w:t>0</w:t>
            </w:r>
          </w:p>
        </w:tc>
        <w:tc>
          <w:tcPr>
            <w:tcW w:w="59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宋体" w:cs="Times New Roman"/>
                <w:color w:val="auto"/>
              </w:rPr>
            </w:pPr>
            <w:r>
              <w:rPr>
                <w:rFonts w:hint="eastAsia" w:ascii="Times New Roman" w:hAnsi="Times New Roman" w:eastAsia="仿宋_GB2312" w:cs="Times New Roman"/>
                <w:color w:val="auto"/>
                <w:szCs w:val="21"/>
                <w:lang w:val="en-US" w:eastAsia="zh-CN"/>
              </w:rPr>
              <w:t>0</w:t>
            </w:r>
          </w:p>
        </w:tc>
        <w:tc>
          <w:tcPr>
            <w:tcW w:w="59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宋体" w:cs="Times New Roman"/>
                <w:color w:val="auto"/>
              </w:rPr>
            </w:pPr>
            <w:r>
              <w:rPr>
                <w:rFonts w:hint="eastAsia" w:ascii="Times New Roman" w:hAnsi="Times New Roman" w:eastAsia="仿宋_GB2312" w:cs="Times New Roman"/>
                <w:color w:val="auto"/>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2"/>
          <w:szCs w:val="40"/>
          <w:lang w:val="en-US" w:eastAsia="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Times New Roman" w:hAnsi="Times New Roman" w:eastAsia="黑体" w:cs="Times New Roman"/>
          <w:b w:val="0"/>
          <w:bCs/>
          <w:i w:val="0"/>
          <w:caps w:val="0"/>
          <w:color w:val="auto"/>
          <w:spacing w:val="0"/>
          <w:kern w:val="0"/>
          <w:sz w:val="32"/>
          <w:szCs w:val="32"/>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z w:val="32"/>
          <w:szCs w:val="40"/>
          <w:lang w:val="en-US" w:eastAsia="zh-CN"/>
        </w:rPr>
      </w:pPr>
      <w:r>
        <w:rPr>
          <w:rFonts w:hint="eastAsia" w:ascii="Times New Roman" w:hAnsi="Times New Roman" w:eastAsia="黑体" w:cs="Times New Roman"/>
          <w:b w:val="0"/>
          <w:bCs/>
          <w:i w:val="0"/>
          <w:caps w:val="0"/>
          <w:color w:val="auto"/>
          <w:spacing w:val="0"/>
          <w:kern w:val="0"/>
          <w:sz w:val="32"/>
          <w:szCs w:val="32"/>
          <w:shd w:val="clear" w:color="auto" w:fill="FFFFFF"/>
          <w:lang w:val="en-US" w:eastAsia="zh-CN" w:bidi="ar"/>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本年度北庄镇政务公开工作虽然取得了一定成绩，但是距离群众期盼还有一定差距，具体表现在：一是公开内容精准性有待提升，部分领域信息公开不够细化，与群众实际需求契合度不高，如惠民政策的申请条件、办理流程等信息解读不够直观易懂。二是公开形式创新性不足，线上公开以文字发布为主，可视化、互动性较强的公开形式应用较少，线下公开渠道的信息更新及时性有待加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下一步，北庄镇精准施策推进整改。一是提升内容精准度，积极开展群众需求调研，梳理形成高频公开事项清单，对惠民政策、项目审批等重点信息，制作通俗易懂的图文手册和流程导图，进一步提升内容精准度。二是创新公开形式，在便民服务中心设置电子显示屏，滚动播放重点公开信息；完善村级信息公开制度，确保重点内容及时更新。三是强化能力建设，建立健全信息公开审核责任制，明确各部门信息公开第一责任人，确保公开信息准确规范。​</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z w:val="32"/>
          <w:szCs w:val="40"/>
          <w:lang w:val="en-US" w:eastAsia="zh-CN"/>
        </w:rPr>
      </w:pPr>
      <w:r>
        <w:rPr>
          <w:rFonts w:hint="eastAsia" w:ascii="Times New Roman" w:hAnsi="Times New Roman" w:eastAsia="黑体" w:cs="Times New Roman"/>
          <w:b w:val="0"/>
          <w:bCs/>
          <w:i w:val="0"/>
          <w:caps w:val="0"/>
          <w:color w:val="auto"/>
          <w:spacing w:val="0"/>
          <w:kern w:val="0"/>
          <w:sz w:val="32"/>
          <w:szCs w:val="32"/>
          <w:shd w:val="clear" w:color="auto" w:fill="FFFFFF"/>
          <w:lang w:val="en-US" w:eastAsia="zh-CN" w:bidi="ar"/>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sz w:val="32"/>
          <w:szCs w:val="40"/>
          <w:lang w:val="en-US" w:eastAsia="zh-CN"/>
        </w:rPr>
        <w:t>（一）依申请公开信息处理费收费情况​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2025年，北庄镇严格按照《政府信息公开信息处理费管理办法》规定，未向申请人收取任何政府信息公开信息处理费，收费相关通知件数、总金额及实际收取金额均为0。​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sz w:val="32"/>
          <w:szCs w:val="40"/>
          <w:lang w:val="en-US" w:eastAsia="zh-CN"/>
        </w:rPr>
        <w:t>（二）落实上级年度政务公开工作要点情况​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全面落实枣庄市、山亭区2025年度政务公开工作要点，确保做好相关政务公开工作。​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sz w:val="32"/>
          <w:szCs w:val="40"/>
          <w:lang w:val="en-US" w:eastAsia="zh-CN"/>
        </w:rPr>
        <w:t>（三）本年度建议提案办理情况​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2025年北庄镇共承办区级人大代表建议2件，其中主办1件、协办1件。承办区级政协提案4件，均为协办件。所有主办及协办事项已于2025年10月底前全部规范办结，主办件办理结果已在区政府官网政务公开栏向社会公开。办理过程中，我镇坚持先沟通后办理的原则，通过电话联系并主动征求面复意愿，实现了代表、委员要求的面复率100%。代表和委员对我单位的办理态度和办理结果均表示充分肯定与高度评价，整体满意率达到100%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sz w:val="32"/>
          <w:szCs w:val="40"/>
          <w:lang w:val="en-US" w:eastAsia="zh-CN"/>
        </w:rPr>
        <w:t>（四）政务公开创新实践情况​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创新推行“政务公开+项目管家”服务模式，将重点项目的审批流程、进展情况等信息纳入项目管家服务内容，为企业提供“一对一”信息推送和解读服务。强化开门见“山”政务公开专区建设，进一步完善智能设备配备，设置政务公开专职人员，确保平台规范、高效运行。</w:t>
      </w:r>
    </w:p>
    <w:sectPr>
      <w:pgSz w:w="11906" w:h="16838"/>
      <w:pgMar w:top="1928"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C95079"/>
    <w:rsid w:val="4B11183E"/>
    <w:rsid w:val="4E5857A7"/>
    <w:rsid w:val="5A354FAF"/>
    <w:rsid w:val="639032E2"/>
    <w:rsid w:val="789A4774"/>
    <w:rsid w:val="B7D78792"/>
    <w:rsid w:val="DFDF1174"/>
    <w:rsid w:val="F77DC825"/>
    <w:rsid w:val="F9FE0F6F"/>
    <w:rsid w:val="FB4FD5E9"/>
    <w:rsid w:val="FB7E8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2476</Words>
  <Characters>2526</Characters>
  <Lines>0</Lines>
  <Paragraphs>0</Paragraphs>
  <TotalTime>0</TotalTime>
  <ScaleCrop>false</ScaleCrop>
  <LinksUpToDate>false</LinksUpToDate>
  <CharactersWithSpaces>2526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2026-01-15T07:15:00Z</dcterms:created>
  <dc:creator>Administrator</dc:creator>
  <cp:lastModifiedBy>user</cp:lastModifiedBy>
  <dcterms:modified xsi:type="dcterms:W3CDTF">2026-01-26T15:16:43Z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eyJoZGlkIjoiZjM0MTk0NWU0MDNjMzlmYmYyYjEyNmIzZWFhYTMwMjUiLCJ1c2VySWQiOiIyNzA4OTIwMzgifQ==</vt:lpwstr>
  </property>
  <property fmtid="{D5CDD505-2E9C-101B-9397-08002B2CF9AE}" pid="4" name="ICV">
    <vt:lpwstr>F39C1BC2DA9C456599FE060FAB38E69E_12</vt:lpwstr>
  </property>
</Properties>
</file>