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i w:val="0"/>
          <w:caps w:val="0"/>
          <w:color w:val="000000"/>
          <w:spacing w:val="0"/>
          <w:kern w:val="0"/>
          <w:sz w:val="44"/>
          <w:szCs w:val="44"/>
          <w:lang w:val="en-US" w:eastAsia="zh-CN" w:bidi="ar"/>
        </w:rPr>
        <w:t>山亭区凫城镇2025年</w:t>
      </w:r>
      <w:r>
        <w:rPr>
          <w:rFonts w:hint="eastAsia" w:ascii="方正小标宋简体" w:hAnsi="方正小标宋简体" w:eastAsia="方正小标宋简体" w:cs="方正小标宋简体"/>
          <w:b w:val="0"/>
          <w:bCs w:val="0"/>
          <w:sz w:val="44"/>
          <w:szCs w:val="44"/>
        </w:rPr>
        <w:t>政府信息公开</w:t>
      </w:r>
    </w:p>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i w:val="0"/>
          <w:caps w:val="0"/>
          <w:color w:val="000000"/>
          <w:spacing w:val="0"/>
          <w:kern w:val="0"/>
          <w:sz w:val="44"/>
          <w:szCs w:val="44"/>
          <w:lang w:val="en-US" w:eastAsia="zh-CN" w:bidi="ar"/>
        </w:rPr>
      </w:pPr>
      <w:r>
        <w:rPr>
          <w:rFonts w:hint="eastAsia" w:ascii="方正小标宋简体" w:hAnsi="方正小标宋简体" w:eastAsia="方正小标宋简体" w:cs="方正小标宋简体"/>
          <w:b w:val="0"/>
          <w:bCs w:val="0"/>
          <w:sz w:val="44"/>
          <w:szCs w:val="44"/>
        </w:rPr>
        <w:t>工作年度报告</w:t>
      </w:r>
    </w:p>
    <w:p>
      <w:pPr>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eastAsia="仿宋_GB2312"/>
          <w:b w:val="0"/>
          <w:bCs w:val="0"/>
          <w:sz w:val="32"/>
          <w:szCs w:val="32"/>
          <w:lang w:val="en-US" w:eastAsia="zh-CN"/>
        </w:rPr>
      </w:pPr>
    </w:p>
    <w:p>
      <w:pPr>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根据新修订的《中华人民共和国政府信息公开条例》和《国务院办公厅政府信息与政务公开办公室关于印发&lt;中华人民共和国政府信息公开工作年度报告格式&gt;的通知》相关要求编制本报告，内容包括总体情况、主动公开政府信息情况、收到和处理政府信息公开申请情况、政府信息公开行政复议和行政诉讼情况存在的主要问题及改进情况、其他需要报告的事项等六个部分本报告所列数据的统计时限自2025年1月1日至2025年12月31日。本报告电子版可从山亭区政府网站(http: //www.</w:t>
      </w:r>
      <w:bookmarkStart w:id="9" w:name="_GoBack"/>
      <w:bookmarkEnd w:id="9"/>
      <w:r>
        <w:rPr>
          <w:rFonts w:hint="eastAsia" w:ascii="仿宋_GB2312" w:eastAsia="仿宋_GB2312"/>
          <w:b w:val="0"/>
          <w:bCs w:val="0"/>
          <w:sz w:val="32"/>
          <w:szCs w:val="32"/>
          <w:lang w:val="en-US" w:eastAsia="zh-CN"/>
        </w:rPr>
        <w:t>shanting.gov.cn/)下载。如对本报告有疑问，可与山亭区凫城镇人民政府联系(地址:山亭区凫城镇驻地办公楼二楼办公室，邮编:277200，电话:0632-8573108，传真:0632-8573108)。</w:t>
      </w:r>
    </w:p>
    <w:p>
      <w:pPr>
        <w:pageBreakBefore w:val="0"/>
        <w:widowControl w:val="0"/>
        <w:numPr>
          <w:ilvl w:val="0"/>
          <w:numId w:val="0"/>
        </w:numPr>
        <w:kinsoku/>
        <w:wordWrap/>
        <w:overflowPunct/>
        <w:topLinePunct w:val="0"/>
        <w:autoSpaceDE/>
        <w:autoSpaceDN/>
        <w:bidi w:val="0"/>
        <w:adjustRightInd/>
        <w:snapToGrid/>
        <w:spacing w:before="0" w:after="0" w:line="560" w:lineRule="exact"/>
        <w:ind w:left="0" w:firstLine="640" w:firstLineChars="200"/>
        <w:jc w:val="both"/>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一、</w:t>
      </w:r>
      <w:r>
        <w:rPr>
          <w:rFonts w:hint="eastAsia" w:ascii="黑体" w:hAnsi="黑体" w:eastAsia="黑体" w:cs="黑体"/>
          <w:b w:val="0"/>
          <w:bCs w:val="0"/>
          <w:sz w:val="32"/>
          <w:szCs w:val="32"/>
        </w:rPr>
        <w:t>总体情况</w:t>
      </w:r>
    </w:p>
    <w:p>
      <w:pPr>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2025年，我镇在区委、区政府领导下，严格遵循《中华人民共和国政府信息公开条例》要求，锚定服务群众核心导向，规范公开流程、拓宽公开渠道、强化内容审核，全面提升政府信息公开规范化水平，有效保障群众知情权、参与权和监督权。</w:t>
      </w:r>
    </w:p>
    <w:p>
      <w:pPr>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rPr>
        <w:t>主动公开</w:t>
      </w:r>
      <w:r>
        <w:rPr>
          <w:rFonts w:hint="eastAsia" w:ascii="楷体_GB2312" w:hAnsi="楷体_GB2312" w:eastAsia="楷体_GB2312" w:cs="楷体_GB2312"/>
          <w:b w:val="0"/>
          <w:bCs w:val="0"/>
          <w:sz w:val="32"/>
          <w:szCs w:val="32"/>
          <w:lang w:val="en-US" w:eastAsia="zh-CN"/>
        </w:rPr>
        <w:t>方面</w:t>
      </w:r>
    </w:p>
    <w:p>
      <w:pPr>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outlineLvl w:val="9"/>
        <w:rPr>
          <w:rFonts w:hint="eastAsia" w:ascii="仿宋_GB2312" w:eastAsia="仿宋_GB2312"/>
          <w:sz w:val="32"/>
          <w:szCs w:val="32"/>
          <w:lang w:eastAsia="zh-CN"/>
        </w:rPr>
      </w:pPr>
      <w:r>
        <w:rPr>
          <w:rFonts w:hint="eastAsia" w:ascii="仿宋_GB2312" w:eastAsia="仿宋_GB2312"/>
          <w:b w:val="0"/>
          <w:bCs w:val="0"/>
          <w:sz w:val="32"/>
          <w:szCs w:val="32"/>
          <w:lang w:val="en-US" w:eastAsia="zh-CN"/>
        </w:rPr>
        <w:t>本年度，我镇持续加大信息公开力度，严格对标《中华人民共和国政府信息公开条例》第二十条规定，全面梳理并主动公开法定公开信息，同时结合工作实际公开部门重点工作、民生实事等其他政府信息，同步做好社会关切回应工作。公开渠道上，除通过山亭区政府门户网站常态化推送信息外，还精心组织“政府开放月”活动，邀请人大代表、党代表、政协委员及群众代表“零距离”参观镇便民服务中心、体验政务服务全流程，有效拓宽政务公开维度，进一步提升了群众对政府工作的知晓度、参与度和满意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二</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依申请公开</w:t>
      </w:r>
      <w:r>
        <w:rPr>
          <w:rFonts w:hint="eastAsia" w:ascii="楷体_GB2312" w:hAnsi="楷体_GB2312" w:eastAsia="楷体_GB2312" w:cs="楷体_GB2312"/>
          <w:b w:val="0"/>
          <w:bCs w:val="0"/>
          <w:sz w:val="32"/>
          <w:szCs w:val="32"/>
          <w:lang w:val="en-US" w:eastAsia="zh-CN"/>
        </w:rPr>
        <w:t>工作方面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本年度，我镇严格规范依申请公开工作流程，扎实做好申请接收、登记、审核、办理、答复等各环节工作。全年共收到政府信息公开申请1件，已在法定期限内办结答复。同时，进一步健全依申请公开制度规范，明确办理标准和时限要求，确保工作有序高效推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三</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政府信息管理</w:t>
      </w:r>
      <w:r>
        <w:rPr>
          <w:rFonts w:hint="eastAsia" w:ascii="楷体_GB2312" w:hAnsi="楷体_GB2312" w:eastAsia="楷体_GB2312" w:cs="楷体_GB2312"/>
          <w:b w:val="0"/>
          <w:bCs w:val="0"/>
          <w:sz w:val="32"/>
          <w:szCs w:val="32"/>
          <w:lang w:val="en-US"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本年度，我镇严格对标《中华人民共和国政府信息公开条例》要求，全面强化政府信息管理规范化建设。一是完善主动公开目录体系，结合镇域工作实际动态更新公开目录，精准梳理公开事项、明确公开范围与时限，确保公开内容清晰规范、精准适配群众需求。二是健全全生命周期管理制度，从政府信息生成、审核、发布、归档到更新、撤销等各环节制定标准化流程，实现信息管理闭环管控。</w:t>
      </w:r>
      <w:r>
        <w:rPr>
          <w:rFonts w:hint="eastAsia" w:ascii="仿宋_GB2312" w:eastAsia="仿宋_GB2312"/>
          <w:b w:val="0"/>
          <w:bCs w:val="0"/>
          <w:sz w:val="32"/>
          <w:szCs w:val="32"/>
          <w:highlight w:val="none"/>
          <w:lang w:val="en-US" w:eastAsia="zh-CN"/>
        </w:rPr>
        <w:t>三是</w:t>
      </w:r>
      <w:r>
        <w:rPr>
          <w:rFonts w:hint="eastAsia" w:ascii="仿宋_GB2312" w:eastAsia="仿宋_GB2312"/>
          <w:b w:val="0"/>
          <w:bCs w:val="0"/>
          <w:sz w:val="32"/>
          <w:szCs w:val="32"/>
          <w:lang w:val="en-US" w:eastAsia="zh-CN"/>
        </w:rPr>
        <w:t>筑牢保密审查防线，严格执行政府信息公开保密审查制度，建立“事前审查、事中监管、事后复核”全链条审查机制，明确审查责任主体与流程，全年未发生信息公开泄密问题。同时，结合职能分工细化责任清单，层层压实责任，有效提升工作落实质效与执行效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eastAsia="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（四）</w:t>
      </w:r>
      <w:r>
        <w:rPr>
          <w:rFonts w:hint="eastAsia" w:ascii="楷体_GB2312" w:hAnsi="楷体_GB2312" w:eastAsia="楷体_GB2312" w:cs="楷体_GB2312"/>
          <w:b w:val="0"/>
          <w:bCs w:val="0"/>
          <w:sz w:val="32"/>
          <w:szCs w:val="32"/>
        </w:rPr>
        <w:t>平台建设</w:t>
      </w:r>
      <w:r>
        <w:rPr>
          <w:rFonts w:hint="eastAsia" w:ascii="楷体_GB2312" w:hAnsi="楷体_GB2312" w:eastAsia="楷体_GB2312" w:cs="楷体_GB2312"/>
          <w:b w:val="0"/>
          <w:bCs w:val="0"/>
          <w:sz w:val="32"/>
          <w:szCs w:val="32"/>
          <w:lang w:val="en-US" w:eastAsia="zh-CN"/>
        </w:rPr>
        <w:t>方面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本年度，我镇统筹推进线上线下公开平台规范化建设，全面提升信息公开便捷度与覆盖面。一是强化线上平台管理，严格落实网站集约化建设要求，在山亭区政府门户网站规范设置的政府信息公开专栏中提报相关内容，明确党政办公室专人负责公开内容的编写、审议、提报及专栏相关信息的日常维护，确保信息发布及时、准确、高效；同时，定期提报镇街工作动态等党政信息，增强公开内容的生动性与可读性。二是完善线下公开渠道，按照上级部署在政务大厅建设开门见“山”政务公开专区，规范设置政务公开文件栏、政府公报公开栏，配备电脑、打印机等便民设备，为群众查阅信息、咨询政策提供“一站式”便捷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lang w:val="en-US" w:eastAsia="zh-CN"/>
        </w:rPr>
        <w:t>五</w:t>
      </w:r>
      <w:r>
        <w:rPr>
          <w:rFonts w:hint="eastAsia" w:ascii="楷体_GB2312" w:hAnsi="楷体_GB2312" w:eastAsia="楷体_GB2312" w:cs="楷体_GB2312"/>
          <w:b w:val="0"/>
          <w:bCs w:val="0"/>
          <w:sz w:val="32"/>
          <w:szCs w:val="32"/>
          <w:lang w:eastAsia="zh-CN"/>
        </w:rPr>
        <w:t>）</w:t>
      </w:r>
      <w:r>
        <w:rPr>
          <w:rFonts w:hint="eastAsia" w:ascii="楷体_GB2312" w:hAnsi="楷体_GB2312" w:eastAsia="楷体_GB2312" w:cs="楷体_GB2312"/>
          <w:b w:val="0"/>
          <w:bCs w:val="0"/>
          <w:sz w:val="32"/>
          <w:szCs w:val="32"/>
        </w:rPr>
        <w:t>监督保障</w:t>
      </w:r>
      <w:r>
        <w:rPr>
          <w:rFonts w:hint="eastAsia" w:ascii="楷体_GB2312" w:hAnsi="楷体_GB2312" w:eastAsia="楷体_GB2312" w:cs="楷体_GB2312"/>
          <w:b w:val="0"/>
          <w:bCs w:val="0"/>
          <w:sz w:val="32"/>
          <w:szCs w:val="32"/>
          <w:lang w:val="en-US" w:eastAsia="zh-CN"/>
        </w:rPr>
        <w:t>情况</w:t>
      </w:r>
    </w:p>
    <w:p>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一是健全体</w:t>
      </w:r>
      <w:r>
        <w:rPr>
          <w:rFonts w:hint="eastAsia" w:ascii="仿宋_GB2312" w:eastAsia="仿宋_GB2312"/>
          <w:b w:val="0"/>
          <w:bCs w:val="0"/>
          <w:color w:val="auto"/>
          <w:sz w:val="32"/>
          <w:szCs w:val="32"/>
          <w:lang w:val="en-US" w:eastAsia="zh-CN"/>
        </w:rPr>
        <w:t>制机制</w:t>
      </w:r>
      <w:r>
        <w:rPr>
          <w:rFonts w:hint="eastAsia" w:ascii="仿宋_GB2312" w:eastAsia="仿宋_GB2312"/>
          <w:b w:val="0"/>
          <w:bCs w:val="0"/>
          <w:sz w:val="32"/>
          <w:szCs w:val="32"/>
          <w:lang w:val="en-US" w:eastAsia="zh-CN"/>
        </w:rPr>
        <w:t>，明确职责分工，构建“主要领导亲自抓、分管领导具体抓、</w:t>
      </w:r>
      <w:r>
        <w:rPr>
          <w:rFonts w:hint="eastAsia" w:ascii="仿宋_GB2312" w:eastAsia="仿宋_GB2312"/>
          <w:b w:val="0"/>
          <w:bCs w:val="0"/>
          <w:sz w:val="32"/>
          <w:szCs w:val="32"/>
          <w:highlight w:val="none"/>
          <w:lang w:val="en-US" w:eastAsia="zh-CN"/>
        </w:rPr>
        <w:t>镇各岗位协同配合”</w:t>
      </w:r>
      <w:r>
        <w:rPr>
          <w:rFonts w:hint="eastAsia" w:ascii="仿宋_GB2312" w:eastAsia="仿宋_GB2312"/>
          <w:b w:val="0"/>
          <w:bCs w:val="0"/>
          <w:sz w:val="32"/>
          <w:szCs w:val="32"/>
          <w:lang w:val="en-US" w:eastAsia="zh-CN"/>
        </w:rPr>
        <w:t>的工作格局，确保工作落地见效。二是强化人财保障，明确党政办公室为牵头科室，配备2名专职人员，足额保障政务公开工作宣传推广等工作经费，夯实工作基础。三是提升业务能力，结合年度重点开展政务公开业务培训3次，覆盖条例解读、流程规范等内容，培训干部职工50余人次，推动工作规范化发展。</w:t>
      </w:r>
    </w:p>
    <w:p>
      <w:pPr>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ascii="方正小标宋简体" w:eastAsia="方正小标宋简体"/>
          <w:sz w:val="44"/>
          <w:szCs w:val="44"/>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主动公开政府信息情况</w:t>
      </w:r>
    </w:p>
    <w:tbl>
      <w:tblPr>
        <w:tblStyle w:val="7"/>
        <w:tblW w:w="5000" w:type="pct"/>
        <w:tblInd w:w="0" w:type="dxa"/>
        <w:tblLayout w:type="fixed"/>
        <w:tblCellMar>
          <w:top w:w="0" w:type="dxa"/>
          <w:left w:w="108" w:type="dxa"/>
          <w:bottom w:w="0" w:type="dxa"/>
          <w:right w:w="108" w:type="dxa"/>
        </w:tblCellMar>
      </w:tblPr>
      <w:tblGrid>
        <w:gridCol w:w="2265"/>
        <w:gridCol w:w="2265"/>
        <w:gridCol w:w="2265"/>
        <w:gridCol w:w="2265"/>
      </w:tblGrid>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noWrap w:val="0"/>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both"/>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widowControl/>
              <w:jc w:val="both"/>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eastAsia="仿宋_GB2312" w:cs="Calibri"/>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noWrap w:val="0"/>
            <w:vAlign w:val="center"/>
          </w:tcPr>
          <w:p>
            <w:pPr>
              <w:keepNext w:val="0"/>
              <w:keepLines w:val="0"/>
              <w:widowControl/>
              <w:suppressLineNumbers w:val="0"/>
              <w:jc w:val="both"/>
              <w:rPr>
                <w:rFonts w:hint="default" w:ascii="仿宋_GB2312" w:hAnsi="Calibri" w:eastAsia="仿宋_GB2312" w:cs="Calibri"/>
                <w:color w:val="000000"/>
                <w:kern w:val="0"/>
                <w:szCs w:val="21"/>
                <w:lang w:val="en-US" w:eastAsia="zh-CN"/>
              </w:rPr>
            </w:pPr>
            <w:r>
              <w:rPr>
                <w:rFonts w:hint="eastAsia" w:ascii="仿宋_GB2312" w:eastAsia="仿宋_GB2312" w:cs="Calibri"/>
                <w:color w:val="000000"/>
                <w:kern w:val="0"/>
                <w:szCs w:val="21"/>
                <w:lang w:val="en-US" w:eastAsia="zh-CN"/>
              </w:rPr>
              <w:t xml:space="preserve"> 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both"/>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both"/>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rPr>
              <w:t>　</w:t>
            </w:r>
            <w:r>
              <w:rPr>
                <w:rFonts w:hint="eastAsia" w:ascii="仿宋_GB2312" w:hAnsi="宋体" w:eastAsia="仿宋_GB2312" w:cs="宋体"/>
                <w:color w:val="000000"/>
                <w:kern w:val="0"/>
                <w:szCs w:val="21"/>
                <w:lang w:val="en-US" w:eastAsia="zh-CN"/>
              </w:rPr>
              <w:t>0</w:t>
            </w:r>
          </w:p>
        </w:tc>
      </w:tr>
      <w:tr>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widowControl/>
              <w:jc w:val="both"/>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noWrap w:val="0"/>
            <w:vAlign w:val="center"/>
          </w:tcPr>
          <w:p>
            <w:pPr>
              <w:widowControl/>
              <w:jc w:val="both"/>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noWrap w:val="0"/>
            <w:vAlign w:val="center"/>
          </w:tcPr>
          <w:p>
            <w:pPr>
              <w:widowControl/>
              <w:jc w:val="both"/>
              <w:rPr>
                <w:rFonts w:hint="eastAsia" w:ascii="仿宋_GB2312" w:hAnsi="Calibri" w:eastAsia="仿宋_GB2312" w:cs="Calibri"/>
                <w:color w:val="000000"/>
                <w:kern w:val="0"/>
                <w:szCs w:val="21"/>
                <w:lang w:val="en-US" w:eastAsia="zh-CN"/>
              </w:rPr>
            </w:pPr>
            <w:r>
              <w:rPr>
                <w:rFonts w:hint="eastAsia" w:ascii="仿宋_GB2312" w:hAnsi="Calibri" w:eastAsia="仿宋_GB2312" w:cs="Calibri"/>
                <w:color w:val="000000"/>
                <w:kern w:val="0"/>
                <w:szCs w:val="21"/>
              </w:rPr>
              <w:t>　</w:t>
            </w:r>
            <w:r>
              <w:rPr>
                <w:rFonts w:hint="eastAsia" w:ascii="仿宋_GB2312" w:eastAsia="仿宋_GB2312" w:cs="Calibri"/>
                <w:color w:val="000000"/>
                <w:kern w:val="0"/>
                <w:szCs w:val="21"/>
                <w:lang w:val="en-US" w:eastAsia="zh-CN"/>
              </w:rPr>
              <w:t>0</w:t>
            </w:r>
          </w:p>
        </w:tc>
      </w:tr>
    </w:tbl>
    <w:p>
      <w:pPr>
        <w:jc w:val="both"/>
        <w:rPr>
          <w:rFonts w:hint="eastAsia" w:ascii="黑体" w:hAnsi="黑体" w:eastAsia="黑体"/>
          <w:sz w:val="32"/>
          <w:szCs w:val="32"/>
          <w:lang w:val="en-US" w:eastAsia="zh-CN"/>
        </w:rPr>
      </w:pPr>
    </w:p>
    <w:p>
      <w:pPr>
        <w:ind w:firstLine="640" w:firstLineChars="200"/>
        <w:jc w:val="both"/>
        <w:rPr>
          <w:rFonts w:hint="eastAsia" w:ascii="黑体" w:hAnsi="黑体" w:eastAsia="黑体"/>
          <w:sz w:val="32"/>
          <w:szCs w:val="32"/>
          <w:lang w:eastAsia="zh-CN"/>
        </w:rPr>
      </w:pPr>
      <w:r>
        <w:rPr>
          <w:rFonts w:hint="eastAsia" w:ascii="黑体" w:hAnsi="黑体" w:eastAsia="黑体"/>
          <w:sz w:val="32"/>
          <w:szCs w:val="32"/>
          <w:lang w:val="en-US" w:eastAsia="zh-CN"/>
        </w:rPr>
        <w:t>三、</w:t>
      </w:r>
      <w:r>
        <w:rPr>
          <w:rFonts w:hint="eastAsia" w:ascii="黑体" w:hAnsi="黑体" w:eastAsia="黑体"/>
          <w:sz w:val="32"/>
          <w:szCs w:val="32"/>
          <w:lang w:eastAsia="zh-CN"/>
        </w:rPr>
        <w:t>收到和处理政府信息公开申请情况</w:t>
      </w:r>
    </w:p>
    <w:tbl>
      <w:tblPr>
        <w:tblStyle w:val="7"/>
        <w:tblpPr w:leftFromText="180" w:rightFromText="180" w:vertAnchor="text" w:horzAnchor="page" w:tblpX="1564" w:tblpY="831"/>
        <w:tblOverlap w:val="never"/>
        <w:tblW w:w="5000"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93"/>
        <w:gridCol w:w="1537"/>
        <w:gridCol w:w="2671"/>
        <w:gridCol w:w="762"/>
        <w:gridCol w:w="529"/>
        <w:gridCol w:w="529"/>
        <w:gridCol w:w="675"/>
        <w:gridCol w:w="654"/>
        <w:gridCol w:w="529"/>
        <w:gridCol w:w="78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trPr>
        <w:tc>
          <w:tcPr>
            <w:tcW w:w="4601" w:type="dxa"/>
            <w:gridSpan w:val="3"/>
            <w:vMerge w:val="restart"/>
            <w:noWrap w:val="0"/>
            <w:tcMar>
              <w:left w:w="108" w:type="dxa"/>
              <w:right w:w="108" w:type="dxa"/>
            </w:tcMar>
            <w:vAlign w:val="center"/>
          </w:tcPr>
          <w:p>
            <w:pPr>
              <w:widowControl/>
              <w:jc w:val="both"/>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pPr>
              <w:widowControl/>
              <w:jc w:val="both"/>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459" w:type="dxa"/>
            <w:gridSpan w:val="7"/>
            <w:noWrap w:val="0"/>
            <w:tcMar>
              <w:left w:w="108" w:type="dxa"/>
              <w:right w:w="108" w:type="dxa"/>
            </w:tcMar>
            <w:vAlign w:val="center"/>
          </w:tcPr>
          <w:p>
            <w:pPr>
              <w:widowControl/>
              <w:spacing w:line="320" w:lineRule="exact"/>
              <w:jc w:val="both"/>
              <w:rPr>
                <w:rFonts w:ascii="黑体" w:hAnsi="黑体" w:eastAsia="黑体"/>
                <w:szCs w:val="21"/>
              </w:rPr>
            </w:pPr>
            <w:r>
              <w:rPr>
                <w:rFonts w:hint="eastAsia" w:ascii="黑体" w:hAnsi="黑体" w:eastAsia="黑体"/>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trPr>
        <w:tc>
          <w:tcPr>
            <w:tcW w:w="4601" w:type="dxa"/>
            <w:gridSpan w:val="3"/>
            <w:vMerge w:val="continue"/>
            <w:noWrap w:val="0"/>
            <w:tcMar>
              <w:left w:w="108" w:type="dxa"/>
              <w:right w:w="108" w:type="dxa"/>
            </w:tcMar>
            <w:vAlign w:val="center"/>
          </w:tcPr>
          <w:p>
            <w:pPr>
              <w:jc w:val="both"/>
              <w:rPr>
                <w:rFonts w:ascii="仿宋_GB2312" w:hAnsi="Times New Roman" w:eastAsia="仿宋_GB2312"/>
                <w:szCs w:val="21"/>
              </w:rPr>
            </w:pPr>
          </w:p>
        </w:tc>
        <w:tc>
          <w:tcPr>
            <w:tcW w:w="762" w:type="dxa"/>
            <w:vMerge w:val="restart"/>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自然人</w:t>
            </w:r>
          </w:p>
        </w:tc>
        <w:tc>
          <w:tcPr>
            <w:tcW w:w="2916" w:type="dxa"/>
            <w:gridSpan w:val="5"/>
            <w:noWrap w:val="0"/>
            <w:tcMar>
              <w:left w:w="108" w:type="dxa"/>
              <w:right w:w="108" w:type="dxa"/>
            </w:tcMar>
            <w:vAlign w:val="center"/>
          </w:tcPr>
          <w:p>
            <w:pPr>
              <w:widowControl/>
              <w:spacing w:line="320" w:lineRule="exact"/>
              <w:jc w:val="both"/>
              <w:rPr>
                <w:rFonts w:ascii="黑体" w:hAnsi="黑体" w:eastAsia="黑体"/>
                <w:szCs w:val="21"/>
              </w:rPr>
            </w:pPr>
            <w:r>
              <w:rPr>
                <w:rFonts w:hint="eastAsia" w:ascii="黑体" w:hAnsi="黑体" w:eastAsia="黑体"/>
                <w:kern w:val="0"/>
                <w:szCs w:val="21"/>
              </w:rPr>
              <w:t>法人或其他组织</w:t>
            </w:r>
          </w:p>
        </w:tc>
        <w:tc>
          <w:tcPr>
            <w:tcW w:w="781" w:type="dxa"/>
            <w:vMerge w:val="restart"/>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trPr>
        <w:tc>
          <w:tcPr>
            <w:tcW w:w="4601" w:type="dxa"/>
            <w:gridSpan w:val="3"/>
            <w:vMerge w:val="continue"/>
            <w:noWrap w:val="0"/>
            <w:tcMar>
              <w:left w:w="108" w:type="dxa"/>
              <w:right w:w="108" w:type="dxa"/>
            </w:tcMar>
            <w:vAlign w:val="center"/>
          </w:tcPr>
          <w:p>
            <w:pPr>
              <w:jc w:val="both"/>
              <w:rPr>
                <w:rFonts w:ascii="仿宋_GB2312" w:hAnsi="Times New Roman" w:eastAsia="仿宋_GB2312"/>
                <w:szCs w:val="21"/>
              </w:rPr>
            </w:pPr>
          </w:p>
        </w:tc>
        <w:tc>
          <w:tcPr>
            <w:tcW w:w="762" w:type="dxa"/>
            <w:vMerge w:val="continue"/>
            <w:noWrap w:val="0"/>
            <w:tcMar>
              <w:left w:w="108" w:type="dxa"/>
              <w:right w:w="108" w:type="dxa"/>
            </w:tcMar>
            <w:vAlign w:val="center"/>
          </w:tcPr>
          <w:p>
            <w:pPr>
              <w:jc w:val="both"/>
              <w:rPr>
                <w:rFonts w:ascii="黑体" w:hAnsi="黑体" w:eastAsia="黑体"/>
                <w:szCs w:val="21"/>
              </w:rPr>
            </w:pPr>
          </w:p>
        </w:tc>
        <w:tc>
          <w:tcPr>
            <w:tcW w:w="529" w:type="dxa"/>
            <w:noWrap w:val="0"/>
            <w:tcMar>
              <w:left w:w="108" w:type="dxa"/>
              <w:right w:w="108" w:type="dxa"/>
            </w:tcMar>
            <w:vAlign w:val="center"/>
          </w:tcPr>
          <w:p>
            <w:pPr>
              <w:widowControl/>
              <w:spacing w:line="320" w:lineRule="exact"/>
              <w:ind w:left="-106" w:leftChars="-51" w:right="-107" w:rightChars="-51" w:hanging="1"/>
              <w:jc w:val="both"/>
              <w:rPr>
                <w:rFonts w:ascii="黑体" w:hAnsi="黑体" w:eastAsia="黑体"/>
                <w:szCs w:val="21"/>
              </w:rPr>
            </w:pPr>
            <w:r>
              <w:rPr>
                <w:rFonts w:hint="eastAsia" w:ascii="黑体" w:hAnsi="黑体" w:eastAsia="黑体"/>
                <w:kern w:val="0"/>
                <w:szCs w:val="21"/>
              </w:rPr>
              <w:t>商业企业</w:t>
            </w:r>
          </w:p>
        </w:tc>
        <w:tc>
          <w:tcPr>
            <w:tcW w:w="529" w:type="dxa"/>
            <w:noWrap w:val="0"/>
            <w:tcMar>
              <w:left w:w="108" w:type="dxa"/>
              <w:right w:w="108" w:type="dxa"/>
            </w:tcMar>
            <w:vAlign w:val="center"/>
          </w:tcPr>
          <w:p>
            <w:pPr>
              <w:widowControl/>
              <w:spacing w:line="320" w:lineRule="exact"/>
              <w:ind w:left="-107" w:leftChars="-51" w:right="-107" w:rightChars="-51"/>
              <w:jc w:val="both"/>
              <w:rPr>
                <w:rFonts w:ascii="黑体" w:hAnsi="黑体" w:eastAsia="黑体"/>
                <w:szCs w:val="21"/>
              </w:rPr>
            </w:pPr>
            <w:r>
              <w:rPr>
                <w:rFonts w:hint="eastAsia" w:ascii="黑体" w:hAnsi="黑体" w:eastAsia="黑体"/>
                <w:kern w:val="0"/>
                <w:szCs w:val="21"/>
              </w:rPr>
              <w:t>科研机构</w:t>
            </w:r>
          </w:p>
        </w:tc>
        <w:tc>
          <w:tcPr>
            <w:tcW w:w="675" w:type="dxa"/>
            <w:noWrap w:val="0"/>
            <w:tcMar>
              <w:left w:w="108" w:type="dxa"/>
              <w:right w:w="108" w:type="dxa"/>
            </w:tcMar>
            <w:vAlign w:val="center"/>
          </w:tcPr>
          <w:p>
            <w:pPr>
              <w:widowControl/>
              <w:spacing w:line="320" w:lineRule="exact"/>
              <w:ind w:left="-107" w:leftChars="-51" w:right="-107" w:rightChars="-51"/>
              <w:jc w:val="both"/>
              <w:rPr>
                <w:rFonts w:ascii="黑体" w:hAnsi="黑体" w:eastAsia="黑体"/>
                <w:szCs w:val="21"/>
              </w:rPr>
            </w:pPr>
            <w:r>
              <w:rPr>
                <w:rFonts w:hint="eastAsia" w:ascii="黑体" w:hAnsi="黑体" w:eastAsia="黑体"/>
                <w:kern w:val="0"/>
                <w:szCs w:val="21"/>
              </w:rPr>
              <w:t>社会公益组织</w:t>
            </w:r>
          </w:p>
        </w:tc>
        <w:tc>
          <w:tcPr>
            <w:tcW w:w="654" w:type="dxa"/>
            <w:noWrap w:val="0"/>
            <w:tcMar>
              <w:left w:w="108" w:type="dxa"/>
              <w:right w:w="108" w:type="dxa"/>
            </w:tcMar>
            <w:vAlign w:val="center"/>
          </w:tcPr>
          <w:p>
            <w:pPr>
              <w:widowControl/>
              <w:spacing w:line="320" w:lineRule="exact"/>
              <w:ind w:left="-106" w:leftChars="-51" w:right="-107" w:rightChars="-51" w:hanging="1"/>
              <w:jc w:val="both"/>
              <w:rPr>
                <w:rFonts w:ascii="黑体" w:hAnsi="黑体" w:eastAsia="黑体"/>
                <w:szCs w:val="21"/>
              </w:rPr>
            </w:pPr>
            <w:r>
              <w:rPr>
                <w:rFonts w:hint="eastAsia" w:ascii="黑体" w:hAnsi="黑体" w:eastAsia="黑体"/>
                <w:kern w:val="0"/>
                <w:szCs w:val="21"/>
              </w:rPr>
              <w:t>法律服务机构</w:t>
            </w:r>
          </w:p>
        </w:tc>
        <w:tc>
          <w:tcPr>
            <w:tcW w:w="529" w:type="dxa"/>
            <w:noWrap w:val="0"/>
            <w:tcMar>
              <w:left w:w="108" w:type="dxa"/>
              <w:right w:w="108" w:type="dxa"/>
            </w:tcMar>
            <w:vAlign w:val="center"/>
          </w:tcPr>
          <w:p>
            <w:pPr>
              <w:widowControl/>
              <w:spacing w:line="360" w:lineRule="exact"/>
              <w:ind w:left="-63" w:leftChars="-30" w:right="-134" w:rightChars="-64"/>
              <w:jc w:val="both"/>
              <w:rPr>
                <w:rFonts w:ascii="黑体" w:hAnsi="黑体" w:eastAsia="黑体"/>
                <w:szCs w:val="21"/>
              </w:rPr>
            </w:pPr>
            <w:r>
              <w:rPr>
                <w:rFonts w:hint="eastAsia" w:ascii="黑体" w:hAnsi="黑体" w:eastAsia="黑体"/>
                <w:kern w:val="0"/>
                <w:szCs w:val="21"/>
              </w:rPr>
              <w:t>其他</w:t>
            </w:r>
          </w:p>
        </w:tc>
        <w:tc>
          <w:tcPr>
            <w:tcW w:w="781" w:type="dxa"/>
            <w:vMerge w:val="continue"/>
            <w:noWrap w:val="0"/>
            <w:tcMar>
              <w:left w:w="108" w:type="dxa"/>
              <w:right w:w="108" w:type="dxa"/>
            </w:tcMar>
            <w:vAlign w:val="center"/>
          </w:tcPr>
          <w:p>
            <w:pPr>
              <w:jc w:val="both"/>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601" w:type="dxa"/>
            <w:gridSpan w:val="3"/>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762" w:type="dxa"/>
            <w:noWrap w:val="0"/>
            <w:tcMar>
              <w:left w:w="108" w:type="dxa"/>
              <w:right w:w="108" w:type="dxa"/>
            </w:tcMar>
            <w:vAlign w:val="bottom"/>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trPr>
        <w:tc>
          <w:tcPr>
            <w:tcW w:w="4601" w:type="dxa"/>
            <w:gridSpan w:val="3"/>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二、上年结转政府信息公开申请数量</w:t>
            </w:r>
          </w:p>
        </w:tc>
        <w:tc>
          <w:tcPr>
            <w:tcW w:w="762" w:type="dxa"/>
            <w:noWrap w:val="0"/>
            <w:tcMar>
              <w:left w:w="108" w:type="dxa"/>
              <w:right w:w="108" w:type="dxa"/>
            </w:tcMar>
            <w:vAlign w:val="bottom"/>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93" w:type="dxa"/>
            <w:vMerge w:val="restart"/>
            <w:noWrap w:val="0"/>
            <w:tcMar>
              <w:left w:w="108" w:type="dxa"/>
              <w:right w:w="108" w:type="dxa"/>
            </w:tcMar>
            <w:vAlign w:val="center"/>
          </w:tcPr>
          <w:p>
            <w:pPr>
              <w:widowControl/>
              <w:spacing w:after="180"/>
              <w:jc w:val="both"/>
              <w:rPr>
                <w:rFonts w:ascii="黑体" w:hAnsi="黑体" w:eastAsia="黑体"/>
                <w:szCs w:val="21"/>
              </w:rPr>
            </w:pPr>
            <w:r>
              <w:rPr>
                <w:rFonts w:hint="eastAsia" w:ascii="黑体" w:hAnsi="黑体" w:eastAsia="黑体"/>
                <w:kern w:val="0"/>
                <w:szCs w:val="21"/>
              </w:rPr>
              <w:t>三、本年度办理结果</w:t>
            </w:r>
          </w:p>
        </w:tc>
        <w:tc>
          <w:tcPr>
            <w:tcW w:w="4208" w:type="dxa"/>
            <w:gridSpan w:val="2"/>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（一）予以公开</w:t>
            </w:r>
          </w:p>
        </w:tc>
        <w:tc>
          <w:tcPr>
            <w:tcW w:w="762" w:type="dxa"/>
            <w:noWrap w:val="0"/>
            <w:tcMar>
              <w:left w:w="108" w:type="dxa"/>
              <w:right w:w="108" w:type="dxa"/>
            </w:tcMar>
            <w:vAlign w:val="bottom"/>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4" w:hRule="atLeast"/>
        </w:trPr>
        <w:tc>
          <w:tcPr>
            <w:tcW w:w="393" w:type="dxa"/>
            <w:vMerge w:val="continue"/>
            <w:noWrap w:val="0"/>
            <w:tcMar>
              <w:left w:w="108" w:type="dxa"/>
              <w:right w:w="108" w:type="dxa"/>
            </w:tcMar>
            <w:vAlign w:val="center"/>
          </w:tcPr>
          <w:p>
            <w:pPr>
              <w:jc w:val="both"/>
              <w:rPr>
                <w:rFonts w:ascii="黑体" w:hAnsi="黑体" w:eastAsia="黑体"/>
                <w:szCs w:val="21"/>
              </w:rPr>
            </w:pPr>
          </w:p>
        </w:tc>
        <w:tc>
          <w:tcPr>
            <w:tcW w:w="4208" w:type="dxa"/>
            <w:gridSpan w:val="2"/>
            <w:noWrap w:val="0"/>
            <w:tcMar>
              <w:left w:w="108" w:type="dxa"/>
              <w:right w:w="108" w:type="dxa"/>
            </w:tcMar>
            <w:vAlign w:val="center"/>
          </w:tcPr>
          <w:p>
            <w:pPr>
              <w:widowControl/>
              <w:jc w:val="both"/>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762" w:type="dxa"/>
            <w:noWrap w:val="0"/>
            <w:tcMar>
              <w:left w:w="108" w:type="dxa"/>
              <w:right w:w="108" w:type="dxa"/>
            </w:tcMar>
            <w:vAlign w:val="bottom"/>
          </w:tcPr>
          <w:p>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79"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restart"/>
            <w:noWrap w:val="0"/>
            <w:tcMar>
              <w:left w:w="108" w:type="dxa"/>
              <w:right w:w="108" w:type="dxa"/>
            </w:tcMar>
            <w:vAlign w:val="center"/>
          </w:tcPr>
          <w:p>
            <w:pPr>
              <w:widowControl/>
              <w:spacing w:line="200" w:lineRule="exact"/>
              <w:ind w:left="-107" w:leftChars="-51"/>
              <w:jc w:val="both"/>
              <w:rPr>
                <w:rFonts w:ascii="黑体" w:hAnsi="黑体" w:eastAsia="黑体"/>
                <w:szCs w:val="21"/>
              </w:rPr>
            </w:pPr>
            <w:r>
              <w:rPr>
                <w:rFonts w:hint="eastAsia" w:ascii="黑体" w:hAnsi="黑体" w:eastAsia="黑体"/>
                <w:kern w:val="0"/>
                <w:szCs w:val="21"/>
              </w:rPr>
              <w:t>（三）不予公开</w:t>
            </w: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1.属于国家秘密</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3.危及“三安全一稳定”</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7.属于行政执法案卷</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restart"/>
            <w:noWrap w:val="0"/>
            <w:tcMar>
              <w:left w:w="108" w:type="dxa"/>
              <w:right w:w="108" w:type="dxa"/>
            </w:tcMar>
            <w:vAlign w:val="center"/>
          </w:tcPr>
          <w:p>
            <w:pPr>
              <w:widowControl/>
              <w:spacing w:line="200" w:lineRule="exact"/>
              <w:ind w:left="-107" w:leftChars="-51"/>
              <w:jc w:val="both"/>
              <w:rPr>
                <w:rFonts w:ascii="黑体" w:hAnsi="黑体" w:eastAsia="黑体"/>
                <w:szCs w:val="21"/>
              </w:rPr>
            </w:pPr>
            <w:r>
              <w:rPr>
                <w:rFonts w:hint="eastAsia" w:ascii="黑体" w:hAnsi="黑体" w:eastAsia="黑体"/>
                <w:kern w:val="0"/>
                <w:szCs w:val="21"/>
              </w:rPr>
              <w:t>（四）无法提供</w:t>
            </w: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ind w:left="-107" w:leftChars="-51"/>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ind w:left="-107" w:leftChars="-51"/>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restart"/>
            <w:noWrap w:val="0"/>
            <w:tcMar>
              <w:left w:w="108" w:type="dxa"/>
              <w:right w:w="108" w:type="dxa"/>
            </w:tcMar>
            <w:vAlign w:val="center"/>
          </w:tcPr>
          <w:p>
            <w:pPr>
              <w:widowControl/>
              <w:spacing w:line="200" w:lineRule="exact"/>
              <w:ind w:left="-107" w:leftChars="-51"/>
              <w:jc w:val="both"/>
              <w:rPr>
                <w:rFonts w:ascii="黑体" w:hAnsi="黑体" w:eastAsia="黑体"/>
                <w:szCs w:val="21"/>
              </w:rPr>
            </w:pPr>
            <w:r>
              <w:rPr>
                <w:rFonts w:hint="eastAsia" w:ascii="黑体" w:hAnsi="黑体" w:eastAsia="黑体"/>
                <w:kern w:val="0"/>
                <w:szCs w:val="21"/>
              </w:rPr>
              <w:t>（五）不予处理</w:t>
            </w: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kern w:val="0"/>
                <w:szCs w:val="21"/>
              </w:rPr>
            </w:pPr>
            <w:r>
              <w:rPr>
                <w:rFonts w:hint="eastAsia" w:ascii="仿宋_GB2312" w:hAnsi="黑体" w:eastAsia="仿宋_GB2312"/>
                <w:kern w:val="0"/>
                <w:szCs w:val="21"/>
              </w:rPr>
              <w:t>2.重复申请</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szCs w:val="21"/>
              </w:rPr>
            </w:pPr>
            <w:r>
              <w:rPr>
                <w:rFonts w:hint="eastAsia" w:ascii="仿宋_GB2312" w:hAnsi="黑体" w:eastAsia="仿宋_GB2312"/>
                <w:kern w:val="0"/>
                <w:szCs w:val="21"/>
              </w:rPr>
              <w:t>3.要求提供公开出版物</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trPr>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671" w:type="dxa"/>
            <w:noWrap w:val="0"/>
            <w:tcMar>
              <w:left w:w="108" w:type="dxa"/>
              <w:right w:w="108" w:type="dxa"/>
            </w:tcMar>
            <w:vAlign w:val="center"/>
          </w:tcPr>
          <w:p>
            <w:pPr>
              <w:widowControl/>
              <w:spacing w:line="200" w:lineRule="exact"/>
              <w:jc w:val="both"/>
              <w:rPr>
                <w:rFonts w:ascii="仿宋_GB2312" w:hAnsi="黑体" w:eastAsia="仿宋_GB2312"/>
                <w:szCs w:val="21"/>
              </w:rPr>
            </w:pPr>
            <w:r>
              <w:rPr>
                <w:rFonts w:hint="eastAsia" w:ascii="仿宋_GB2312" w:hAnsi="黑体" w:eastAsia="仿宋_GB2312"/>
                <w:kern w:val="0"/>
                <w:szCs w:val="21"/>
              </w:rPr>
              <w:t>4.无正当理由大量反复申请</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spacing w:line="200" w:lineRule="exact"/>
              <w:jc w:val="both"/>
              <w:rPr>
                <w:rFonts w:ascii="黑体" w:hAnsi="黑体" w:eastAsia="黑体"/>
                <w:szCs w:val="21"/>
              </w:rPr>
            </w:pPr>
          </w:p>
        </w:tc>
        <w:tc>
          <w:tcPr>
            <w:tcW w:w="2671" w:type="dxa"/>
            <w:noWrap w:val="0"/>
            <w:tcMar>
              <w:left w:w="108" w:type="dxa"/>
              <w:right w:w="108" w:type="dxa"/>
            </w:tcMar>
            <w:vAlign w:val="center"/>
          </w:tcPr>
          <w:p>
            <w:pPr>
              <w:widowControl/>
              <w:spacing w:line="300" w:lineRule="exact"/>
              <w:jc w:val="both"/>
              <w:rPr>
                <w:rFonts w:ascii="仿宋_GB2312" w:hAnsi="黑体" w:eastAsia="仿宋_GB2312"/>
                <w:kern w:val="0"/>
                <w:szCs w:val="21"/>
              </w:rPr>
            </w:pPr>
            <w:r>
              <w:rPr>
                <w:rFonts w:hint="eastAsia" w:ascii="仿宋_GB2312" w:hAnsi="黑体" w:eastAsia="仿宋_GB2312"/>
                <w:kern w:val="0"/>
                <w:szCs w:val="21"/>
              </w:rPr>
              <w:t>5.要求行政机关确认或重新</w:t>
            </w:r>
          </w:p>
          <w:p>
            <w:pPr>
              <w:widowControl/>
              <w:spacing w:line="300" w:lineRule="exact"/>
              <w:ind w:firstLine="210" w:firstLineChars="100"/>
              <w:jc w:val="both"/>
              <w:rPr>
                <w:rFonts w:ascii="仿宋_GB2312" w:hAnsi="黑体" w:eastAsia="仿宋_GB2312"/>
                <w:szCs w:val="21"/>
              </w:rPr>
            </w:pPr>
            <w:r>
              <w:rPr>
                <w:rFonts w:hint="eastAsia" w:ascii="仿宋_GB2312" w:hAnsi="黑体" w:eastAsia="仿宋_GB2312"/>
                <w:kern w:val="0"/>
                <w:szCs w:val="21"/>
              </w:rPr>
              <w:t>出具已获取信息</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restart"/>
            <w:noWrap w:val="0"/>
            <w:tcMar>
              <w:left w:w="108" w:type="dxa"/>
              <w:right w:w="108" w:type="dxa"/>
            </w:tcMar>
            <w:vAlign w:val="center"/>
          </w:tcPr>
          <w:p>
            <w:pPr>
              <w:widowControl/>
              <w:spacing w:line="300" w:lineRule="exact"/>
              <w:jc w:val="both"/>
              <w:rPr>
                <w:rFonts w:ascii="黑体" w:hAnsi="黑体" w:eastAsia="黑体"/>
                <w:kern w:val="0"/>
                <w:szCs w:val="21"/>
              </w:rPr>
            </w:pPr>
            <w:r>
              <w:rPr>
                <w:rFonts w:hint="eastAsia" w:ascii="黑体" w:hAnsi="黑体" w:eastAsia="黑体"/>
                <w:kern w:val="0"/>
                <w:szCs w:val="21"/>
              </w:rPr>
              <w:t>（六）其他处理</w:t>
            </w:r>
          </w:p>
        </w:tc>
        <w:tc>
          <w:tcPr>
            <w:tcW w:w="2671" w:type="dxa"/>
            <w:noWrap w:val="0"/>
            <w:vAlign w:val="center"/>
          </w:tcPr>
          <w:p>
            <w:pPr>
              <w:widowControl/>
              <w:spacing w:line="300" w:lineRule="exact"/>
              <w:jc w:val="both"/>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widowControl/>
              <w:spacing w:line="300" w:lineRule="exact"/>
              <w:jc w:val="both"/>
              <w:rPr>
                <w:rFonts w:ascii="黑体" w:hAnsi="黑体" w:eastAsia="黑体"/>
                <w:kern w:val="0"/>
                <w:szCs w:val="21"/>
              </w:rPr>
            </w:pPr>
          </w:p>
        </w:tc>
        <w:tc>
          <w:tcPr>
            <w:tcW w:w="2671" w:type="dxa"/>
            <w:noWrap w:val="0"/>
            <w:vAlign w:val="center"/>
          </w:tcPr>
          <w:p>
            <w:pPr>
              <w:widowControl/>
              <w:spacing w:line="300" w:lineRule="exact"/>
              <w:jc w:val="both"/>
              <w:rPr>
                <w:rFonts w:hint="eastAsia" w:ascii="仿宋_GB2312" w:hAnsi="黑体" w:eastAsia="仿宋_GB2312"/>
                <w:kern w:val="0"/>
                <w:szCs w:val="21"/>
                <w:lang w:val="en-US" w:eastAsia="zh-CN"/>
              </w:rPr>
            </w:pPr>
            <w:r>
              <w:rPr>
                <w:rFonts w:hint="eastAsia" w:ascii="仿宋_GB2312" w:hAnsi="楷体" w:eastAsia="仿宋_GB2312"/>
              </w:rPr>
              <w:t>2.申请人逾期未按收费通知要求缴纳费用、行政机关不再处理其政府信息公开申请</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93" w:type="dxa"/>
            <w:vMerge w:val="continue"/>
            <w:noWrap w:val="0"/>
            <w:tcMar>
              <w:left w:w="108" w:type="dxa"/>
              <w:right w:w="108" w:type="dxa"/>
            </w:tcMar>
            <w:vAlign w:val="center"/>
          </w:tcPr>
          <w:p>
            <w:pPr>
              <w:jc w:val="both"/>
              <w:rPr>
                <w:rFonts w:ascii="黑体" w:hAnsi="黑体" w:eastAsia="黑体"/>
                <w:szCs w:val="21"/>
              </w:rPr>
            </w:pPr>
          </w:p>
        </w:tc>
        <w:tc>
          <w:tcPr>
            <w:tcW w:w="1537" w:type="dxa"/>
            <w:vMerge w:val="continue"/>
            <w:noWrap w:val="0"/>
            <w:tcMar>
              <w:left w:w="108" w:type="dxa"/>
              <w:right w:w="108" w:type="dxa"/>
            </w:tcMar>
            <w:vAlign w:val="center"/>
          </w:tcPr>
          <w:p>
            <w:pPr>
              <w:widowControl/>
              <w:spacing w:line="300" w:lineRule="exact"/>
              <w:jc w:val="both"/>
              <w:rPr>
                <w:rFonts w:ascii="黑体" w:hAnsi="黑体" w:eastAsia="黑体"/>
                <w:kern w:val="0"/>
                <w:szCs w:val="21"/>
              </w:rPr>
            </w:pPr>
          </w:p>
        </w:tc>
        <w:tc>
          <w:tcPr>
            <w:tcW w:w="2671" w:type="dxa"/>
            <w:noWrap w:val="0"/>
            <w:vAlign w:val="center"/>
          </w:tcPr>
          <w:p>
            <w:pPr>
              <w:widowControl/>
              <w:spacing w:line="300" w:lineRule="exact"/>
              <w:jc w:val="both"/>
              <w:rPr>
                <w:rFonts w:ascii="仿宋_GB2312" w:hAnsi="黑体" w:eastAsia="仿宋_GB2312"/>
                <w:kern w:val="0"/>
                <w:szCs w:val="21"/>
              </w:rPr>
            </w:pPr>
            <w:r>
              <w:rPr>
                <w:rFonts w:hint="eastAsia" w:ascii="仿宋_GB2312" w:hAnsi="楷体" w:eastAsia="仿宋_GB2312"/>
              </w:rPr>
              <w:t>3.其他</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393" w:type="dxa"/>
            <w:vMerge w:val="continue"/>
            <w:noWrap w:val="0"/>
            <w:tcMar>
              <w:left w:w="108" w:type="dxa"/>
              <w:right w:w="108" w:type="dxa"/>
            </w:tcMar>
            <w:vAlign w:val="center"/>
          </w:tcPr>
          <w:p>
            <w:pPr>
              <w:jc w:val="both"/>
              <w:rPr>
                <w:rFonts w:ascii="黑体" w:hAnsi="黑体" w:eastAsia="黑体"/>
                <w:szCs w:val="21"/>
              </w:rPr>
            </w:pPr>
          </w:p>
        </w:tc>
        <w:tc>
          <w:tcPr>
            <w:tcW w:w="4208" w:type="dxa"/>
            <w:gridSpan w:val="2"/>
            <w:noWrap w:val="0"/>
            <w:tcMar>
              <w:left w:w="108" w:type="dxa"/>
              <w:right w:w="108" w:type="dxa"/>
            </w:tcMar>
            <w:vAlign w:val="center"/>
          </w:tcPr>
          <w:p>
            <w:pPr>
              <w:widowControl/>
              <w:spacing w:line="300" w:lineRule="exact"/>
              <w:jc w:val="both"/>
              <w:rPr>
                <w:rFonts w:ascii="黑体" w:hAnsi="黑体" w:eastAsia="黑体"/>
                <w:kern w:val="0"/>
                <w:szCs w:val="21"/>
              </w:rPr>
            </w:pPr>
            <w:r>
              <w:rPr>
                <w:rFonts w:hint="eastAsia" w:ascii="黑体" w:hAnsi="黑体" w:eastAsia="黑体"/>
                <w:kern w:val="0"/>
                <w:szCs w:val="21"/>
              </w:rPr>
              <w:t>（七）总计</w:t>
            </w:r>
          </w:p>
        </w:tc>
        <w:tc>
          <w:tcPr>
            <w:tcW w:w="762" w:type="dxa"/>
            <w:noWrap w:val="0"/>
            <w:tcMar>
              <w:left w:w="108" w:type="dxa"/>
              <w:right w:w="108" w:type="dxa"/>
            </w:tcMar>
            <w:vAlign w:val="bottom"/>
          </w:tcPr>
          <w:p>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1</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4601" w:type="dxa"/>
            <w:gridSpan w:val="3"/>
            <w:noWrap w:val="0"/>
            <w:tcMar>
              <w:left w:w="108" w:type="dxa"/>
              <w:right w:w="108" w:type="dxa"/>
            </w:tcMar>
            <w:vAlign w:val="center"/>
          </w:tcPr>
          <w:p>
            <w:pPr>
              <w:widowControl/>
              <w:spacing w:line="300" w:lineRule="exact"/>
              <w:jc w:val="both"/>
              <w:rPr>
                <w:rFonts w:ascii="黑体" w:hAnsi="黑体" w:eastAsia="黑体"/>
                <w:kern w:val="0"/>
                <w:szCs w:val="21"/>
              </w:rPr>
            </w:pPr>
            <w:r>
              <w:rPr>
                <w:rFonts w:hint="eastAsia" w:ascii="黑体" w:hAnsi="黑体" w:eastAsia="黑体"/>
                <w:kern w:val="0"/>
                <w:szCs w:val="21"/>
              </w:rPr>
              <w:t>四、结转下年度继续办理</w:t>
            </w:r>
          </w:p>
        </w:tc>
        <w:tc>
          <w:tcPr>
            <w:tcW w:w="762" w:type="dxa"/>
            <w:noWrap w:val="0"/>
            <w:tcMar>
              <w:left w:w="108" w:type="dxa"/>
              <w:right w:w="108" w:type="dxa"/>
            </w:tcMar>
            <w:vAlign w:val="bottom"/>
          </w:tcPr>
          <w:p>
            <w:pPr>
              <w:widowControl/>
              <w:spacing w:after="180" w:line="200" w:lineRule="exact"/>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75"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654"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29"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81" w:type="dxa"/>
            <w:noWrap w:val="0"/>
            <w:tcMar>
              <w:left w:w="108" w:type="dxa"/>
              <w:right w:w="108" w:type="dxa"/>
            </w:tcMar>
            <w:vAlign w:val="bottom"/>
          </w:tcPr>
          <w:p>
            <w:pPr>
              <w:widowControl/>
              <w:spacing w:after="180" w:line="200" w:lineRule="exact"/>
              <w:jc w:val="center"/>
              <w:rPr>
                <w:rFonts w:ascii="仿宋_GB2312" w:hAnsi="Times New Roman" w:eastAsia="仿宋_GB2312"/>
                <w:szCs w:val="21"/>
              </w:rPr>
            </w:pPr>
            <w:r>
              <w:rPr>
                <w:rFonts w:hint="eastAsia" w:ascii="仿宋_GB2312" w:hAnsi="Times New Roman" w:eastAsia="仿宋_GB2312"/>
                <w:szCs w:val="21"/>
                <w:lang w:val="en-US" w:eastAsia="zh-CN"/>
              </w:rPr>
              <w:t>0</w:t>
            </w:r>
          </w:p>
        </w:tc>
      </w:tr>
    </w:tbl>
    <w:p>
      <w:pPr>
        <w:ind w:firstLine="640" w:firstLineChars="200"/>
        <w:jc w:val="both"/>
        <w:rPr>
          <w:rFonts w:hint="default" w:ascii="黑体" w:hAnsi="黑体" w:eastAsia="黑体"/>
          <w:sz w:val="32"/>
          <w:szCs w:val="32"/>
          <w:lang w:val="en-US" w:eastAsia="zh-CN"/>
        </w:rPr>
      </w:pPr>
    </w:p>
    <w:p>
      <w:pPr>
        <w:ind w:firstLine="640" w:firstLineChars="200"/>
        <w:jc w:val="both"/>
        <w:rPr>
          <w:rFonts w:ascii="方正小标宋简体" w:eastAsia="方正小标宋简体"/>
          <w:sz w:val="44"/>
          <w:szCs w:val="44"/>
        </w:rPr>
      </w:pPr>
      <w:r>
        <w:rPr>
          <w:rFonts w:hint="eastAsia" w:ascii="黑体" w:hAnsi="黑体" w:eastAsia="黑体"/>
          <w:sz w:val="32"/>
          <w:szCs w:val="32"/>
          <w:lang w:val="en-US" w:eastAsia="zh-CN"/>
        </w:rPr>
        <w:t>四、</w:t>
      </w:r>
      <w:r>
        <w:rPr>
          <w:rFonts w:hint="default" w:ascii="Times New Roman" w:hAnsi="Times New Roman" w:eastAsia="黑体" w:cs="Times New Roman"/>
          <w:b w:val="0"/>
          <w:bCs/>
          <w:i w:val="0"/>
          <w:caps w:val="0"/>
          <w:color w:val="333333"/>
          <w:spacing w:val="0"/>
          <w:kern w:val="0"/>
          <w:sz w:val="32"/>
          <w:szCs w:val="32"/>
          <w:shd w:val="clear" w:color="auto" w:fill="FFFFFF"/>
          <w:lang w:val="en-US" w:eastAsia="zh-CN" w:bidi="ar"/>
        </w:rPr>
        <w:t>政府信息公开行政复议、行政诉讼情况</w:t>
      </w:r>
    </w:p>
    <w:tbl>
      <w:tblPr>
        <w:tblStyle w:val="7"/>
        <w:tblW w:w="5000"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3"/>
        <w:gridCol w:w="603"/>
        <w:gridCol w:w="603"/>
        <w:gridCol w:w="603"/>
        <w:gridCol w:w="657"/>
        <w:gridCol w:w="549"/>
        <w:gridCol w:w="604"/>
        <w:gridCol w:w="604"/>
        <w:gridCol w:w="604"/>
        <w:gridCol w:w="604"/>
        <w:gridCol w:w="604"/>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总</w:t>
            </w:r>
          </w:p>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40" w:lineRule="exact"/>
              <w:ind w:left="0" w:leftChars="0" w:right="0" w:rightChars="0"/>
              <w:textAlignment w:val="auto"/>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40" w:lineRule="exact"/>
              <w:ind w:left="0" w:leftChars="0" w:right="0" w:rightChars="0"/>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40" w:lineRule="exact"/>
              <w:ind w:left="0" w:leftChars="0" w:right="0" w:rightChars="0"/>
              <w:textAlignment w:val="auto"/>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40" w:lineRule="exact"/>
              <w:ind w:left="0" w:leftChars="0" w:right="0" w:rightChars="0"/>
              <w:textAlignment w:val="auto"/>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spacing w:line="540" w:lineRule="exact"/>
              <w:ind w:left="0" w:leftChars="0" w:right="0" w:rightChars="0"/>
              <w:textAlignment w:val="auto"/>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hanging="1"/>
              <w:jc w:val="center"/>
              <w:textAlignment w:val="auto"/>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keepNext w:val="0"/>
              <w:keepLines w:val="0"/>
              <w:pageBreakBefore w:val="0"/>
              <w:widowControl/>
              <w:kinsoku/>
              <w:wordWrap/>
              <w:overflowPunct/>
              <w:topLinePunct w:val="0"/>
              <w:autoSpaceDE/>
              <w:autoSpaceDN/>
              <w:bidi w:val="0"/>
              <w:spacing w:line="540" w:lineRule="exact"/>
              <w:ind w:left="0" w:leftChars="0" w:right="0" w:rightChars="0" w:hanging="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2" w:leftChars="0" w:right="0" w:rightChars="0" w:hanging="2" w:hangingChars="1"/>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firstLine="210" w:firstLineChars="100"/>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spacing w:line="540" w:lineRule="exact"/>
              <w:ind w:left="0" w:leftChars="0" w:right="0" w:rightChars="0"/>
              <w:jc w:val="center"/>
              <w:textAlignment w:val="auto"/>
              <w:rPr>
                <w:rFonts w:hint="eastAsia" w:ascii="Times New Roman" w:hAnsi="Times New Roman" w:eastAsia="宋体" w:cs="Times New Roman"/>
                <w:lang w:val="en-US" w:eastAsia="zh-CN"/>
              </w:rPr>
            </w:pPr>
            <w:r>
              <w:rPr>
                <w:rFonts w:hint="eastAsia" w:ascii="Times New Roman" w:hAnsi="Times New Roman" w:cs="Times New Roman"/>
                <w:lang w:val="en-US" w:eastAsia="zh-CN"/>
              </w:rPr>
              <w:t>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b w:val="0"/>
          <w:bCs w:val="0"/>
          <w:sz w:val="32"/>
          <w:szCs w:val="32"/>
          <w:lang w:val="en-US" w:eastAsia="zh-CN"/>
        </w:rPr>
      </w:pPr>
      <w:r>
        <w:rPr>
          <w:rFonts w:hint="eastAsia" w:ascii="黑体" w:hAnsi="黑体" w:eastAsia="黑体"/>
          <w:sz w:val="32"/>
          <w:szCs w:val="32"/>
          <w:lang w:val="en-US" w:eastAsia="zh-CN"/>
        </w:rPr>
        <w:t>五、存在的主要问题及改进情况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en-US" w:eastAsia="zh-CN"/>
        </w:rPr>
        <w:t>（一）2024年问题整改情况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1.针对部分信息公开存在滞后这一问题，目前已健全信息协同发布机制，明确各部门职责分工与信息发布时限，定期召开信息协调会强化联动配合，确保公开信息及时准确。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lang w:val="en-US" w:eastAsia="zh-CN"/>
        </w:rPr>
      </w:pPr>
      <w:r>
        <w:rPr>
          <w:rFonts w:hint="eastAsia" w:ascii="仿宋_GB2312" w:eastAsia="仿宋_GB2312"/>
          <w:b w:val="0"/>
          <w:bCs w:val="0"/>
          <w:sz w:val="32"/>
          <w:szCs w:val="32"/>
          <w:lang w:val="en-US" w:eastAsia="zh-CN"/>
        </w:rPr>
        <w:t>2.针对信息公开形式不够丰富多样的问题，积极探索政务短视频制作与发布，适配年轻群体快速获取信息的需求，进一步拓宽信息传播渠道，提升政务信息覆盖面与影响力。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kern w:val="2"/>
          <w:sz w:val="32"/>
          <w:szCs w:val="32"/>
          <w:lang w:val="en-US" w:eastAsia="zh-CN" w:bidi="ar-SA"/>
        </w:rPr>
      </w:pPr>
      <w:r>
        <w:rPr>
          <w:rFonts w:hint="eastAsia" w:ascii="楷体_GB2312" w:hAnsi="楷体_GB2312" w:eastAsia="楷体_GB2312" w:cs="楷体_GB2312"/>
          <w:b w:val="0"/>
          <w:bCs w:val="0"/>
          <w:sz w:val="32"/>
          <w:szCs w:val="32"/>
          <w:lang w:val="en-US" w:eastAsia="zh-CN"/>
        </w:rPr>
        <w:t>（二）2025年存在的主要问题及</w:t>
      </w:r>
      <w:r>
        <w:rPr>
          <w:rFonts w:hint="eastAsia" w:ascii="楷体_GB2312" w:hAnsi="楷体_GB2312" w:eastAsia="楷体_GB2312" w:cs="楷体_GB2312"/>
          <w:kern w:val="2"/>
          <w:sz w:val="32"/>
          <w:szCs w:val="32"/>
          <w:lang w:val="en-US" w:eastAsia="zh-CN" w:bidi="ar-SA"/>
        </w:rPr>
        <w:t>下步改进措施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eastAsia="仿宋_GB2312"/>
          <w:b w:val="0"/>
          <w:bCs w:val="0"/>
          <w:sz w:val="32"/>
          <w:szCs w:val="32"/>
          <w:lang w:val="en-US" w:eastAsia="zh-CN"/>
        </w:rPr>
      </w:pPr>
      <w:r>
        <w:rPr>
          <w:rFonts w:hint="eastAsia" w:ascii="仿宋_GB2312" w:eastAsia="仿宋_GB2312"/>
          <w:b w:val="0"/>
          <w:bCs w:val="0"/>
          <w:sz w:val="32"/>
          <w:szCs w:val="32"/>
          <w:lang w:val="en-US" w:eastAsia="zh-CN"/>
        </w:rPr>
        <w:t>1.公开内容精准性不足。部分领域信息公开存在“大水漫灌”现象，对群众关切的民生服务、项目建设等重点领域信息梳理不够细致，公开内容深度和针对性有待提升，未能充分满足不同群体的信息获取需求。下一步聚焦需求优化公开内容，建立群众信息需求调研机制，定期梳理汇总12345政务服务便民热线、信访接待等渠道反映的热点问题，精准定位公开重点。重点加强民生保障、乡村振兴、安全生产等领域信息公开，细化公开事项清单，提升公开内容的针对性和实用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default" w:ascii="楷体_GB2312" w:hAnsi="楷体_GB2312" w:eastAsia="楷体_GB2312" w:cs="楷体_GB2312"/>
          <w:kern w:val="2"/>
          <w:sz w:val="32"/>
          <w:szCs w:val="32"/>
          <w:lang w:val="en-US" w:eastAsia="zh-CN" w:bidi="ar-SA"/>
        </w:rPr>
      </w:pPr>
      <w:r>
        <w:rPr>
          <w:rFonts w:hint="eastAsia" w:ascii="仿宋_GB2312" w:eastAsia="仿宋_GB2312"/>
          <w:b w:val="0"/>
          <w:bCs w:val="0"/>
          <w:sz w:val="32"/>
          <w:szCs w:val="32"/>
          <w:lang w:val="en-US" w:eastAsia="zh-CN"/>
        </w:rPr>
        <w:t>2.工作队伍专业能力有待加强。政务公开工作人员多为兼职，缺乏系统的业务培训，对政府信息公开条例等相关政策理解不够透彻，在信息分类、公开时限把握、依申请公开办理等方面的专业能力存在短板。下一步，着力强化培训建强工作队伍。制定年度业务培训计划，定期组织开展政务公开政策法规、业务流程等专题培训，邀请上级部门业务骨干进行现场指导，提升工作人员的专业素养和业务能力，明确岗位职责，加强日常监督考核，确保各项公开工作规范有序推进。</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黑体" w:hAnsi="黑体" w:eastAsia="黑体"/>
          <w:sz w:val="32"/>
          <w:szCs w:val="32"/>
          <w:lang w:val="en-US" w:eastAsia="zh-CN"/>
        </w:rPr>
      </w:pPr>
      <w:r>
        <w:rPr>
          <w:rFonts w:hint="eastAsia" w:ascii="黑体" w:hAnsi="黑体" w:eastAsia="黑体"/>
          <w:sz w:val="32"/>
          <w:szCs w:val="32"/>
          <w:lang w:val="en-US" w:eastAsia="zh-CN"/>
        </w:rPr>
        <w:t xml:space="preserve">六、其他需要报告的事项 </w:t>
      </w:r>
    </w:p>
    <w:p>
      <w:pPr>
        <w:keepNext w:val="0"/>
        <w:keepLines w:val="0"/>
        <w:pageBreakBefore w:val="0"/>
        <w:widowControl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（一）本单位收取政府信息公开信息处理费情况</w:t>
      </w:r>
    </w:p>
    <w:p>
      <w:pPr>
        <w:pStyle w:val="5"/>
        <w:keepNext w:val="0"/>
        <w:keepLines w:val="0"/>
        <w:pageBreakBefore w:val="0"/>
        <w:kinsoku/>
        <w:wordWrap/>
        <w:overflowPunct/>
        <w:topLinePunct w:val="0"/>
        <w:autoSpaceDE/>
        <w:autoSpaceDN/>
        <w:bidi w:val="0"/>
        <w:adjustRightInd/>
        <w:snapToGrid/>
        <w:spacing w:after="0" w:line="560" w:lineRule="exact"/>
        <w:ind w:leftChars="0" w:firstLine="620" w:firstLineChars="200"/>
        <w:jc w:val="both"/>
        <w:textAlignment w:val="auto"/>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1"/>
          <w:szCs w:val="31"/>
          <w:lang w:val="en-US" w:eastAsia="zh-CN" w:bidi="ar"/>
        </w:rPr>
        <w:t xml:space="preserve"> </w:t>
      </w:r>
      <w:r>
        <w:rPr>
          <w:rFonts w:hint="eastAsia" w:ascii="仿宋_GB2312" w:hAnsi="Calibri" w:eastAsia="仿宋_GB2312" w:cs="Times New Roman"/>
          <w:b w:val="0"/>
          <w:bCs w:val="0"/>
          <w:kern w:val="2"/>
          <w:sz w:val="32"/>
          <w:szCs w:val="32"/>
          <w:lang w:val="en-US" w:eastAsia="zh-CN" w:bidi="ar-SA"/>
        </w:rPr>
        <w:t>2025年度，本单位未向任何信息公开申请人收取信息处理费用。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（二）本单位落实上级年度政务公开工作要点情况</w:t>
      </w:r>
    </w:p>
    <w:p>
      <w:pPr>
        <w:pStyle w:val="5"/>
        <w:keepNext w:val="0"/>
        <w:keepLines w:val="0"/>
        <w:pageBreakBefore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严格对照政务公开工作要点要求推进各项工作，同时强化日常业务指导与统筹调度，目前各项任务均已落实到位。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（三）本单位人大代表建议和政协提案办理结果公开情况</w:t>
      </w:r>
    </w:p>
    <w:p>
      <w:pPr>
        <w:pStyle w:val="5"/>
        <w:keepNext w:val="0"/>
        <w:keepLines w:val="0"/>
        <w:pageBreakBefore w:val="0"/>
        <w:kinsoku/>
        <w:wordWrap/>
        <w:overflowPunct/>
        <w:topLinePunct w:val="0"/>
        <w:autoSpaceDE/>
        <w:autoSpaceDN/>
        <w:bidi w:val="0"/>
        <w:adjustRightInd/>
        <w:snapToGrid/>
        <w:spacing w:after="0" w:line="560" w:lineRule="exact"/>
        <w:ind w:leftChars="0"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2025年，本单位未独立承办人大代表建议和政协提案。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楷体_GB2312" w:hAnsi="楷体_GB2312" w:eastAsia="楷体_GB2312" w:cs="楷体_GB2312"/>
          <w:color w:val="000000"/>
          <w:kern w:val="0"/>
          <w:sz w:val="32"/>
          <w:szCs w:val="32"/>
          <w:lang w:val="en-US" w:eastAsia="zh-CN" w:bidi="ar"/>
        </w:rPr>
      </w:pPr>
      <w:r>
        <w:rPr>
          <w:rFonts w:hint="eastAsia" w:ascii="楷体_GB2312" w:hAnsi="楷体_GB2312" w:eastAsia="楷体_GB2312" w:cs="楷体_GB2312"/>
          <w:color w:val="000000"/>
          <w:kern w:val="0"/>
          <w:sz w:val="32"/>
          <w:szCs w:val="32"/>
          <w:lang w:val="en-US" w:eastAsia="zh-CN" w:bidi="ar"/>
        </w:rPr>
        <w:t>（四）本单位在政务公开制度、内容、形式和平台建设方面的创新实践情况</w:t>
      </w:r>
    </w:p>
    <w:p>
      <w:pPr>
        <w:keepNext w:val="0"/>
        <w:keepLines w:val="0"/>
        <w:pageBreakBefore w:val="0"/>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b w:val="0"/>
          <w:bCs w:val="0"/>
          <w:sz w:val="32"/>
          <w:szCs w:val="32"/>
          <w:lang w:val="en-US" w:eastAsia="zh-CN"/>
        </w:rPr>
        <w:t>线上依托山亭区人民政府门户网站，以“镇街动态”专栏为重要载体，强化政务公开信息发布工作，确保发布内容科学全面、便民实用。线下立足便民服务大厅窗口等载体，打造并优化政务公开体验区，同步设立依申请公开受理点与答复点，方便办事群众快速查阅各类政务信息，切实提升办事效率。</w:t>
      </w:r>
    </w:p>
    <w:sectPr>
      <w:footerReference r:id="rId3" w:type="default"/>
      <w:pgSz w:w="11906" w:h="16838"/>
      <w:pgMar w:top="1440" w:right="1474" w:bottom="1440" w:left="1588"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auto"/>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楷体">
    <w:panose1 w:val="02010609060101010101"/>
    <w:charset w:val="86"/>
    <w:family w:val="decorative"/>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2576195</wp:posOffset>
              </wp:positionH>
              <wp:positionV relativeFrom="paragraph">
                <wp:posOffset>-84455</wp:posOffset>
              </wp:positionV>
              <wp:extent cx="663575" cy="253365"/>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63575" cy="253365"/>
                      </a:xfrm>
                      <a:prstGeom prst="rect">
                        <a:avLst/>
                      </a:prstGeom>
                      <a:noFill/>
                      <a:ln w="6350">
                        <a:noFill/>
                      </a:ln>
                      <a:effectLst/>
                    </wps:spPr>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left:202.85pt;margin-top:-6.65pt;height:19.95pt;width:52.25pt;mso-position-horizontal-relative:margin;z-index:251659264;mso-width-relative:page;mso-height-relative:page;" filled="f" stroked="f" coordsize="21600,21600" o:gfxdata="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&#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FgAAAGRycy9QSwECFAAUAAAACACHTuJAuW9bzdkAAAAKAQAADwAAAAAAAAABACAAAAA4AAAAZHJz&#10;L2Rvd25yZXYueG1sUEsBAhQAFAAAAAgAh07iQD8MsUsmAgAANwQAAA4AAAAAAAAAAQAgAAAAPgEA&#10;AGRycy9lMm9Eb2MueG1sUEsFBgAAAAAGAAYAWQEAANYFAAAAAA==&#10;">
              <v:fill on="f" focussize="0,0"/>
              <v:stroke on="f" weight="0.5pt"/>
              <v:imagedata o:title=""/>
              <o:lock v:ext="edit" aspectratio="f"/>
              <v:textbox inset="0mm,0mm,0mm,0mm">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14B273"/>
    <w:multiLevelType w:val="singleLevel"/>
    <w:tmpl w:val="2914B273"/>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310BFD"/>
    <w:rsid w:val="00B74C46"/>
    <w:rsid w:val="00B82603"/>
    <w:rsid w:val="00B95CDD"/>
    <w:rsid w:val="013C690E"/>
    <w:rsid w:val="020548F6"/>
    <w:rsid w:val="02D50DC8"/>
    <w:rsid w:val="0309004C"/>
    <w:rsid w:val="03367AB9"/>
    <w:rsid w:val="05F94E3B"/>
    <w:rsid w:val="06F537E7"/>
    <w:rsid w:val="07634BF4"/>
    <w:rsid w:val="078C4A6B"/>
    <w:rsid w:val="07EA47F3"/>
    <w:rsid w:val="08012581"/>
    <w:rsid w:val="08C276F9"/>
    <w:rsid w:val="08EE04EE"/>
    <w:rsid w:val="09175C96"/>
    <w:rsid w:val="094043ED"/>
    <w:rsid w:val="09880942"/>
    <w:rsid w:val="09F63AFE"/>
    <w:rsid w:val="0A053D41"/>
    <w:rsid w:val="0A0A75A9"/>
    <w:rsid w:val="0A56459C"/>
    <w:rsid w:val="0A821835"/>
    <w:rsid w:val="0A8E1F88"/>
    <w:rsid w:val="0BB4068D"/>
    <w:rsid w:val="0D0C3638"/>
    <w:rsid w:val="0D6613E9"/>
    <w:rsid w:val="0EC83E93"/>
    <w:rsid w:val="0F5372FC"/>
    <w:rsid w:val="117D68B3"/>
    <w:rsid w:val="119A56B6"/>
    <w:rsid w:val="11F12DFD"/>
    <w:rsid w:val="120314AE"/>
    <w:rsid w:val="127C300E"/>
    <w:rsid w:val="12922DA3"/>
    <w:rsid w:val="12BA7692"/>
    <w:rsid w:val="13E0137B"/>
    <w:rsid w:val="14AF1479"/>
    <w:rsid w:val="14BE790E"/>
    <w:rsid w:val="151E6B37"/>
    <w:rsid w:val="15B0284E"/>
    <w:rsid w:val="171F21BA"/>
    <w:rsid w:val="1752258F"/>
    <w:rsid w:val="18CB40C7"/>
    <w:rsid w:val="19A022EA"/>
    <w:rsid w:val="19BA72A1"/>
    <w:rsid w:val="19CD04A6"/>
    <w:rsid w:val="19CF6119"/>
    <w:rsid w:val="1A36030C"/>
    <w:rsid w:val="1A95732D"/>
    <w:rsid w:val="1B3B2A65"/>
    <w:rsid w:val="1C3F7586"/>
    <w:rsid w:val="1C572B26"/>
    <w:rsid w:val="1C8147CC"/>
    <w:rsid w:val="1F2667DB"/>
    <w:rsid w:val="1F3D3B25"/>
    <w:rsid w:val="1F59095F"/>
    <w:rsid w:val="1FCE656C"/>
    <w:rsid w:val="20BB1CCF"/>
    <w:rsid w:val="21117E6F"/>
    <w:rsid w:val="22947D11"/>
    <w:rsid w:val="234353B5"/>
    <w:rsid w:val="23F724F4"/>
    <w:rsid w:val="24E10366"/>
    <w:rsid w:val="253D03DB"/>
    <w:rsid w:val="25C53E4C"/>
    <w:rsid w:val="26154EB4"/>
    <w:rsid w:val="27310BFD"/>
    <w:rsid w:val="27E64D5A"/>
    <w:rsid w:val="28A02548"/>
    <w:rsid w:val="28EB63A0"/>
    <w:rsid w:val="29844C90"/>
    <w:rsid w:val="2A995C9E"/>
    <w:rsid w:val="2BD17ACF"/>
    <w:rsid w:val="2C502C39"/>
    <w:rsid w:val="2CFF2E26"/>
    <w:rsid w:val="2D9B65E7"/>
    <w:rsid w:val="2DBC7AFB"/>
    <w:rsid w:val="2DCA2A28"/>
    <w:rsid w:val="2E5157DA"/>
    <w:rsid w:val="2EB536D8"/>
    <w:rsid w:val="2EC61121"/>
    <w:rsid w:val="2FAF126E"/>
    <w:rsid w:val="2FF15CE4"/>
    <w:rsid w:val="304F4F40"/>
    <w:rsid w:val="30E738F1"/>
    <w:rsid w:val="32C06984"/>
    <w:rsid w:val="32CE6B16"/>
    <w:rsid w:val="32D560F7"/>
    <w:rsid w:val="33062754"/>
    <w:rsid w:val="37C14E9C"/>
    <w:rsid w:val="37C350B5"/>
    <w:rsid w:val="3972075D"/>
    <w:rsid w:val="39A9208B"/>
    <w:rsid w:val="3B283E36"/>
    <w:rsid w:val="3B702E61"/>
    <w:rsid w:val="3B862684"/>
    <w:rsid w:val="3C025A83"/>
    <w:rsid w:val="3C876795"/>
    <w:rsid w:val="3CC01B20"/>
    <w:rsid w:val="3E07151D"/>
    <w:rsid w:val="3ECD05CA"/>
    <w:rsid w:val="3FB83028"/>
    <w:rsid w:val="418C02C8"/>
    <w:rsid w:val="423B3A9C"/>
    <w:rsid w:val="426C1EA8"/>
    <w:rsid w:val="426E227E"/>
    <w:rsid w:val="428216CB"/>
    <w:rsid w:val="42AB0C22"/>
    <w:rsid w:val="4397110D"/>
    <w:rsid w:val="43BD2CC7"/>
    <w:rsid w:val="43C53172"/>
    <w:rsid w:val="44B26298"/>
    <w:rsid w:val="45D87F80"/>
    <w:rsid w:val="460421F7"/>
    <w:rsid w:val="461B60BF"/>
    <w:rsid w:val="46BE12A2"/>
    <w:rsid w:val="476F4296"/>
    <w:rsid w:val="48036E0A"/>
    <w:rsid w:val="48EB7FCA"/>
    <w:rsid w:val="4A1452FF"/>
    <w:rsid w:val="4A30015B"/>
    <w:rsid w:val="4A701D87"/>
    <w:rsid w:val="4B506761"/>
    <w:rsid w:val="4C577725"/>
    <w:rsid w:val="4C602A7D"/>
    <w:rsid w:val="4E323FA5"/>
    <w:rsid w:val="4E606D65"/>
    <w:rsid w:val="4E6F03F3"/>
    <w:rsid w:val="4E872543"/>
    <w:rsid w:val="4E920EE8"/>
    <w:rsid w:val="4F1E7267"/>
    <w:rsid w:val="4F494495"/>
    <w:rsid w:val="4F5B752C"/>
    <w:rsid w:val="50A849F3"/>
    <w:rsid w:val="50F47C38"/>
    <w:rsid w:val="515A7C25"/>
    <w:rsid w:val="52D10231"/>
    <w:rsid w:val="52E37F64"/>
    <w:rsid w:val="53057EDB"/>
    <w:rsid w:val="53842088"/>
    <w:rsid w:val="543C289B"/>
    <w:rsid w:val="558E515A"/>
    <w:rsid w:val="5593479C"/>
    <w:rsid w:val="57350A8C"/>
    <w:rsid w:val="578A129D"/>
    <w:rsid w:val="57EC7BBC"/>
    <w:rsid w:val="593E5EF4"/>
    <w:rsid w:val="5AFE3B8D"/>
    <w:rsid w:val="5B79359D"/>
    <w:rsid w:val="5C3F445D"/>
    <w:rsid w:val="5C473312"/>
    <w:rsid w:val="5C4C0928"/>
    <w:rsid w:val="5CEC5C67"/>
    <w:rsid w:val="5CEC7F79"/>
    <w:rsid w:val="5E2F0501"/>
    <w:rsid w:val="5EE75081"/>
    <w:rsid w:val="5F03707F"/>
    <w:rsid w:val="5F34769B"/>
    <w:rsid w:val="605D1356"/>
    <w:rsid w:val="60C72C73"/>
    <w:rsid w:val="6146003C"/>
    <w:rsid w:val="61F01D56"/>
    <w:rsid w:val="626C5880"/>
    <w:rsid w:val="62A0552A"/>
    <w:rsid w:val="62B77DB1"/>
    <w:rsid w:val="631C1BE8"/>
    <w:rsid w:val="646B1B68"/>
    <w:rsid w:val="64944AFE"/>
    <w:rsid w:val="653D1756"/>
    <w:rsid w:val="66AA2E1B"/>
    <w:rsid w:val="676E209B"/>
    <w:rsid w:val="67DC5256"/>
    <w:rsid w:val="6841155D"/>
    <w:rsid w:val="684D7F02"/>
    <w:rsid w:val="69827C99"/>
    <w:rsid w:val="6A294057"/>
    <w:rsid w:val="6AE461D0"/>
    <w:rsid w:val="6BCE135A"/>
    <w:rsid w:val="6C3118E9"/>
    <w:rsid w:val="6C5630FD"/>
    <w:rsid w:val="6D0E5440"/>
    <w:rsid w:val="6D203E37"/>
    <w:rsid w:val="6D400035"/>
    <w:rsid w:val="6D7B106D"/>
    <w:rsid w:val="6DCA3DA3"/>
    <w:rsid w:val="6E82642B"/>
    <w:rsid w:val="71290DE0"/>
    <w:rsid w:val="71573B9F"/>
    <w:rsid w:val="71DE7E1D"/>
    <w:rsid w:val="7420296E"/>
    <w:rsid w:val="744762DA"/>
    <w:rsid w:val="756E4334"/>
    <w:rsid w:val="76F04F74"/>
    <w:rsid w:val="772B58B2"/>
    <w:rsid w:val="77324E93"/>
    <w:rsid w:val="77DC8EDB"/>
    <w:rsid w:val="77DF669D"/>
    <w:rsid w:val="78B06666"/>
    <w:rsid w:val="78C31B1A"/>
    <w:rsid w:val="790E0FE8"/>
    <w:rsid w:val="79C318FE"/>
    <w:rsid w:val="79DC08AE"/>
    <w:rsid w:val="79DC7338"/>
    <w:rsid w:val="7AC922FF"/>
    <w:rsid w:val="7B5B428C"/>
    <w:rsid w:val="7B8E01BE"/>
    <w:rsid w:val="7BD36518"/>
    <w:rsid w:val="7C1D7794"/>
    <w:rsid w:val="7D001E43"/>
    <w:rsid w:val="7D4C6582"/>
    <w:rsid w:val="7ED44A81"/>
    <w:rsid w:val="7EF24F07"/>
    <w:rsid w:val="7F7D2A23"/>
    <w:rsid w:val="7FA44DC6"/>
    <w:rsid w:val="DDE9A84D"/>
    <w:rsid w:val="EDDFE048"/>
    <w:rsid w:val="FF0D57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toc 1"/>
    <w:basedOn w:val="1"/>
    <w:next w:val="1"/>
    <w:qFormat/>
    <w:uiPriority w:val="39"/>
    <w:pPr>
      <w:widowControl/>
      <w:tabs>
        <w:tab w:val="right" w:leader="dot" w:pos="9060"/>
      </w:tabs>
      <w:spacing w:after="100" w:line="600" w:lineRule="exact"/>
    </w:pPr>
    <w:rPr>
      <w:rFonts w:ascii="Calibri" w:hAnsi="Calibri"/>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3289</Words>
  <Characters>3344</Characters>
  <Lines>0</Lines>
  <Paragraphs>0</Paragraphs>
  <TotalTime>1</TotalTime>
  <ScaleCrop>false</ScaleCrop>
  <LinksUpToDate>false</LinksUpToDate>
  <CharactersWithSpaces>3361</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2025-01-08T15:56:00Z</dcterms:created>
  <dc:creator>WPS_1569921295</dc:creator>
  <cp:lastModifiedBy>user</cp:lastModifiedBy>
  <cp:lastPrinted>2025-01-10T16:30:00Z</cp:lastPrinted>
  <dcterms:modified xsi:type="dcterms:W3CDTF">2026-01-26T15:53:03Z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E3F31DED3CDA41339C7E15E264F8A699_13</vt:lpwstr>
  </property>
  <property fmtid="{D5CDD505-2E9C-101B-9397-08002B2CF9AE}" pid="4" name="KSOTemplateDocerSaveRecord">
    <vt:lpwstr>eyJoZGlkIjoiMDAyYjI0NThlMjNlY2U1YTRhMjMzYjVmYThlMDNiNTAiLCJ1c2VySWQiOiI2NzkzNTcxNzEifQ==</vt:lpwstr>
  </property>
</Properties>
</file>