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eastAsia="zh-CN"/>
        </w:rPr>
        <w:t>山亭区公安分局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2025年政府信息公开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40" w:firstLineChars="1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0" w:firstLineChars="100"/>
        <w:jc w:val="both"/>
        <w:rPr>
          <w:rFonts w:hint="eastAsia" w:ascii="方正小标宋_GBK" w:hAnsi="方正小标宋_GBK" w:eastAsia="方正小标宋_GBK" w:cs="方正小标宋_GBK"/>
          <w:color w:val="666666"/>
          <w:kern w:val="0"/>
          <w:sz w:val="40"/>
          <w:szCs w:val="4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根据新修订的《中华人民共和国政府信息公开条例》和《国务院办公厅政府信息与政务公开办公室关于印发&lt;中华人民共和国政府信息公开工作年度报告格式&gt;的通知》相关要求编制本报告，内容包括总体情况、主动公开政府信息情况、收到和处理政府信息公开申请情况、政府信息公开行政复议和行政诉讼情况、存在的主要问题及改进情况、其他需要报告的事项等六个部分。本报告所列数据的统计时限自2025年1月1日至2025年12月31日。本报告电子版可从山亭区政府网站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(http://www.shanting.gov.cn)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下载。如对本报告有任何疑问，请与枣庄市公安局山亭分局办公室联系(地址:枣庄市山亭区府前路3号，邮编:277200，电话0632-8864107)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一、总体情况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2025年，公安分局坚持以人民为中心的发展思想，紧紧围绕山亭区委、区政府以及枣庄市公安局的有关工作部署，深入贯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彻《中华人民共和国政府信息公开条例》的相关要求，持续深化政府信息公开工作，着力提升政务公开标准化、规范化、信息化水平，切实保障人民群众的知情权、参与权、表达权和监督权，为促进法治政府、创新政府、廉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政府和服务型政府建设发挥了积极作用。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（一）主动公开情况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利用多种渠道公开信息，包括政府网站、微信公众号、抖音等新媒体平台。聚焦社会关切和群众利益相关的领域，围绕群众关切的社会治安、交通管理、户籍服务、防诈宣传等领域，更多采用简明问答、短视频等形式，全面深入解读政策背景、重要举措内容，确</w:t>
      </w:r>
      <w:r>
        <w:rPr>
          <w:rFonts w:hint="eastAsia" w:ascii="仿宋_GB2312" w:hAnsi="仿宋_GB2312" w:eastAsia="仿宋_GB2312" w:cs="仿宋_GB2312"/>
          <w:b w:val="0"/>
          <w:bCs w:val="0"/>
          <w:color w:val="333333"/>
          <w:kern w:val="0"/>
          <w:sz w:val="32"/>
          <w:szCs w:val="32"/>
        </w:rPr>
        <w:t>保公开工作有章可循，有序推进。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严格依照《政府信息公开条例》规定开展工作。通过约谈、电联、调查等多种形式，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了解申请公开的背后原因，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解决申请人的实质问题，从而提升答复质量和群众满意度。依照《中华人民共和国政府信息公开条例》相关规定进行规范答复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规范办结。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jc w:val="left"/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（三）政府信息管理工作。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完善政务公开制度体系，建立健全信息发布审核机制，严格执行“分级审核、先审后发、授权发布”的程序，确保信息发布的准确性和安全性。工作中，加强对保密管理的责任制落实，严禁发布涉密、涉警务工作秘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信息，定期开展保密检查和培训。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405"/>
        <w:jc w:val="left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（四）政府信息公开平台建设。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强化政务新媒体运维管理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，提升信息发布时效性和互动性，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加强政府信息公开平台建设，不断拓宽信息公开渠道、优化发布形式。不断整合资源，构建信息公开融媒体矩阵。目前，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山亭公安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枣庄山亭交警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微信公众号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，山亭公安抖音号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官方媒体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影响力稳居全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公安政务公众号前列。借助新媒体的及时互动传播优势，答疑解惑、问计于民，使政务新媒体成为促进警民关系和谐的桥梁和纽带。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（五）监督保障。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持续加强机制保障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筑牢内容“审核墙”与保密“防火墙”，保证公开信息既契合法规要求，又能精准、高效、全面送达公众。同时，完善考核监督制度，对暴露的问题立行立改，以严谨的态度与务实的行动，为政务公开工作高质量发展保驾护航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二、主动公开政府信息情况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2"/>
        <w:gridCol w:w="2393"/>
        <w:gridCol w:w="1923"/>
        <w:gridCol w:w="17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3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18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16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规章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  <w:tc>
          <w:tcPr>
            <w:tcW w:w="16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1122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textAlignment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271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829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235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936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Calibri" w:hAnsi="Calibri" w:eastAsia="宋体" w:cs="Calibri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Cs w:val="21"/>
                <w:lang w:val="en-US" w:eastAsia="zh-CN"/>
              </w:rPr>
              <w:t>4.04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三、收到和处理政府信息公开申请情况</w:t>
      </w:r>
    </w:p>
    <w:tbl>
      <w:tblPr>
        <w:tblStyle w:val="5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1434"/>
        <w:gridCol w:w="2478"/>
        <w:gridCol w:w="719"/>
        <w:gridCol w:w="505"/>
        <w:gridCol w:w="505"/>
        <w:gridCol w:w="639"/>
        <w:gridCol w:w="620"/>
        <w:gridCol w:w="505"/>
        <w:gridCol w:w="7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820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140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85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29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85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</w:t>
            </w:r>
            <w:bookmarkStart w:id="0" w:name="_Hlk66973412"/>
            <w:r>
              <w:rPr>
                <w:rFonts w:hint="eastAsia" w:ascii="黑体" w:hAnsi="黑体" w:eastAsia="黑体"/>
                <w:kern w:val="0"/>
                <w:szCs w:val="21"/>
              </w:rPr>
              <w:t>本年新收政府信息公开申请数量</w:t>
            </w:r>
            <w:bookmarkEnd w:id="0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</w:t>
            </w:r>
            <w:bookmarkStart w:id="1" w:name="_Hlk66973981"/>
            <w:r>
              <w:rPr>
                <w:rFonts w:hint="eastAsia" w:ascii="黑体" w:hAnsi="黑体" w:eastAsia="黑体"/>
                <w:kern w:val="0"/>
                <w:szCs w:val="21"/>
              </w:rPr>
              <w:t>区分处理的，只计这一情形，不计其他情形</w:t>
            </w:r>
            <w:bookmarkEnd w:id="1"/>
            <w:r>
              <w:rPr>
                <w:rFonts w:hint="eastAsia" w:ascii="黑体" w:hAnsi="黑体" w:eastAsia="黑体"/>
                <w:kern w:val="0"/>
                <w:szCs w:val="21"/>
              </w:rPr>
              <w:t>）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2" w:name="_Hlk66974104"/>
            <w:r>
              <w:rPr>
                <w:rFonts w:hint="eastAsia" w:ascii="仿宋_GB2312" w:hAnsi="黑体" w:eastAsia="仿宋_GB2312"/>
                <w:kern w:val="0"/>
                <w:szCs w:val="21"/>
              </w:rPr>
              <w:t>其他法律行政法规禁止公开</w:t>
            </w:r>
            <w:bookmarkEnd w:id="2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</w:t>
            </w:r>
            <w:bookmarkStart w:id="3" w:name="_Hlk66974290"/>
            <w:r>
              <w:rPr>
                <w:rFonts w:hint="eastAsia" w:ascii="仿宋_GB2312" w:hAnsi="黑体" w:eastAsia="仿宋_GB2312"/>
                <w:kern w:val="0"/>
                <w:szCs w:val="21"/>
              </w:rPr>
              <w:t>保护第三方合法权益</w:t>
            </w:r>
            <w:bookmarkEnd w:id="3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</w:t>
            </w:r>
            <w:bookmarkStart w:id="4" w:name="_Hlk66974555"/>
            <w:r>
              <w:rPr>
                <w:rFonts w:hint="eastAsia" w:ascii="仿宋_GB2312" w:hAnsi="黑体" w:eastAsia="仿宋_GB2312"/>
                <w:kern w:val="0"/>
                <w:szCs w:val="21"/>
              </w:rPr>
              <w:t>属于四类过程性信息</w:t>
            </w:r>
            <w:bookmarkEnd w:id="4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</w:t>
            </w:r>
            <w:bookmarkStart w:id="5" w:name="_Hlk66975211"/>
            <w:r>
              <w:rPr>
                <w:rFonts w:hint="eastAsia" w:ascii="仿宋_GB2312" w:hAnsi="黑体" w:eastAsia="仿宋_GB2312"/>
                <w:kern w:val="0"/>
                <w:szCs w:val="21"/>
              </w:rPr>
              <w:t>属于行政查询事项</w:t>
            </w:r>
            <w:bookmarkEnd w:id="5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</w:t>
            </w:r>
            <w:bookmarkStart w:id="6" w:name="_Hlk66975392"/>
            <w:r>
              <w:rPr>
                <w:rFonts w:hint="eastAsia" w:ascii="仿宋_GB2312" w:hAnsi="黑体" w:eastAsia="仿宋_GB2312"/>
                <w:kern w:val="0"/>
                <w:szCs w:val="21"/>
              </w:rPr>
              <w:t>没有现成信息需要另行制作</w:t>
            </w:r>
            <w:bookmarkEnd w:id="6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</w:t>
            </w:r>
            <w:bookmarkStart w:id="7" w:name="_Hlk66975466"/>
            <w:r>
              <w:rPr>
                <w:rFonts w:hint="eastAsia" w:ascii="仿宋_GB2312" w:hAnsi="黑体" w:eastAsia="仿宋_GB2312"/>
                <w:kern w:val="0"/>
                <w:szCs w:val="21"/>
              </w:rPr>
              <w:t>补正后申请内容仍不明确</w:t>
            </w:r>
            <w:bookmarkEnd w:id="7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</w:t>
            </w:r>
            <w:bookmarkStart w:id="8" w:name="_Hlk66975537"/>
            <w:r>
              <w:rPr>
                <w:rFonts w:hint="eastAsia" w:ascii="仿宋_GB2312" w:hAnsi="黑体" w:eastAsia="仿宋_GB2312"/>
                <w:kern w:val="0"/>
                <w:szCs w:val="21"/>
              </w:rPr>
              <w:t>信访举报投诉类申请</w:t>
            </w:r>
            <w:bookmarkEnd w:id="8"/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楷体" w:eastAsia="仿宋_GB2312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829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3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70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56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  <w:tc>
          <w:tcPr>
            <w:tcW w:w="851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四、政府信息公开行政复议、行政诉讼情况</w:t>
      </w:r>
    </w:p>
    <w:tbl>
      <w:tblPr>
        <w:tblStyle w:val="5"/>
        <w:tblW w:w="5000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7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531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551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552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审结</w:t>
            </w:r>
          </w:p>
        </w:tc>
        <w:tc>
          <w:tcPr>
            <w:tcW w:w="55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总计</w:t>
            </w:r>
          </w:p>
        </w:tc>
        <w:tc>
          <w:tcPr>
            <w:tcW w:w="276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277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51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left"/>
              <w:rPr>
                <w:rFonts w:ascii="Calibri" w:hAnsi="Calibri" w:eastAsia="宋体" w:cs="Calibri"/>
                <w:kern w:val="0"/>
                <w:szCs w:val="21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维持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审结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总计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维持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纠正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其他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结果</w:t>
            </w:r>
          </w:p>
        </w:tc>
        <w:tc>
          <w:tcPr>
            <w:tcW w:w="5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尚未</w:t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审结</w:t>
            </w:r>
          </w:p>
        </w:tc>
        <w:tc>
          <w:tcPr>
            <w:tcW w:w="56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5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hint="eastAsia" w:ascii="Calibri" w:hAnsi="Calibri" w:eastAsia="宋体" w:cs="Calibri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hint="eastAsia" w:ascii="仿宋_GB2312" w:hAnsi="Calibri" w:eastAsia="仿宋_GB2312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00"/>
        <w:rPr>
          <w:rFonts w:ascii="Calibri" w:hAnsi="Calibri" w:eastAsia="宋体" w:cs="Calibri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Calibri"/>
          <w:color w:val="000000"/>
          <w:kern w:val="0"/>
          <w:sz w:val="32"/>
          <w:szCs w:val="32"/>
          <w:shd w:val="clear" w:color="auto" w:fill="FFFFFF"/>
        </w:rPr>
        <w:t>五、存在的主要问题及改进情况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（一）存在</w:t>
      </w:r>
      <w:bookmarkStart w:id="9" w:name="_GoBack"/>
      <w:bookmarkEnd w:id="9"/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问题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工作质效有待加强，学习效能有待提升。部分领域的信息公开仍停留在证策文件层面，对政策解读、执行标准、取得成效等深度剖析不够充分。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color w:val="333333"/>
          <w:kern w:val="0"/>
          <w:sz w:val="32"/>
          <w:szCs w:val="32"/>
          <w:shd w:val="clear" w:color="auto" w:fill="FFFFFF"/>
        </w:rPr>
        <w:t>（二）改进措施</w:t>
      </w:r>
    </w:p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5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1、加强培训指导力度。定期开展政务信息公开培训，让公安机关工作人员能准确理解政策法规要求、熟练掌握专业知识和技能，切实提升公安机关政府信息公开工作水平。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2、提升服务质量。紧紧围绕政府信息公开工作重点，进一步细化工作标准。提升工作人员业务能力，完善内部审核和会商机制，确保依申请公开答复合法合规、严谨正确。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六、其他需要报告的事项 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(一)本单位收取政府信息公开信息处理费情况。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2025年度本单位向申请人收取信息处理费为0。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（二）本单位落实上级年度政务公开工作要点情况。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按照相关通知要求，加强日常监督管理，全面落实政务公开工作，提高政府信息公开工作实效和质量。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（三）本单位人大代表建议和政协提案办理结果公开情况。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2025年我单位共收到转办件15件。其中：人大代表建议7件和政协提案8件，全部规范办理完毕。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（四）本单位在政务公开制度、内容、形式和平台建设方面的创新实践情况。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left="0" w:leftChars="0" w:right="0" w:rightChars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按照政务公开工作要点及各项部署要求，严格落实全区“政府开放日”活动相关工作要求，山亭分局开展了“110 警察节”警营开放日，反诈宣传，网络安全宣传，“警”护平安一路“童”行等多场“政府开放日”活动，邀请群众代表、人大代表、政协委员及走进社区送宣传等方式，同时通过参观、互动、分享等形式，积极征求现场群众对公安工作的意见和建议，听取群众的声音，形成警民互动的良好氛围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C01F9"/>
    <w:rsid w:val="193D1D4E"/>
    <w:rsid w:val="23324B29"/>
    <w:rsid w:val="475E5BBA"/>
    <w:rsid w:val="4BD703EB"/>
    <w:rsid w:val="4D6948AC"/>
    <w:rsid w:val="53300480"/>
    <w:rsid w:val="53CB61A7"/>
    <w:rsid w:val="6228492C"/>
    <w:rsid w:val="6B40637D"/>
    <w:rsid w:val="7FFE8B05"/>
    <w:rsid w:val="C67F8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Autospacing="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2488</Words>
  <Characters>2581</Characters>
  <Paragraphs>406</Paragraphs>
  <TotalTime>38</TotalTime>
  <ScaleCrop>false</ScaleCrop>
  <LinksUpToDate>false</LinksUpToDate>
  <CharactersWithSpaces>2584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2026-01-26T17:11:00Z</dcterms:created>
  <dc:creator>Administrator</dc:creator>
  <cp:lastModifiedBy>user</cp:lastModifiedBy>
  <dcterms:modified xsi:type="dcterms:W3CDTF">2026-01-26T15:46:19Z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3b459a0f4bce4b85af919ec9d7731c73_23</vt:lpwstr>
  </property>
</Properties>
</file>