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caps w:val="0"/>
          <w:color w:val="000000"/>
          <w:spacing w:val="0"/>
          <w:kern w:val="0"/>
          <w:sz w:val="44"/>
          <w:szCs w:val="44"/>
          <w:lang w:val="en-US" w:eastAsia="zh-CN" w:bidi="ar"/>
        </w:rPr>
        <w:t>山亭区西集镇2025年</w:t>
      </w:r>
      <w:r>
        <w:rPr>
          <w:rFonts w:hint="eastAsia" w:ascii="方正小标宋简体" w:hAnsi="方正小标宋简体" w:eastAsia="方正小标宋简体" w:cs="方正小标宋简体"/>
          <w:b w:val="0"/>
          <w:bCs w:val="0"/>
          <w:sz w:val="44"/>
          <w:szCs w:val="44"/>
        </w:rPr>
        <w:t>政府信息公开</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sz w:val="44"/>
          <w:szCs w:val="44"/>
        </w:rPr>
        <w:t>工作年度报告</w:t>
      </w:r>
    </w:p>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i w:val="0"/>
          <w:caps w:val="0"/>
          <w:color w:val="000000"/>
          <w:spacing w:val="0"/>
          <w:kern w:val="0"/>
          <w:sz w:val="44"/>
          <w:szCs w:val="44"/>
          <w:lang w:val="en-US" w:eastAsia="zh-CN" w:bidi="ar"/>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根据新修订的《中华人民共和国政府信息公开条例》和《国务院办公厅政府信息与政务公开办公室关于印发〈中华人民共和国政府信息公开工作年度报告格式〉的通知》相关要求编制本报告，内容包括总体情况、主动公开政府信息情况、收到和处理政府信息公开申请情况、政府信息公开行政复议和行政诉讼情况、存在的主要问题及改进情况、其他需要报告的事项等六个部分。本报告所列数据的统计时</w:t>
      </w:r>
      <w:bookmarkStart w:id="10" w:name="_GoBack"/>
      <w:bookmarkEnd w:id="10"/>
      <w:r>
        <w:rPr>
          <w:rFonts w:hint="eastAsia" w:ascii="仿宋_GB2312" w:hAnsi="宋体" w:eastAsia="仿宋_GB2312" w:cs="仿宋_GB2312"/>
          <w:color w:val="000000"/>
          <w:kern w:val="0"/>
          <w:sz w:val="32"/>
          <w:szCs w:val="32"/>
          <w:highlight w:val="none"/>
          <w:lang w:val="en-US" w:eastAsia="zh-CN" w:bidi="ar"/>
        </w:rPr>
        <w:t>限自2025年1月1日至2025年12月31日。本报告电子版可从山亭区政府网站（http://www.shanting.gov.cn）下载。如对本报告有疑问，可</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与山亭区西集镇党政办公室联系（地</w:t>
      </w:r>
      <w:r>
        <w:rPr>
          <w:rFonts w:hint="eastAsia" w:ascii="仿宋_GB2312" w:hAnsi="宋体" w:eastAsia="仿宋_GB2312" w:cs="仿宋_GB2312"/>
          <w:color w:val="000000"/>
          <w:kern w:val="0"/>
          <w:sz w:val="32"/>
          <w:szCs w:val="32"/>
          <w:highlight w:val="none"/>
          <w:lang w:val="en-US" w:eastAsia="zh-CN" w:bidi="ar"/>
        </w:rPr>
        <w:t>址：山亭区西集镇政府驻地，邮编：277200，电话：0632-8511104）。</w:t>
      </w:r>
    </w:p>
    <w:p>
      <w:pPr>
        <w:keepNext/>
        <w:keepLines/>
        <w:pageBreakBefore w:val="0"/>
        <w:widowControl w:val="0"/>
        <w:numPr>
          <w:ilvl w:val="0"/>
          <w:numId w:val="0"/>
        </w:numPr>
        <w:kinsoku/>
        <w:wordWrap/>
        <w:overflowPunct/>
        <w:topLinePunct w:val="0"/>
        <w:autoSpaceDE/>
        <w:autoSpaceDN/>
        <w:bidi w:val="0"/>
        <w:adjustRightInd/>
        <w:snapToGrid/>
        <w:spacing w:before="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一、总体情况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2025年，西集镇人民政府认真贯彻落实《中华人民共和国政府信息公开条例》和各级政府信息公开工作要求，严格按照信息公开流程和信息公开保密审核制度，围绕群众关心的热点难点问题，主动拓宽公开渠道和领域。聚焦群众办事“时间受限、往返奔波、数字鸿沟”等痛点难点，以政务公开标准化规范化建设为抓手，将政务公开与政务服务深度融合。</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b/>
          <w:bCs/>
          <w:sz w:val="32"/>
          <w:szCs w:val="32"/>
          <w:lang w:eastAsia="zh-CN"/>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rPr>
        <w:t>聚焦重点领域，织密主动公开网络。</w:t>
      </w:r>
      <w:r>
        <w:rPr>
          <w:rFonts w:hint="eastAsia" w:ascii="仿宋_GB2312" w:hAnsi="宋体" w:eastAsia="仿宋_GB2312" w:cs="仿宋_GB2312"/>
          <w:color w:val="000000"/>
          <w:kern w:val="0"/>
          <w:sz w:val="32"/>
          <w:szCs w:val="32"/>
          <w:highlight w:val="none"/>
          <w:lang w:val="en-US" w:eastAsia="zh-CN" w:bidi="ar"/>
        </w:rPr>
        <w:t>紧扣乡村振兴、民生保障、安全生产、法治建设等重点领域，整合镇便民服务大厅、村级“五务”公示栏、村级服务站等线下渠道，构建全方位公开网络。累计主动公开各类政务信息超800条，涵盖政策法规、办事指南、事项办理进度、补贴发放情况等关键内容，确保群众“一看便知、一查便懂”。其中，针对企业和群众关心的高频事项，制作“线上办事操作指南”短视频15条，通过村级服务群等渠道广泛传播，累计播放量超5000次，让政策解读更直观、更易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sz w:val="32"/>
          <w:szCs w:val="32"/>
          <w:lang w:eastAsia="zh-CN"/>
        </w:rPr>
        <w:t>（二）规范办理流程，筑牢依申请公开防线。</w:t>
      </w:r>
      <w:r>
        <w:rPr>
          <w:rFonts w:hint="eastAsia" w:ascii="仿宋_GB2312" w:hAnsi="宋体" w:eastAsia="仿宋_GB2312" w:cs="仿宋_GB2312"/>
          <w:color w:val="000000"/>
          <w:kern w:val="0"/>
          <w:sz w:val="32"/>
          <w:szCs w:val="32"/>
          <w:highlight w:val="none"/>
          <w:lang w:val="en-US" w:eastAsia="zh-CN" w:bidi="ar"/>
        </w:rPr>
        <w:t>本年度共收到政府信息公开申请1件，为自然人申请，申请内容为山亭区西集镇基层政务公开标准化规范化目录。2025年，因政府信息公开被申请行政复议0件，因公民、法人和其他组织认为行政机关政府信息公开工作具体行政行为侵犯其合法权益，提起行政诉讼0件，未发生逾期答复或答复不当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楷体_GB2312" w:hAnsi="楷体_GB2312" w:eastAsia="楷体_GB2312" w:cs="楷体_GB2312"/>
          <w:b w:val="0"/>
          <w:bCs w:val="0"/>
          <w:sz w:val="32"/>
          <w:szCs w:val="32"/>
          <w:lang w:eastAsia="zh-CN"/>
        </w:rPr>
        <w:t>（三）健全管理机制，保障信息质效双优。</w:t>
      </w:r>
      <w:r>
        <w:rPr>
          <w:rFonts w:hint="eastAsia" w:ascii="仿宋_GB2312" w:hAnsi="宋体" w:eastAsia="仿宋_GB2312" w:cs="仿宋_GB2312"/>
          <w:color w:val="000000"/>
          <w:kern w:val="0"/>
          <w:sz w:val="32"/>
          <w:szCs w:val="32"/>
          <w:highlight w:val="none"/>
          <w:lang w:val="en-US" w:eastAsia="zh-CN" w:bidi="ar"/>
        </w:rPr>
        <w:t>完善政府信息管理体系，构建“主要领导亲自抓、分管领导具体抓、各部门协同配合”的工作格局，明确各职能部门在信息采集、审核、发布、更新等环节的责任。严格执行信息公开保密审查制度，对拟公开的政策文件、办事流程、补贴发放等信息进行多层级审核，确保公开信息真实准确、无失泄密风险。建立政务信息动态更新机制，根据政策调整、流程优化等情况，及时更新村级服务站政务公开专区资料及线上平台内容，保障公开信息的时效性与实用性。</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（四）线上线下融合，打造多元公开平台。</w:t>
      </w:r>
      <w:r>
        <w:rPr>
          <w:rFonts w:hint="eastAsia" w:ascii="仿宋_GB2312" w:hAnsi="宋体" w:eastAsia="仿宋_GB2312" w:cs="仿宋_GB2312"/>
          <w:color w:val="000000"/>
          <w:kern w:val="0"/>
          <w:sz w:val="32"/>
          <w:szCs w:val="32"/>
          <w:highlight w:val="none"/>
          <w:lang w:val="en-US" w:eastAsia="zh-CN" w:bidi="ar"/>
        </w:rPr>
        <w:t>深化智慧赋能与服务下沉，构建“线上+线下”融合的多元公开平台。线上推广“视频帮办”“远程预审”等云端服务，群众可通过“爱山东APP”或微信发起求助，工作人员在线指导办事流程、审核申请材料。线下升级改造镇便民服务中心，设置6大功能区域，提供80余项服务，同步在15个村级便民服务站设立标准化政务公开专区，统一公开办事指南、政策法规、收费标准等信息，配备便民服务手册与办事流程图。持续开展政府开放日活动，邀请村民代表、企业代表、基层“两代表一委员”走进便民服务中心，通过实地参观、流程体验、座谈交流等方式，“零距离”了解政务公开内容，收集意见建议用于优化工作。</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_GB2312" w:hAnsi="楷体_GB2312" w:eastAsia="楷体_GB2312" w:cs="楷体_GB2312"/>
          <w:b w:val="0"/>
          <w:bCs w:val="0"/>
          <w:sz w:val="32"/>
          <w:szCs w:val="32"/>
          <w:lang w:eastAsia="zh-CN"/>
        </w:rPr>
        <w:t>（五）强化双向监督，提升政务公开实效。</w:t>
      </w:r>
      <w:r>
        <w:rPr>
          <w:rFonts w:hint="eastAsia" w:ascii="仿宋_GB2312" w:hAnsi="宋体" w:eastAsia="仿宋_GB2312" w:cs="仿宋_GB2312"/>
          <w:color w:val="000000"/>
          <w:kern w:val="0"/>
          <w:sz w:val="32"/>
          <w:szCs w:val="32"/>
          <w:highlight w:val="none"/>
          <w:lang w:val="en-US" w:eastAsia="zh-CN" w:bidi="ar"/>
        </w:rPr>
        <w:t>在镇便民服务中心各窗口、村级服务站显著位置张贴评价二维码，群众办理业务后可即时对服务态度、办事效率、公开程度等进行评价；每月安排专人电话回访办事群众，详细了解其对政策公开、流程告知、结果反馈等方面的意见建议</w:t>
      </w:r>
      <w:r>
        <w:rPr>
          <w:rFonts w:hint="eastAsia" w:ascii="仿宋_GB2312" w:hAnsi="宋体" w:eastAsia="仿宋_GB2312" w:cs="仿宋_GB2312"/>
          <w:color w:val="000000" w:themeColor="text1"/>
          <w:kern w:val="0"/>
          <w:sz w:val="32"/>
          <w:szCs w:val="32"/>
          <w:highlight w:val="none"/>
          <w:lang w:val="en-US" w:eastAsia="zh-CN" w:bidi="ar"/>
          <w14:textFill>
            <w14:solidFill>
              <w14:schemeClr w14:val="tx1"/>
            </w14:solidFill>
          </w14:textFill>
        </w:rPr>
        <w:t>。2025年度，累</w:t>
      </w:r>
      <w:r>
        <w:rPr>
          <w:rFonts w:hint="eastAsia" w:ascii="仿宋_GB2312" w:hAnsi="宋体" w:eastAsia="仿宋_GB2312" w:cs="仿宋_GB2312"/>
          <w:color w:val="000000"/>
          <w:kern w:val="0"/>
          <w:sz w:val="32"/>
          <w:szCs w:val="32"/>
          <w:highlight w:val="none"/>
          <w:lang w:val="en-US" w:eastAsia="zh-CN" w:bidi="ar"/>
        </w:rPr>
        <w:t>计收集群众评价3000余条，电话回访群众500余人次，收集意见建议20余条，实现“事事有回应、件件有落实”。同时，组织业务骨干深入各村开展“数字政务进乡村”活动10余场，培训群众操作线上公开平台与办事系统，提升政务公开知晓率与使用率。</w:t>
      </w:r>
    </w:p>
    <w:p>
      <w:pPr>
        <w:keepNext/>
        <w:keepLines/>
        <w:pageBreakBefore w:val="0"/>
        <w:widowControl w:val="0"/>
        <w:numPr>
          <w:ilvl w:val="0"/>
          <w:numId w:val="0"/>
        </w:numPr>
        <w:kinsoku/>
        <w:wordWrap/>
        <w:overflowPunct/>
        <w:topLinePunct w:val="0"/>
        <w:autoSpaceDE/>
        <w:autoSpaceDN/>
        <w:bidi w:val="0"/>
        <w:adjustRightInd/>
        <w:snapToGrid/>
        <w:spacing w:before="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二、主动公开政府信息情况</w:t>
      </w:r>
    </w:p>
    <w:tbl>
      <w:tblPr>
        <w:tblStyle w:val="6"/>
        <w:tblW w:w="5000" w:type="pct"/>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Times New Roman" w:hAnsi="Times New Roman"/>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宋体" w:eastAsia="仿宋_GB2312" w:cs="宋体"/>
                <w:color w:val="000000"/>
                <w:kern w:val="0"/>
                <w:szCs w:val="21"/>
                <w:lang w:eastAsia="zh-CN"/>
              </w:rPr>
            </w:pPr>
            <w:r>
              <w:rPr>
                <w:rFonts w:hint="eastAsia" w:ascii="Times New Roman" w:hAnsi="Times New Roman"/>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Calibri" w:eastAsia="仿宋_GB2312" w:cs="Calibri"/>
                <w:color w:val="000000"/>
                <w:kern w:val="0"/>
                <w:szCs w:val="21"/>
                <w:lang w:eastAsia="zh-CN"/>
              </w:rPr>
            </w:pPr>
            <w:r>
              <w:rPr>
                <w:rFonts w:hint="eastAsia" w:ascii="Times New Roman" w:hAnsi="Times New Roman"/>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宋体" w:eastAsia="仿宋_GB2312" w:cs="宋体"/>
                <w:color w:val="000000"/>
                <w:kern w:val="0"/>
                <w:szCs w:val="21"/>
                <w:lang w:eastAsia="zh-CN"/>
              </w:rPr>
            </w:pPr>
            <w:r>
              <w:rPr>
                <w:rFonts w:hint="eastAsia" w:ascii="Times New Roman" w:hAnsi="Times New Roman"/>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宋体" w:eastAsia="仿宋_GB2312" w:cs="宋体"/>
                <w:color w:val="000000"/>
                <w:kern w:val="0"/>
                <w:szCs w:val="21"/>
                <w:lang w:eastAsia="zh-CN"/>
              </w:rPr>
            </w:pPr>
            <w:r>
              <w:rPr>
                <w:rFonts w:hint="eastAsia" w:ascii="Times New Roman" w:hAnsi="Times New Roman"/>
                <w:lang w:val="en-US" w:eastAsia="zh-CN"/>
              </w:rPr>
              <w:t>0</w:t>
            </w:r>
          </w:p>
        </w:tc>
        <w:tc>
          <w:tcPr>
            <w:tcW w:w="2206" w:type="dxa"/>
            <w:tcBorders>
              <w:top w:val="nil"/>
              <w:left w:val="nil"/>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Calibri" w:eastAsia="仿宋_GB2312" w:cs="Calibri"/>
                <w:color w:val="000000"/>
                <w:kern w:val="0"/>
                <w:szCs w:val="21"/>
                <w:lang w:eastAsia="zh-CN"/>
              </w:rPr>
            </w:pPr>
            <w:r>
              <w:rPr>
                <w:rFonts w:hint="eastAsia" w:ascii="Times New Roman" w:hAnsi="Times New Roman"/>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Calibri" w:eastAsia="仿宋_GB2312" w:cs="Calibri"/>
                <w:color w:val="000000"/>
                <w:kern w:val="0"/>
                <w:szCs w:val="21"/>
                <w:lang w:eastAsia="zh-CN"/>
              </w:rPr>
            </w:pPr>
            <w:r>
              <w:rPr>
                <w:rFonts w:hint="eastAsia" w:ascii="Times New Roman" w:hAnsi="Times New Roman"/>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Times New Roman" w:hAnsi="Times New Roman"/>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宋体" w:eastAsia="仿宋_GB2312" w:cs="宋体"/>
                <w:color w:val="000000"/>
                <w:kern w:val="0"/>
                <w:szCs w:val="21"/>
                <w:lang w:val="en-US" w:eastAsia="zh-CN"/>
              </w:rPr>
            </w:pPr>
            <w:r>
              <w:rPr>
                <w:rFonts w:hint="eastAsia" w:ascii="Times New Roman" w:hAnsi="Times New Roman"/>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left"/>
              <w:textAlignment w:val="auto"/>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Calibri" w:eastAsia="仿宋_GB2312" w:cs="Calibri"/>
                <w:color w:val="000000"/>
                <w:kern w:val="0"/>
                <w:szCs w:val="21"/>
                <w:lang w:val="en-US" w:eastAsia="zh-CN"/>
              </w:rPr>
            </w:pPr>
            <w:r>
              <w:rPr>
                <w:rFonts w:hint="eastAsia" w:ascii="Times New Roman" w:hAnsi="Times New Roman"/>
                <w:lang w:val="en-US" w:eastAsia="zh-CN"/>
              </w:rPr>
              <w:t>0</w:t>
            </w:r>
          </w:p>
        </w:tc>
      </w:tr>
    </w:tbl>
    <w:p>
      <w:pPr>
        <w:keepNext/>
        <w:keepLines/>
        <w:pageBreakBefore w:val="0"/>
        <w:widowControl w:val="0"/>
        <w:numPr>
          <w:ilvl w:val="0"/>
          <w:numId w:val="0"/>
        </w:numPr>
        <w:kinsoku/>
        <w:wordWrap/>
        <w:overflowPunct/>
        <w:topLinePunct w:val="0"/>
        <w:autoSpaceDE/>
        <w:autoSpaceDN/>
        <w:bidi w:val="0"/>
        <w:adjustRightInd/>
        <w:snapToGrid/>
        <w:spacing w:before="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三、收到和处理政府信息公开申请情况</w:t>
      </w:r>
    </w:p>
    <w:tbl>
      <w:tblPr>
        <w:tblStyle w:val="6"/>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3"/>
        <w:gridCol w:w="1537"/>
        <w:gridCol w:w="2671"/>
        <w:gridCol w:w="762"/>
        <w:gridCol w:w="529"/>
        <w:gridCol w:w="529"/>
        <w:gridCol w:w="675"/>
        <w:gridCol w:w="654"/>
        <w:gridCol w:w="529"/>
        <w:gridCol w:w="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p>
        </w:tc>
        <w:tc>
          <w:tcPr>
            <w:tcW w:w="829"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自然人</w:t>
            </w:r>
          </w:p>
        </w:tc>
        <w:tc>
          <w:tcPr>
            <w:tcW w:w="3140" w:type="dxa"/>
            <w:gridSpan w:val="5"/>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法人或其他组织</w:t>
            </w:r>
          </w:p>
        </w:tc>
        <w:tc>
          <w:tcPr>
            <w:tcW w:w="851"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p>
        </w:tc>
        <w:tc>
          <w:tcPr>
            <w:tcW w:w="829"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商业企业</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科研机构</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社会公益组织</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szCs w:val="21"/>
              </w:rPr>
            </w:pPr>
            <w:r>
              <w:rPr>
                <w:rFonts w:hint="eastAsia" w:ascii="黑体" w:hAnsi="黑体" w:eastAsia="黑体"/>
                <w:kern w:val="0"/>
                <w:szCs w:val="21"/>
              </w:rPr>
              <w:t>法律服务机构</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szCs w:val="21"/>
              </w:rPr>
            </w:pPr>
            <w:r>
              <w:rPr>
                <w:rFonts w:hint="eastAsia" w:ascii="黑体" w:hAnsi="黑体" w:eastAsia="黑体"/>
                <w:kern w:val="0"/>
                <w:szCs w:val="21"/>
              </w:rPr>
              <w:t>其他</w:t>
            </w:r>
          </w:p>
        </w:tc>
        <w:tc>
          <w:tcPr>
            <w:tcW w:w="85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jc w:val="center"/>
              <w:textAlignment w:val="auto"/>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1</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szCs w:val="21"/>
                <w:lang w:val="en-US" w:eastAsia="zh-CN"/>
              </w:rPr>
            </w:pPr>
            <w:r>
              <w:rPr>
                <w:rFonts w:hint="eastAsia" w:ascii="Times New Roman" w:hAnsi="Times New Roman"/>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二、上年结转政府信息公开申请数量</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三、本年度办理结果</w:t>
            </w:r>
          </w:p>
        </w:tc>
        <w:tc>
          <w:tcPr>
            <w:tcW w:w="4677" w:type="dxa"/>
            <w:gridSpan w:val="2"/>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（一）予以公开</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1</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4677" w:type="dxa"/>
            <w:gridSpan w:val="2"/>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（三）不予公开</w:t>
            </w: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（四）无法提供</w:t>
            </w: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r>
              <w:rPr>
                <w:rFonts w:hint="eastAsia" w:ascii="黑体" w:hAnsi="黑体" w:eastAsia="黑体"/>
                <w:kern w:val="0"/>
                <w:szCs w:val="21"/>
              </w:rPr>
              <w:t>（五）不予处理</w:t>
            </w: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2976"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黑体" w:eastAsia="仿宋_GB2312"/>
                <w:kern w:val="0"/>
                <w:szCs w:val="21"/>
              </w:rPr>
              <w:t>5.要求行政机关确认或重新</w:t>
            </w:r>
          </w:p>
          <w:p>
            <w:pPr>
              <w:pageBreakBefore w:val="0"/>
              <w:widowControl/>
              <w:kinsoku/>
              <w:wordWrap/>
              <w:overflowPunct/>
              <w:topLinePunct w:val="0"/>
              <w:autoSpaceDE/>
              <w:autoSpaceDN/>
              <w:bidi w:val="0"/>
              <w:adjustRightInd/>
              <w:snapToGrid/>
              <w:spacing w:line="520" w:lineRule="exact"/>
              <w:ind w:left="0" w:leftChars="0" w:right="0" w:rightChars="0" w:firstLine="210" w:firstLineChars="100"/>
              <w:textAlignment w:val="auto"/>
              <w:rPr>
                <w:rFonts w:ascii="仿宋_GB2312" w:hAnsi="黑体" w:eastAsia="仿宋_GB2312"/>
                <w:szCs w:val="21"/>
              </w:rPr>
            </w:pPr>
            <w:r>
              <w:rPr>
                <w:rFonts w:hint="eastAsia" w:ascii="仿宋_GB2312" w:hAnsi="黑体" w:eastAsia="仿宋_GB2312"/>
                <w:kern w:val="0"/>
                <w:szCs w:val="21"/>
              </w:rPr>
              <w:t>出具已获取信息</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restart"/>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（六）其他处理</w:t>
            </w:r>
          </w:p>
        </w:tc>
        <w:tc>
          <w:tcPr>
            <w:tcW w:w="2976" w:type="dxa"/>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p>
        </w:tc>
        <w:tc>
          <w:tcPr>
            <w:tcW w:w="2976" w:type="dxa"/>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1701" w:type="dxa"/>
            <w:vMerge w:val="continue"/>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p>
        </w:tc>
        <w:tc>
          <w:tcPr>
            <w:tcW w:w="2976" w:type="dxa"/>
            <w:noWrap w:val="0"/>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仿宋_GB2312" w:hAnsi="黑体" w:eastAsia="仿宋_GB2312"/>
                <w:kern w:val="0"/>
                <w:szCs w:val="21"/>
              </w:rPr>
            </w:pPr>
            <w:r>
              <w:rPr>
                <w:rFonts w:hint="eastAsia" w:ascii="仿宋_GB2312" w:hAnsi="楷体" w:eastAsia="仿宋_GB2312"/>
              </w:rPr>
              <w:t>3.其他</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Cs w:val="21"/>
              </w:rPr>
            </w:pPr>
          </w:p>
        </w:tc>
        <w:tc>
          <w:tcPr>
            <w:tcW w:w="4677" w:type="dxa"/>
            <w:gridSpan w:val="2"/>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（七）总计</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1</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textAlignment w:val="auto"/>
              <w:rPr>
                <w:rFonts w:ascii="黑体" w:hAnsi="黑体" w:eastAsia="黑体"/>
                <w:kern w:val="0"/>
                <w:szCs w:val="21"/>
              </w:rPr>
            </w:pPr>
            <w:r>
              <w:rPr>
                <w:rFonts w:hint="eastAsia" w:ascii="黑体" w:hAnsi="黑体" w:eastAsia="黑体"/>
                <w:kern w:val="0"/>
                <w:szCs w:val="21"/>
              </w:rPr>
              <w:t>四、结转下年度继续办理</w:t>
            </w:r>
          </w:p>
        </w:tc>
        <w:tc>
          <w:tcPr>
            <w:tcW w:w="829"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3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708"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67"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851" w:type="dxa"/>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r>
    </w:tbl>
    <w:p>
      <w:pPr>
        <w:keepNext/>
        <w:keepLines/>
        <w:pageBreakBefore w:val="0"/>
        <w:widowControl w:val="0"/>
        <w:numPr>
          <w:ilvl w:val="0"/>
          <w:numId w:val="0"/>
        </w:numPr>
        <w:kinsoku/>
        <w:wordWrap/>
        <w:overflowPunct/>
        <w:topLinePunct w:val="0"/>
        <w:autoSpaceDE/>
        <w:autoSpaceDN/>
        <w:bidi w:val="0"/>
        <w:adjustRightInd/>
        <w:snapToGrid/>
        <w:spacing w:before="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四、因政府信息公开工作被申请行政复议、提起行政诉讼情况统计表</w:t>
      </w:r>
    </w:p>
    <w:tbl>
      <w:tblPr>
        <w:tblStyle w:val="6"/>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3"/>
        <w:gridCol w:w="603"/>
        <w:gridCol w:w="603"/>
        <w:gridCol w:w="603"/>
        <w:gridCol w:w="657"/>
        <w:gridCol w:w="549"/>
        <w:gridCol w:w="604"/>
        <w:gridCol w:w="604"/>
        <w:gridCol w:w="604"/>
        <w:gridCol w:w="604"/>
        <w:gridCol w:w="604"/>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总</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bookmarkStart w:id="9" w:name="_Hlk67039688"/>
            <w:r>
              <w:rPr>
                <w:rFonts w:ascii="黑体" w:hAnsi="黑体" w:eastAsia="黑体"/>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kinsoku/>
              <w:wordWrap/>
              <w:overflowPunct/>
              <w:topLinePunct w:val="0"/>
              <w:autoSpaceDE/>
              <w:autoSpaceDN/>
              <w:bidi w:val="0"/>
              <w:adjustRightInd/>
              <w:snapToGrid/>
              <w:spacing w:line="520" w:lineRule="exact"/>
              <w:ind w:left="0" w:leftChars="0" w:right="0" w:rightChars="0"/>
              <w:textAlignment w:val="auto"/>
              <w:rPr>
                <w:rFonts w:ascii="黑体" w:hAnsi="黑体" w:eastAsia="黑体"/>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其他</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尚未</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kern w:val="0"/>
                <w:sz w:val="20"/>
                <w:szCs w:val="20"/>
              </w:rPr>
            </w:pPr>
            <w:r>
              <w:rPr>
                <w:rFonts w:ascii="黑体" w:hAnsi="黑体" w:eastAsia="黑体"/>
                <w:kern w:val="0"/>
                <w:sz w:val="20"/>
                <w:szCs w:val="20"/>
              </w:rPr>
              <w:t>结果</w:t>
            </w:r>
          </w:p>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kern w:val="0"/>
                <w:sz w:val="20"/>
                <w:szCs w:val="20"/>
              </w:rPr>
            </w:pPr>
            <w:r>
              <w:rPr>
                <w:rFonts w:ascii="黑体" w:hAnsi="黑体" w:eastAsia="黑体"/>
                <w:kern w:val="0"/>
                <w:sz w:val="20"/>
                <w:szCs w:val="20"/>
              </w:rPr>
              <w:t>其他</w:t>
            </w:r>
          </w:p>
          <w:p>
            <w:pPr>
              <w:pageBreakBefore w:val="0"/>
              <w:widowControl/>
              <w:kinsoku/>
              <w:wordWrap/>
              <w:overflowPunct/>
              <w:topLinePunct w:val="0"/>
              <w:autoSpaceDE/>
              <w:autoSpaceDN/>
              <w:bidi w:val="0"/>
              <w:adjustRightInd/>
              <w:snapToGrid/>
              <w:spacing w:line="520" w:lineRule="exact"/>
              <w:ind w:left="0" w:leftChars="0" w:right="0" w:rightChars="0" w:hanging="1"/>
              <w:jc w:val="center"/>
              <w:textAlignment w:val="auto"/>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2" w:leftChars="0" w:right="0" w:rightChars="0" w:hanging="2" w:hangingChars="1"/>
              <w:jc w:val="center"/>
              <w:textAlignment w:val="auto"/>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ascii="黑体" w:hAnsi="黑体" w:eastAsia="黑体"/>
              </w:rPr>
            </w:pPr>
            <w:r>
              <w:rPr>
                <w:rFonts w:ascii="黑体" w:hAnsi="黑体" w:eastAsia="黑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仿宋_GB2312" w:hAnsi="Times New Roman" w:eastAsia="仿宋_GB2312" w:cs="Times New Roman"/>
                <w:kern w:val="2"/>
                <w:sz w:val="21"/>
                <w:szCs w:val="21"/>
                <w:lang w:val="en-US" w:eastAsia="zh-CN" w:bidi="ar-SA"/>
              </w:rPr>
            </w:pPr>
            <w:r>
              <w:rPr>
                <w:rFonts w:hint="eastAsia" w:ascii="Times New Roman" w:hAnsi="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pageBreakBefore w:val="0"/>
              <w:widowControl/>
              <w:kinsoku/>
              <w:wordWrap/>
              <w:overflowPunct/>
              <w:topLinePunct w:val="0"/>
              <w:autoSpaceDE/>
              <w:autoSpaceDN/>
              <w:bidi w:val="0"/>
              <w:adjustRightInd/>
              <w:snapToGrid/>
              <w:spacing w:line="520" w:lineRule="exact"/>
              <w:ind w:left="0" w:leftChars="0" w:right="0" w:rightChars="0"/>
              <w:jc w:val="center"/>
              <w:textAlignment w:val="auto"/>
              <w:rPr>
                <w:rFonts w:hint="eastAsia" w:ascii="Times New Roman" w:hAnsi="Times New Roman" w:eastAsia="宋体"/>
                <w:lang w:val="en-US" w:eastAsia="zh-CN"/>
              </w:rPr>
            </w:pPr>
            <w:r>
              <w:rPr>
                <w:rFonts w:hint="eastAsia" w:ascii="Times New Roman" w:hAnsi="Times New Roman"/>
                <w:lang w:val="en-US" w:eastAsia="zh-CN"/>
              </w:rPr>
              <w:t>0</w:t>
            </w:r>
          </w:p>
        </w:tc>
      </w:tr>
    </w:tbl>
    <w:p>
      <w:pPr>
        <w:keepNext/>
        <w:keepLines/>
        <w:pageBreakBefore w:val="0"/>
        <w:widowControl w:val="0"/>
        <w:numPr>
          <w:ilvl w:val="0"/>
          <w:numId w:val="0"/>
        </w:numPr>
        <w:kinsoku/>
        <w:wordWrap/>
        <w:overflowPunct/>
        <w:topLinePunct w:val="0"/>
        <w:autoSpaceDE/>
        <w:autoSpaceDN/>
        <w:bidi w:val="0"/>
        <w:adjustRightInd/>
        <w:snapToGrid/>
        <w:spacing w:before="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五、存在的主要问题及改进情况</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（一）存在的问题</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2025年，政府信息公开工作取得一定成绩，但与上级要求和群众期盼相比，仍存在一些问题和不足：</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b w:val="0"/>
          <w:bCs w:val="0"/>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一是解读形式创新性不足。政策解读虽已尝试短视频形式，但占比仍不高，针对老年人等特殊群体的通俗化、场景化解读作品偏少，解读针对性有待进一步提升。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b w:val="0"/>
          <w:bCs w:val="0"/>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二是村级公开实效不均。15个村级便民服务站的政务公开专区管理存在差异，部分村级站点信息更新不够及时，基层信息公开工作人员的主动公开意识和业务能力有待加强。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三是公开服务针对性不足。针对青少年、外来务工人员等群体的政务公开服务形式和内容设</w:t>
      </w:r>
      <w:r>
        <w:rPr>
          <w:rFonts w:hint="eastAsia" w:ascii="仿宋_GB2312" w:hAnsi="宋体" w:eastAsia="仿宋_GB2312" w:cs="仿宋_GB2312"/>
          <w:color w:val="000000"/>
          <w:kern w:val="0"/>
          <w:sz w:val="32"/>
          <w:szCs w:val="32"/>
          <w:highlight w:val="none"/>
          <w:lang w:val="en-US" w:eastAsia="zh-CN" w:bidi="ar"/>
        </w:rPr>
        <w:t>计不够贴合其需求，未能实现精准化信息推送和解读。</w:t>
      </w:r>
    </w:p>
    <w:p>
      <w:pPr>
        <w:pStyle w:val="5"/>
        <w:keepNext w:val="0"/>
        <w:keepLines w:val="0"/>
        <w:pageBreakBefore w:val="0"/>
        <w:widowControl w:val="0"/>
        <w:kinsoku/>
        <w:wordWrap/>
        <w:overflowPunct/>
        <w:topLinePunct w:val="0"/>
        <w:autoSpaceDE/>
        <w:autoSpaceDN/>
        <w:bidi w:val="0"/>
        <w:adjustRightInd/>
        <w:snapToGrid/>
        <w:spacing w:after="0" w:line="520" w:lineRule="exact"/>
        <w:ind w:left="0" w:leftChars="0" w:right="0" w:rightChars="0" w:firstLine="640" w:firstLineChars="200"/>
        <w:jc w:val="both"/>
        <w:textAlignment w:val="auto"/>
        <w:outlineLvl w:val="9"/>
        <w:rPr>
          <w:rFonts w:hint="eastAsia" w:ascii="楷体_GB2312" w:hAnsi="楷体_GB2312" w:eastAsia="楷体_GB2312" w:cs="楷体_GB2312"/>
          <w:b w:val="0"/>
          <w:bCs w:val="0"/>
          <w:kern w:val="2"/>
          <w:sz w:val="32"/>
          <w:szCs w:val="32"/>
          <w:highlight w:val="none"/>
          <w:lang w:val="en-US" w:eastAsia="zh-CN" w:bidi="ar-SA"/>
        </w:rPr>
      </w:pPr>
      <w:r>
        <w:rPr>
          <w:rFonts w:hint="eastAsia" w:ascii="楷体_GB2312" w:hAnsi="楷体_GB2312" w:eastAsia="楷体_GB2312" w:cs="楷体_GB2312"/>
          <w:b w:val="0"/>
          <w:bCs w:val="0"/>
          <w:kern w:val="2"/>
          <w:sz w:val="32"/>
          <w:szCs w:val="32"/>
          <w:highlight w:val="none"/>
          <w:lang w:val="en-US" w:eastAsia="zh-CN" w:bidi="ar-SA"/>
        </w:rPr>
        <w:t>（二）下步改进措施</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宋体" w:eastAsia="仿宋_GB2312" w:cs="仿宋_GB2312"/>
          <w:b w:val="0"/>
          <w:bCs w:val="0"/>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一是丰富解读传播形式。扩大可视化解读覆盖面，在政务服务专区开设解读专栏集中展示多元形式的政策解读作品。结合“数字政务进乡村”活动，组织工作人员现场开展政策解读宣讲，用通俗易懂的语言为群众答疑解惑，提升政策知晓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宋体" w:eastAsia="仿宋_GB2312" w:cs="仿宋_GB2312"/>
          <w:b w:val="0"/>
          <w:bCs w:val="0"/>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二是强化基层能力建设。邀请业务专家开展专题培训，重点培训村级公开专区管理等内容。开展村级信息公开工作交流评比活动，分享先进经验，倒逼后进提升。村级服务站配备信息公开联络员，保障信息更新及时、规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b w:val="0"/>
          <w:bCs w:val="0"/>
          <w:color w:val="000000"/>
          <w:kern w:val="0"/>
          <w:sz w:val="32"/>
          <w:szCs w:val="32"/>
          <w:highlight w:val="none"/>
          <w:lang w:val="en-US" w:eastAsia="zh-CN" w:bidi="ar"/>
        </w:rPr>
        <w:t>三是强化重点群体服务。开展重点群体需求调研，针对性设计政务公开内容和服务形式，制作简</w:t>
      </w:r>
      <w:r>
        <w:rPr>
          <w:rFonts w:hint="eastAsia" w:ascii="仿宋_GB2312" w:hAnsi="宋体" w:eastAsia="仿宋_GB2312" w:cs="仿宋_GB2312"/>
          <w:color w:val="000000"/>
          <w:kern w:val="0"/>
          <w:sz w:val="32"/>
          <w:szCs w:val="32"/>
          <w:highlight w:val="none"/>
          <w:lang w:val="en-US" w:eastAsia="zh-CN" w:bidi="ar"/>
        </w:rPr>
        <w:t>易政策图解、政策解读材料，通过精准化服务提升不同群体的信息获取体验。</w:t>
      </w:r>
    </w:p>
    <w:p>
      <w:pPr>
        <w:keepNext/>
        <w:keepLines/>
        <w:pageBreakBefore w:val="0"/>
        <w:widowControl w:val="0"/>
        <w:numPr>
          <w:ilvl w:val="0"/>
          <w:numId w:val="0"/>
        </w:numPr>
        <w:kinsoku/>
        <w:wordWrap/>
        <w:overflowPunct/>
        <w:topLinePunct w:val="0"/>
        <w:autoSpaceDE/>
        <w:autoSpaceDN/>
        <w:bidi w:val="0"/>
        <w:adjustRightInd/>
        <w:snapToGrid/>
        <w:spacing w:before="0" w:line="520" w:lineRule="exact"/>
        <w:ind w:left="0" w:leftChars="0" w:right="0" w:rightChars="0" w:firstLine="640" w:firstLineChars="200"/>
        <w:textAlignment w:val="auto"/>
        <w:outlineLvl w:val="9"/>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六、其他需要报告的事项</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b w:val="0"/>
          <w:bCs w:val="0"/>
          <w:color w:val="000000"/>
          <w:kern w:val="0"/>
          <w:sz w:val="32"/>
          <w:szCs w:val="32"/>
          <w:lang w:val="en-US" w:eastAsia="zh-CN" w:bidi="ar"/>
        </w:rPr>
      </w:pPr>
      <w:r>
        <w:rPr>
          <w:rFonts w:hint="eastAsia" w:ascii="楷体_GB2312" w:hAnsi="楷体_GB2312" w:eastAsia="楷体_GB2312" w:cs="楷体_GB2312"/>
          <w:b w:val="0"/>
          <w:bCs w:val="0"/>
          <w:sz w:val="32"/>
          <w:szCs w:val="32"/>
          <w:lang w:val="en-US" w:eastAsia="zh-CN"/>
        </w:rPr>
        <w:t>（一）本单位收取政府信息公开信息处理费情况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2025年度，本单位严格按照《政府信息公开信息处理费管理办法》规定执行，未向申请人收取信息处理费（收费金额：0元）。</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（二）本单位落实上级年度政务公开工作要点情况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严格对照省、市、区2025年度政务公开工作要点要求，将重点任务融入“小西办事”品牌建设，完成了政务服务信息公开等任务，相关落实情况已通过政府门户网站公开。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（三）本单位人大代表建议和政协提案办理结果公开情况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2025年度，承办区级人大建议、政协提案共6件（均为协办件），全部按期办结，办复率、见面沟通率、满意率均达100%，吸收采纳率100%，建议提案办理总体情况已在山亭区人民政府网站公开。</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（四）本单位在政务公开制度、内容、形式和平台建设方面的创新实践情况</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围绕“公开透明、便捷高效、暖心惠民”目标，创新构建“1+2+N”政务公开服务模式，即聚焦“小西办事”1个核心品牌，强化机制保障与服务优化2大支撑，拓展N项特色服务与公开渠道，推动政务公开与政务服务同频共振、同向发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jc w:val="both"/>
        <w:textAlignment w:val="auto"/>
        <w:outlineLvl w:val="9"/>
        <w:rPr>
          <w:rFonts w:hint="eastAsia" w:ascii="仿宋_GB2312" w:hAnsi="宋体" w:eastAsia="仿宋_GB2312" w:cs="仿宋_GB2312"/>
          <w:color w:val="000000"/>
          <w:kern w:val="0"/>
          <w:sz w:val="32"/>
          <w:szCs w:val="32"/>
          <w:highlight w:val="none"/>
          <w:lang w:val="en-US" w:eastAsia="zh-CN" w:bidi="ar"/>
        </w:rPr>
      </w:pPr>
    </w:p>
    <w:sectPr>
      <w:footerReference r:id="rId3" w:type="default"/>
      <w:pgSz w:w="11906" w:h="16838"/>
      <w:pgMar w:top="1440" w:right="1474"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440E77"/>
    <w:rsid w:val="2B8841DA"/>
    <w:rsid w:val="70440E77"/>
    <w:rsid w:val="7DF9DA61"/>
    <w:rsid w:val="7EA7C483"/>
    <w:rsid w:val="7FFFAF9B"/>
    <w:rsid w:val="DFF31119"/>
    <w:rsid w:val="F3EB4C31"/>
    <w:rsid w:val="F7931294"/>
    <w:rsid w:val="FC7FE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39"/>
    <w:pPr>
      <w:widowControl/>
      <w:tabs>
        <w:tab w:val="right" w:leader="dot" w:pos="9060"/>
      </w:tabs>
      <w:spacing w:after="100" w:line="600" w:lineRule="exact"/>
    </w:pPr>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3466</Words>
  <Characters>3586</Characters>
  <Lines>0</Lines>
  <Paragraphs>0</Paragraphs>
  <TotalTime>35</TotalTime>
  <ScaleCrop>false</ScaleCrop>
  <LinksUpToDate>false</LinksUpToDate>
  <CharactersWithSpaces>3586</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2026-01-09T19:26:00Z</dcterms:created>
  <dc:creator>WPS_1693640554</dc:creator>
  <cp:lastModifiedBy>user</cp:lastModifiedBy>
  <dcterms:modified xsi:type="dcterms:W3CDTF">2026-01-27T11:12:44Z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8C609D548EB14942AE90BA5E40CAB941_13</vt:lpwstr>
  </property>
  <property fmtid="{D5CDD505-2E9C-101B-9397-08002B2CF9AE}" pid="4" name="KSOTemplateDocerSaveRecord">
    <vt:lpwstr>eyJoZGlkIjoiMWM2N2UxOTI5NjIxMjU0ZDY2ZGY0MmNlNTA0ZWJmMDEiLCJ1c2VySWQiOiI0MTg2NDUyMzgifQ==</vt:lpwstr>
  </property>
</Properties>
</file>