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ind w:firstLine="510"/>
        <w:jc w:val="center"/>
      </w:pPr>
    </w:p>
    <w:p>
      <w:pPr>
        <w:spacing w:before="0" w:after="0"/>
        <w:jc w:val="center"/>
      </w:pPr>
      <w:r>
        <w:rPr>
          <w:rFonts w:ascii="方正小标宋简" w:hAnsi="方正小标宋简" w:eastAsia="方正小标宋简" w:cs="方正小标宋简"/>
          <w:b/>
          <w:i w:val="0"/>
          <w:sz w:val="48"/>
          <w:u w:val="none"/>
        </w:rPr>
        <w:t>2022年度枣庄市山亭区实验小学</w:t>
      </w:r>
    </w:p>
    <w:p>
      <w:pPr>
        <w:spacing w:before="0" w:after="0"/>
        <w:jc w:val="center"/>
      </w:pPr>
      <w:r>
        <w:rPr>
          <w:rFonts w:ascii="方正小标宋简" w:hAnsi="方正小标宋简" w:eastAsia="方正小标宋简" w:cs="方正小标宋简"/>
          <w:b/>
          <w:i w:val="0"/>
          <w:sz w:val="48"/>
          <w:u w:val="none"/>
        </w:rPr>
        <w:t>政府部门财务报告</w:t>
      </w: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 w:line="420" w:lineRule="auto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部门（单位）名称：（公章）</w:t>
      </w:r>
    </w:p>
    <w:p>
      <w:pPr>
        <w:spacing w:before="0" w:after="0" w:line="420" w:lineRule="auto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单位负责人：（签名并盖章）</w:t>
      </w:r>
    </w:p>
    <w:p>
      <w:pPr>
        <w:spacing w:before="0" w:after="0" w:line="420" w:lineRule="auto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财务负责人：（签名并盖章）</w:t>
      </w:r>
    </w:p>
    <w:p>
      <w:pPr>
        <w:spacing w:before="0" w:after="0" w:line="420" w:lineRule="auto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编制人：（签章）</w:t>
      </w:r>
    </w:p>
    <w:p>
      <w:pPr>
        <w:spacing w:before="0" w:after="0" w:line="420" w:lineRule="auto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报送日期：      年      月</w:t>
      </w: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ectPr>
          <w:pgSz w:w="11906" w:h="16838"/>
          <w:pgMar w:top="1440" w:right="1082" w:bottom="1440" w:left="1082" w:header="0" w:footer="720" w:gutter="0"/>
          <w:pgNumType w:start="1"/>
          <w:cols w:space="720" w:num="1"/>
        </w:sectPr>
      </w:pPr>
    </w:p>
    <w:sdt>
      <w:sdtPr>
        <w:id w:val="319893754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b w:val="0"/>
          <w:bCs w:val="0"/>
          <w:color w:val="auto"/>
          <w:sz w:val="32"/>
          <w:szCs w:val="32"/>
        </w:rPr>
      </w:sdtEndPr>
      <w:sdtContent>
        <w:p>
          <w:pPr>
            <w:jc w:val="center"/>
          </w:pPr>
          <w:r>
            <w:rPr>
              <w:rFonts w:ascii="宋体" w:hAnsi="宋体" w:eastAsia="宋体"/>
              <w:b/>
              <w:sz w:val="32"/>
            </w:rPr>
            <w:t>目     录</w:t>
          </w:r>
        </w:p>
        <w:p>
          <w:r>
            <w:br w:type="textWrapping"/>
          </w:r>
        </w:p>
        <w:p>
          <w:pPr>
            <w:jc w:val="center"/>
          </w:pPr>
          <w:r>
            <w:drawing>
              <wp:inline distT="0" distB="0" distL="0" distR="0">
                <wp:extent cx="6184900" cy="31750"/>
                <wp:effectExtent l="0" t="0" r="6350" b="6350"/>
                <wp:docPr id="1" name="Drawing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rawing 0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3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/>
        <w:p>
          <w:pPr>
            <w:pStyle w:val="8"/>
            <w:tabs>
              <w:tab w:val="right" w:leader="dot" w:pos="9743"/>
            </w:tabs>
          </w:pPr>
          <w:r>
            <w:fldChar w:fldCharType="begin"/>
          </w:r>
          <w:r>
            <w:instrText xml:space="preserve">TOC \o "1-4" \h \z \u</w:instrText>
          </w:r>
          <w:r>
            <w:fldChar w:fldCharType="separate"/>
          </w:r>
          <w:r>
            <w:fldChar w:fldCharType="begin"/>
          </w:r>
          <w:r>
            <w:instrText xml:space="preserve"> HYPERLINK \l "_Toc00000000" </w:instrText>
          </w:r>
          <w:r>
            <w:fldChar w:fldCharType="separate"/>
          </w:r>
          <w:r>
            <w:t>导 言</w:t>
          </w:r>
          <w:r>
            <w:tab/>
          </w:r>
          <w:r>
            <w:fldChar w:fldCharType="begin"/>
          </w:r>
          <w:r>
            <w:instrText xml:space="preserve">PAGEREF _Toc00000000 \h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"_Toc00000001" </w:instrText>
          </w:r>
          <w:r>
            <w:fldChar w:fldCharType="separate"/>
          </w:r>
          <w:r>
            <w:t>一、部门财务报表</w:t>
          </w:r>
          <w:r>
            <w:tab/>
          </w:r>
          <w:r>
            <w:fldChar w:fldCharType="begin"/>
          </w:r>
          <w:r>
            <w:instrText xml:space="preserve">PAGEREF _Toc00000001 \h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"_Toc00000002" </w:instrText>
          </w:r>
          <w:r>
            <w:fldChar w:fldCharType="separate"/>
          </w:r>
          <w:r>
            <w:t>（一）部门会计报表</w:t>
          </w:r>
          <w:r>
            <w:tab/>
          </w:r>
          <w:r>
            <w:fldChar w:fldCharType="begin"/>
          </w:r>
          <w:r>
            <w:instrText xml:space="preserve">PAGEREF _Toc00000002 \h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"_Toc00000003" </w:instrText>
          </w:r>
          <w:r>
            <w:fldChar w:fldCharType="separate"/>
          </w:r>
          <w:r>
            <w:t>资产负债表</w:t>
          </w:r>
          <w:r>
            <w:tab/>
          </w:r>
          <w:r>
            <w:fldChar w:fldCharType="begin"/>
          </w:r>
          <w:r>
            <w:instrText xml:space="preserve">PAGEREF _Toc00000003 \h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"_Toc00000004" </w:instrText>
          </w:r>
          <w:r>
            <w:fldChar w:fldCharType="separate"/>
          </w:r>
          <w:r>
            <w:t>收入费用表</w:t>
          </w:r>
          <w:r>
            <w:tab/>
          </w:r>
          <w:r>
            <w:fldChar w:fldCharType="begin"/>
          </w:r>
          <w:r>
            <w:instrText xml:space="preserve">PAGEREF _Toc00000004 \h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"_Toc00000005" </w:instrText>
          </w:r>
          <w:r>
            <w:fldChar w:fldCharType="separate"/>
          </w:r>
          <w:r>
            <w:t>（二）部门会计报表附注</w:t>
          </w:r>
          <w:r>
            <w:tab/>
          </w:r>
          <w:r>
            <w:fldChar w:fldCharType="begin"/>
          </w:r>
          <w:r>
            <w:instrText xml:space="preserve">PAGEREF _Toc00000005 \h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"_Toc00000006" </w:instrText>
          </w:r>
          <w:r>
            <w:fldChar w:fldCharType="separate"/>
          </w:r>
          <w:r>
            <w:t>1.会计报表的编制基础</w:t>
          </w:r>
          <w:r>
            <w:tab/>
          </w:r>
          <w:r>
            <w:fldChar w:fldCharType="begin"/>
          </w:r>
          <w:r>
            <w:instrText xml:space="preserve">PAGEREF _Toc00000006 \h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"_Toc00000007" </w:instrText>
          </w:r>
          <w:r>
            <w:fldChar w:fldCharType="separate"/>
          </w:r>
          <w:r>
            <w:t>2.遵循相关规定的声明</w:t>
          </w:r>
          <w:r>
            <w:tab/>
          </w:r>
          <w:r>
            <w:fldChar w:fldCharType="begin"/>
          </w:r>
          <w:r>
            <w:instrText xml:space="preserve">PAGEREF _Toc00000007 \h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"_Toc00000008" </w:instrText>
          </w:r>
          <w:r>
            <w:fldChar w:fldCharType="separate"/>
          </w:r>
          <w:r>
            <w:t>3.合并范围</w:t>
          </w:r>
          <w:r>
            <w:tab/>
          </w:r>
          <w:r>
            <w:fldChar w:fldCharType="begin"/>
          </w:r>
          <w:r>
            <w:instrText xml:space="preserve">PAGEREF _Toc00000008 \h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"_Toc00000009" </w:instrText>
          </w:r>
          <w:r>
            <w:fldChar w:fldCharType="separate"/>
          </w:r>
          <w:r>
            <w:t>4.重要会计政策与会计估计变更情况</w:t>
          </w:r>
          <w:r>
            <w:tab/>
          </w:r>
          <w:r>
            <w:fldChar w:fldCharType="begin"/>
          </w:r>
          <w:r>
            <w:instrText xml:space="preserve">PAGEREF _Toc00000009 \h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"_Toc00000010" </w:instrText>
          </w:r>
          <w:r>
            <w:fldChar w:fldCharType="separate"/>
          </w:r>
          <w:r>
            <w:t>5.会计报表重要项目的明细信息及说明</w:t>
          </w:r>
          <w:r>
            <w:tab/>
          </w:r>
          <w:r>
            <w:fldChar w:fldCharType="begin"/>
          </w:r>
          <w:r>
            <w:instrText xml:space="preserve">PAGEREF _Toc00000010 \h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"_Toc00000011" </w:instrText>
          </w:r>
          <w:r>
            <w:fldChar w:fldCharType="separate"/>
          </w:r>
          <w:r>
            <w:t>6.需要说明的其他事项</w:t>
          </w:r>
          <w:r>
            <w:tab/>
          </w:r>
          <w:r>
            <w:fldChar w:fldCharType="begin"/>
          </w:r>
          <w:r>
            <w:instrText xml:space="preserve">PAGEREF _Toc00000011 \h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"_Toc00000012" </w:instrText>
          </w:r>
          <w:r>
            <w:fldChar w:fldCharType="separate"/>
          </w:r>
          <w:r>
            <w:t>二、部门财政经济分析</w:t>
          </w:r>
          <w:r>
            <w:tab/>
          </w:r>
          <w:r>
            <w:fldChar w:fldCharType="begin"/>
          </w:r>
          <w:r>
            <w:instrText xml:space="preserve">PAGEREF _Toc00000012 \h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"_Toc00000013" </w:instrText>
          </w:r>
          <w:r>
            <w:fldChar w:fldCharType="separate"/>
          </w:r>
          <w:r>
            <w:t>（一）部门工作目标完成情况</w:t>
          </w:r>
          <w:r>
            <w:tab/>
          </w:r>
          <w:r>
            <w:fldChar w:fldCharType="begin"/>
          </w:r>
          <w:r>
            <w:instrText xml:space="preserve">PAGEREF _Toc00000013 \h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"_Toc00000014" </w:instrText>
          </w:r>
          <w:r>
            <w:fldChar w:fldCharType="separate"/>
          </w:r>
          <w:r>
            <w:t>（二）政府部门财务状况分析。</w:t>
          </w:r>
          <w:r>
            <w:tab/>
          </w:r>
          <w:r>
            <w:fldChar w:fldCharType="begin"/>
          </w:r>
          <w:r>
            <w:instrText xml:space="preserve">PAGEREF _Toc00000014 \h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"_Toc00000015" </w:instrText>
          </w:r>
          <w:r>
            <w:fldChar w:fldCharType="separate"/>
          </w:r>
          <w:r>
            <w:t>（三）政府部门运行情况分析。</w:t>
          </w:r>
          <w:r>
            <w:tab/>
          </w:r>
          <w:r>
            <w:fldChar w:fldCharType="begin"/>
          </w:r>
          <w:r>
            <w:instrText xml:space="preserve">PAGEREF _Toc00000015 \h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"_Toc00000016" </w:instrText>
          </w:r>
          <w:r>
            <w:fldChar w:fldCharType="separate"/>
          </w:r>
          <w:r>
            <w:t>（四）政府部门财务管理情况。</w:t>
          </w:r>
          <w:r>
            <w:tab/>
          </w:r>
          <w:r>
            <w:fldChar w:fldCharType="begin"/>
          </w:r>
          <w:r>
            <w:instrText xml:space="preserve">PAGEREF _Toc00000016 \h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jc w:val="left"/>
          </w:pPr>
          <w:r>
            <w:fldChar w:fldCharType="end"/>
          </w:r>
        </w:p>
      </w:sdtContent>
    </w:sdt>
    <w:p>
      <w:pPr>
        <w:sectPr>
          <w:pgSz w:w="11906" w:h="16838"/>
          <w:pgMar w:top="1440" w:right="1082" w:bottom="1440" w:left="1082" w:header="0" w:footer="720" w:gutter="0"/>
          <w:pgNumType w:start="1"/>
          <w:cols w:space="720" w:num="1"/>
        </w:sectPr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 w:line="7" w:lineRule="auto"/>
        <w:jc w:val="left"/>
      </w:pPr>
    </w:p>
    <w:p>
      <w:pPr>
        <w:pStyle w:val="2"/>
        <w:spacing w:before="0" w:after="0"/>
        <w:ind w:firstLine="510"/>
        <w:jc w:val="center"/>
      </w:pPr>
      <w:bookmarkStart w:id="0" w:name="_Toc00000000"/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导 言</w:t>
      </w:r>
      <w:bookmarkEnd w:id="0"/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为全面反映本部门财务状况和运行情况，枣庄市山亭区实验小学组织编制了《2022年度枣庄市山亭区实验小学财务报告》（以下简称《报告》）。简要情况如下：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（一）《报告》编制基本情况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编制依据：遵循《中华人民共和国预算法》《中华人民共和国会计法》《政府会计准则—基本准则》《政府会计制度》等准则制度的规定，满足《政府财务报告编制办法》（财库〔2019〕56号）、《政府部门财务报告编制操作指南（试行）》（财库〔2019〕57号）的要求。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编制基础：以权责发生制为编制基础。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主要内容：本《报告》主要包含了政府部门财务报表和政府部门财务分析</w:t>
      </w:r>
    </w:p>
    <w:p>
      <w:pPr>
        <w:spacing w:before="0" w:after="0"/>
        <w:ind w:firstLine="510"/>
        <w:jc w:val="left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合并范围：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highlight w:val="none"/>
          <w:u w:val="none"/>
          <w:lang w:val="en-US" w:eastAsia="zh-CN"/>
        </w:rPr>
        <w:t>枣庄市山亭区实验小学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合并方法：采用完全合并法，按照合并级次将下级单位的资产、负债、净资产、收入和费用全部逐级合并起来，其中下级单位之间的往来和交易全部予以抵销处理。具体抵消处理的方式如下：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 xml:space="preserve">    1）下级单位之间发生的债权债务、收入费用等事项采用应抵尽抵的原则。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 xml:space="preserve">    2）金额一致的完全抵销，金额不一致的一般按小抵销。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（二）本部门财务状况和运行情况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1.资产负债情况。2022年末部门资产总额492.43万元、负债总额40.63万元、净资产总额451.79万元。资产负债率为8.25%，较上年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增长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0.82个百分点，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表明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highlight w:val="none"/>
          <w:u w:val="none"/>
          <w:lang w:val="en-US" w:eastAsia="zh-CN"/>
        </w:rPr>
        <w:t>实验小学22年非流动资产折旧较多，银行存款减少，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资产负债率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增加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（1）本部门资产主要包括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highlight w:val="none"/>
          <w:u w:val="none"/>
          <w:lang w:val="en-US" w:eastAsia="zh-CN"/>
        </w:rPr>
        <w:t>流动资产和非流动资产两部分，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2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022年末部门资产总额492.43万元、净资产总额451.79万元。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流动资产23.54万元，占比4.78%；非流动资产4688.88万元，占比95.22%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</w:p>
    <w:p>
      <w:pPr>
        <w:spacing w:before="0" w:after="0"/>
        <w:ind w:firstLine="510"/>
        <w:jc w:val="left"/>
        <w:rPr>
          <w:rFonts w:hint="default" w:eastAsia="仿宋_GB2312"/>
          <w:lang w:val="en-US" w:eastAsia="zh-CN"/>
        </w:rPr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（2）本部门负债主要包括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流动负债、非流动负债、受托代理负债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流动负债40.63万元，占比100%；非流动负债和受托代理负债均为0万元。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2.收入费用情况。2022年度部门收入总额3,667.26万元，费用总额3,743.54万元，收入费用相抵后本年盈余-76.28万元。收入费用率为102.08%，较上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年下降-2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.06个百分点，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表明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highlight w:val="none"/>
          <w:u w:val="none"/>
          <w:lang w:val="en-US" w:eastAsia="zh-CN"/>
        </w:rPr>
        <w:t>本年度固定资产折旧增加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</w:p>
    <w:p>
      <w:pPr>
        <w:spacing w:before="0" w:after="0"/>
        <w:ind w:firstLine="510"/>
        <w:jc w:val="left"/>
        <w:rPr>
          <w:rFonts w:ascii="仿宋_GB2312" w:hAnsi="仿宋_GB2312" w:eastAsia="仿宋_GB2312" w:cs="仿宋_GB2312"/>
          <w:b w:val="0"/>
          <w:i w:val="0"/>
          <w:sz w:val="28"/>
          <w:highlight w:val="yellow"/>
          <w:u w:val="none"/>
        </w:rPr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（1）本部门收入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主要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highlight w:val="none"/>
          <w:u w:val="none"/>
          <w:lang w:val="en-US" w:eastAsia="zh-CN"/>
        </w:rPr>
        <w:t>为财政拨款收入，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收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入总额3,667.26万元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。</w:t>
      </w:r>
    </w:p>
    <w:p>
      <w:pPr>
        <w:spacing w:before="0" w:after="0"/>
        <w:ind w:firstLine="510"/>
        <w:jc w:val="left"/>
        <w:rPr>
          <w:rFonts w:ascii="仿宋_GB2312" w:hAnsi="仿宋_GB2312" w:eastAsia="仿宋_GB2312" w:cs="仿宋_GB2312"/>
          <w:b w:val="0"/>
          <w:i w:val="0"/>
          <w:sz w:val="28"/>
          <w:u w:val="none"/>
        </w:rPr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（2）本部门费用主要包括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：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工资福利费用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、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商品和服务费用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固定资产折旧费用、无形资产摊销费用，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费用总额3,743.54万元。工资福利费用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金额为2720.36万元，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占比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72.67%；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商品和服务费用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946.89万元，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占比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25.29%；固定资产折旧费用75.89万元，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占比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2.03%；无形资产摊销费用，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占比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0.01%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 xml:space="preserve">    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（3）《报告》反映的收入费用与决算报告反映的收入支出的主要差异情况。</w:t>
      </w:r>
    </w:p>
    <w:p>
      <w:pPr>
        <w:pStyle w:val="2"/>
        <w:spacing w:before="0" w:after="0" w:line="480" w:lineRule="auto"/>
        <w:ind w:firstLine="640" w:firstLineChars="200"/>
        <w:jc w:val="left"/>
      </w:pPr>
      <w:bookmarkStart w:id="1" w:name="_Toc00000001"/>
      <w:r>
        <w:rPr>
          <w:rFonts w:ascii="黑体" w:hAnsi="黑体" w:eastAsia="黑体" w:cs="黑体"/>
          <w:b w:val="0"/>
          <w:i w:val="0"/>
          <w:sz w:val="32"/>
          <w:u w:val="none"/>
        </w:rPr>
        <w:t>一、部门财务报表</w:t>
      </w:r>
      <w:bookmarkEnd w:id="1"/>
    </w:p>
    <w:p>
      <w:pPr>
        <w:spacing w:before="0" w:after="0" w:line="7" w:lineRule="auto"/>
        <w:jc w:val="left"/>
      </w:pPr>
    </w:p>
    <w:p>
      <w:pPr>
        <w:pStyle w:val="3"/>
        <w:spacing w:before="0" w:after="0" w:line="480" w:lineRule="auto"/>
        <w:ind w:firstLine="640" w:firstLineChars="200"/>
        <w:jc w:val="left"/>
      </w:pPr>
      <w:bookmarkStart w:id="2" w:name="_Toc00000002"/>
      <w:r>
        <w:rPr>
          <w:rFonts w:ascii="楷体_GB2312" w:hAnsi="楷体_GB2312" w:eastAsia="楷体_GB2312" w:cs="楷体_GB2312"/>
          <w:b w:val="0"/>
          <w:i w:val="0"/>
          <w:sz w:val="32"/>
          <w:u w:val="none"/>
        </w:rPr>
        <w:t>（一）部门会计报表</w:t>
      </w:r>
      <w:bookmarkEnd w:id="2"/>
    </w:p>
    <w:p>
      <w:pPr>
        <w:spacing w:before="0" w:after="0" w:line="7" w:lineRule="auto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表1</w:t>
      </w:r>
    </w:p>
    <w:p>
      <w:pPr>
        <w:pStyle w:val="4"/>
        <w:spacing w:before="0" w:after="0" w:line="480" w:lineRule="auto"/>
        <w:jc w:val="center"/>
      </w:pPr>
      <w:bookmarkStart w:id="3" w:name="_Toc00000003"/>
      <w:r>
        <w:rPr>
          <w:rFonts w:ascii="仿宋_GB2312" w:hAnsi="仿宋_GB2312" w:eastAsia="仿宋_GB2312" w:cs="仿宋_GB2312"/>
          <w:b/>
          <w:i w:val="0"/>
          <w:u w:val="none"/>
        </w:rPr>
        <w:t>资产负债表</w:t>
      </w:r>
      <w:bookmarkEnd w:id="3"/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479"/>
        <w:gridCol w:w="2367"/>
        <w:gridCol w:w="23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50" w:type="pct"/>
            <w:gridSpan w:val="2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编制单位：枣庄市山亭区实验小学</w:t>
            </w:r>
          </w:p>
        </w:tc>
        <w:tc>
          <w:tcPr>
            <w:tcW w:w="1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2022年12月31日</w:t>
            </w:r>
          </w:p>
        </w:tc>
        <w:tc>
          <w:tcPr>
            <w:tcW w:w="1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7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附注</w:t>
            </w:r>
          </w:p>
        </w:tc>
        <w:tc>
          <w:tcPr>
            <w:tcW w:w="12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12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流动资产：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货币资金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23.54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22.85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短期投资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财政应返还额度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应收票据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应收账款净额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附表3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预付账款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附表4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34.80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应收股利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应收利息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其他应收款净额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附表5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存货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待摊费用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一年内到期的非流动资产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其他流动资产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流动资产合计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23.54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57.65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非流动资产：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长期股权投资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附表6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长期债券投资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附表6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固定资产原值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1,380.15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1,376.01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减：固定资产累计折旧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914.37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838.48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固定资产净值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附表7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465.78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537.53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工程物资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在建工程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附表8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无形资产原值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4.53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4.53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减：无形资产累计摊销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1.43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1.03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无形资产净值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附表9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3.10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3.50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研发支出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表1-续表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u w:val="none"/>
        </w:rPr>
        <w:t>资产负债表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43"/>
        <w:gridCol w:w="1380"/>
        <w:gridCol w:w="2169"/>
        <w:gridCol w:w="216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50" w:type="pct"/>
            <w:gridSpan w:val="2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编制单位：枣庄市山亭区实验小学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2022年12月31日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7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附注</w:t>
            </w:r>
          </w:p>
        </w:tc>
        <w:tc>
          <w:tcPr>
            <w:tcW w:w="11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11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公共基础设施原值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减：公共基础设施累计折旧（摊销）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公共基础设施净值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政府储备物资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附表11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文物文化资产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保障性住房原值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减：保障性住房累计折旧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保障性住房净值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附表12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PPP项目资产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减：PPP项目资产累计折旧（摊销）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PPP项目资产净值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附表13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长期待摊费用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待处理财产损溢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其他非流动资产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非流动资产合计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468.88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541.03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20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受托代理资产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资产总计</w:t>
            </w:r>
          </w:p>
        </w:tc>
        <w:tc>
          <w:tcPr>
            <w:tcW w:w="7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492.43</w:t>
            </w:r>
          </w:p>
        </w:tc>
        <w:tc>
          <w:tcPr>
            <w:tcW w:w="11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598.67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流动负债：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1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短期借款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应交增值税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其他应交税费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应缴财政款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应付职工薪酬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应付票据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附表14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应付账款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14.39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25.93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应付政府补贴款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应付利息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预收账款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其他应付款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附表17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25.24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17.54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预提费用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表1-续表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                                  </w:t>
      </w:r>
      <w:r>
        <w:rPr>
          <w:rFonts w:ascii="仿宋_GB2312" w:hAnsi="仿宋_GB2312" w:eastAsia="仿宋_GB2312" w:cs="仿宋_GB2312"/>
          <w:b/>
          <w:i w:val="0"/>
          <w:u w:val="none"/>
        </w:rPr>
        <w:t>资产负债表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479"/>
        <w:gridCol w:w="2367"/>
        <w:gridCol w:w="23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50" w:type="pct"/>
            <w:gridSpan w:val="2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编制单位：枣庄市山亭区实验小学</w:t>
            </w:r>
          </w:p>
        </w:tc>
        <w:tc>
          <w:tcPr>
            <w:tcW w:w="1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2022年12月31日</w:t>
            </w:r>
          </w:p>
        </w:tc>
        <w:tc>
          <w:tcPr>
            <w:tcW w:w="1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7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附注</w:t>
            </w:r>
          </w:p>
        </w:tc>
        <w:tc>
          <w:tcPr>
            <w:tcW w:w="12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12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一年内到期的非流动负债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其他流动负债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流动负债合计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40.63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44.47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非流动负债：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长期借款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附表18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长期应付款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附表19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预计负债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其他非流动负债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非流动负债合计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受托代理负债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负债合计</w:t>
            </w:r>
          </w:p>
        </w:tc>
        <w:tc>
          <w:tcPr>
            <w:tcW w:w="7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40.63</w:t>
            </w:r>
          </w:p>
        </w:tc>
        <w:tc>
          <w:tcPr>
            <w:tcW w:w="12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44.47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净资产：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累计盈余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451.79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554.21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专用基金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权益法调整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PPP项目净资产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净资产合计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451.79</w:t>
            </w: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554.21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负债和净资产总计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492.43</w:t>
            </w: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598.67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表2-1</w:t>
      </w:r>
    </w:p>
    <w:p>
      <w:pPr>
        <w:pStyle w:val="4"/>
        <w:spacing w:before="0" w:after="0"/>
        <w:jc w:val="center"/>
      </w:pPr>
      <w:bookmarkStart w:id="4" w:name="_Toc00000004"/>
      <w:r>
        <w:rPr>
          <w:rFonts w:ascii="仿宋_GB2312" w:hAnsi="仿宋_GB2312" w:eastAsia="仿宋_GB2312" w:cs="仿宋_GB2312"/>
          <w:b/>
          <w:i w:val="0"/>
          <w:u w:val="none"/>
        </w:rPr>
        <w:t>收入费用表</w:t>
      </w:r>
      <w:bookmarkEnd w:id="4"/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88"/>
        <w:gridCol w:w="1195"/>
        <w:gridCol w:w="2690"/>
        <w:gridCol w:w="269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00" w:type="pct"/>
            <w:gridSpan w:val="2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编制单位：枣庄市山亭区实验小学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2022年12月31日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6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附注</w:t>
            </w:r>
          </w:p>
        </w:tc>
        <w:tc>
          <w:tcPr>
            <w:tcW w:w="13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  <w:tc>
          <w:tcPr>
            <w:tcW w:w="13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上年数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财政拨款收入</w:t>
            </w:r>
          </w:p>
        </w:tc>
        <w:tc>
          <w:tcPr>
            <w:tcW w:w="6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3,667.26</w:t>
            </w:r>
          </w:p>
        </w:tc>
        <w:tc>
          <w:tcPr>
            <w:tcW w:w="13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2,812.21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事业收入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97.82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上级补助收入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附属单位上缴收入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经营收入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附表21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非同级财政拨款收入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附表22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投资收益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附表5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捐赠收入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利息收入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租金收入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附表23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附表24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6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收入合计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3,667.26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2,910.03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6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业务活动费用</w:t>
            </w:r>
          </w:p>
        </w:tc>
        <w:tc>
          <w:tcPr>
            <w:tcW w:w="6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附表25</w:t>
            </w:r>
          </w:p>
        </w:tc>
        <w:tc>
          <w:tcPr>
            <w:tcW w:w="13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3,743.14</w:t>
            </w:r>
          </w:p>
        </w:tc>
        <w:tc>
          <w:tcPr>
            <w:tcW w:w="13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3,030.08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单位管理费用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附表26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经营费用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附表26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资产处置费用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上缴上级费用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对附属单位补助费用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所得税费用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其他费用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费用合计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3,743.54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3,030.48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6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本年盈余</w:t>
            </w:r>
          </w:p>
        </w:tc>
        <w:tc>
          <w:tcPr>
            <w:tcW w:w="6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-76.28</w:t>
            </w:r>
          </w:p>
        </w:tc>
        <w:tc>
          <w:tcPr>
            <w:tcW w:w="13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-120.45</w:t>
            </w:r>
          </w:p>
        </w:tc>
      </w:tr>
    </w:tbl>
    <w:p>
      <w:pPr>
        <w:spacing w:before="0" w:after="0"/>
        <w:jc w:val="left"/>
      </w:pP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表2-2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                                   </w:t>
      </w:r>
      <w:r>
        <w:rPr>
          <w:rFonts w:ascii="仿宋_GB2312" w:hAnsi="仿宋_GB2312" w:eastAsia="仿宋_GB2312" w:cs="仿宋_GB2312"/>
          <w:b/>
          <w:i w:val="0"/>
          <w:u w:val="none"/>
        </w:rPr>
        <w:t>收入费用表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87"/>
        <w:gridCol w:w="1394"/>
        <w:gridCol w:w="2490"/>
        <w:gridCol w:w="249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0" w:type="pct"/>
            <w:gridSpan w:val="2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编制单位：枣庄市山亭区实验小学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2022年12月31日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7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附注</w:t>
            </w:r>
          </w:p>
        </w:tc>
        <w:tc>
          <w:tcPr>
            <w:tcW w:w="12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  <w:tc>
          <w:tcPr>
            <w:tcW w:w="12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上年数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财政拨款收入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3,667.26</w:t>
            </w: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2,812.21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事业收入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97.82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上级补助收入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附属单位上缴收入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经营收入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非同级财政拨款收入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投资收益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捐赠收入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利息收入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租金收入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收入合计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3,667.26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2,910.03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工资福利费用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2,720.36</w:t>
            </w: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2,227.27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商品和服务费用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946.89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719.58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对个人和家庭的补助费用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对企业补助费用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固定资产折旧费用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75.89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83.24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无形资产摊销费用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公共基础设施折旧（摊销）费用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保障性住房折旧费用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计提专用基金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资产处置费用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上缴上级费用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对附属单位补助费用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所得税费用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附表29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费用合计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3,743.54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3,030.48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本年盈余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-76.28</w:t>
            </w: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-120.45</w:t>
            </w:r>
          </w:p>
        </w:tc>
      </w:tr>
    </w:tbl>
    <w:p>
      <w:pPr>
        <w:pStyle w:val="3"/>
        <w:spacing w:before="0" w:after="0" w:line="420" w:lineRule="auto"/>
        <w:ind w:firstLine="643" w:firstLineChars="200"/>
        <w:jc w:val="left"/>
      </w:pPr>
      <w:bookmarkStart w:id="5" w:name="_Toc00000005"/>
      <w:r>
        <w:rPr>
          <w:rFonts w:ascii="楷体_GB2312" w:hAnsi="楷体_GB2312" w:eastAsia="楷体_GB2312" w:cs="楷体_GB2312"/>
          <w:b/>
          <w:i w:val="0"/>
          <w:sz w:val="32"/>
          <w:u w:val="none"/>
        </w:rPr>
        <w:t>（二）部门会计报表附注</w:t>
      </w:r>
      <w:bookmarkEnd w:id="5"/>
    </w:p>
    <w:p>
      <w:pPr>
        <w:pStyle w:val="4"/>
        <w:spacing w:before="0" w:after="0" w:line="420" w:lineRule="auto"/>
        <w:ind w:firstLine="560" w:firstLineChars="200"/>
        <w:jc w:val="left"/>
      </w:pPr>
      <w:bookmarkStart w:id="6" w:name="_Toc00000006"/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1.会计报表的编制基础</w:t>
      </w:r>
      <w:bookmarkEnd w:id="6"/>
    </w:p>
    <w:p>
      <w:pPr>
        <w:spacing w:before="0" w:after="0" w:line="420" w:lineRule="auto"/>
        <w:ind w:firstLine="48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枣庄市山亭区实验小学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会计报表以权责发生制为基础编制。</w:t>
      </w:r>
    </w:p>
    <w:p>
      <w:pPr>
        <w:pStyle w:val="4"/>
        <w:spacing w:before="0" w:after="0" w:line="420" w:lineRule="auto"/>
        <w:ind w:firstLine="560" w:firstLineChars="200"/>
        <w:jc w:val="left"/>
      </w:pPr>
      <w:bookmarkStart w:id="7" w:name="_Toc00000007"/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2.遵循相关规定的声明</w:t>
      </w:r>
      <w:bookmarkEnd w:id="7"/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 xml:space="preserve"> 枣庄市山亭区实验小学编制的会计报表符合政府会计准则、相关会计制度和财务报告编制规定的要求，如实反映枣庄市山亭区实验小学的财务状况、运行情况等有关信息。</w:t>
      </w:r>
    </w:p>
    <w:p>
      <w:pPr>
        <w:pStyle w:val="4"/>
        <w:spacing w:before="0" w:after="0" w:line="420" w:lineRule="auto"/>
        <w:ind w:firstLine="560" w:firstLineChars="200"/>
        <w:jc w:val="left"/>
      </w:pPr>
      <w:bookmarkStart w:id="8" w:name="_Toc00000008"/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3.合并范围</w:t>
      </w:r>
      <w:bookmarkEnd w:id="8"/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 xml:space="preserve"> 纳入本次政府部门财务报告合并范围的行政单位XX户、事业单位XX户、社会团体XX户，具体包括：</w:t>
      </w:r>
    </w:p>
    <w:p>
      <w:pPr>
        <w:pStyle w:val="4"/>
        <w:spacing w:before="0" w:after="0" w:line="420" w:lineRule="auto"/>
        <w:ind w:firstLine="560" w:firstLineChars="200"/>
        <w:jc w:val="left"/>
      </w:pPr>
      <w:bookmarkStart w:id="9" w:name="_Toc00000009"/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4.重要会计政策与会计估计变更情况</w:t>
      </w:r>
      <w:bookmarkEnd w:id="9"/>
    </w:p>
    <w:p>
      <w:pPr>
        <w:spacing w:before="0" w:after="0" w:line="420" w:lineRule="auto"/>
        <w:ind w:firstLine="48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 （注：无该事项则说明无）</w:t>
      </w:r>
    </w:p>
    <w:p>
      <w:pPr>
        <w:pStyle w:val="4"/>
        <w:spacing w:before="0" w:after="0" w:line="420" w:lineRule="auto"/>
        <w:ind w:firstLine="560" w:firstLineChars="200"/>
        <w:jc w:val="left"/>
      </w:pPr>
      <w:bookmarkStart w:id="10" w:name="_Toc00000010"/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5.会计报表重要项目的明细信息及说明</w:t>
      </w:r>
      <w:bookmarkEnd w:id="10"/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（1）货币资金明细信息如下：</w:t>
      </w:r>
    </w:p>
    <w:p>
      <w:pPr>
        <w:spacing w:before="0" w:after="0" w:line="420" w:lineRule="auto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附表1  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u w:val="none"/>
        </w:rPr>
        <w:t xml:space="preserve"> </w:t>
      </w: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货币资金明细表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54"/>
        <w:gridCol w:w="3254"/>
        <w:gridCol w:w="32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3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16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16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库存现金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银行存款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22.85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23.54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其他货币资金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22.85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23.54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（2）应收票据明细信息如下：</w:t>
      </w:r>
    </w:p>
    <w:p>
      <w:pPr>
        <w:spacing w:before="0" w:after="0"/>
        <w:ind w:firstLine="0" w:firstLineChars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应收票据明细表</w:t>
      </w:r>
    </w:p>
    <w:p>
      <w:pPr>
        <w:spacing w:before="0" w:after="0"/>
        <w:ind w:firstLine="0" w:firstLineChars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附表2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05"/>
        <w:gridCol w:w="30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2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债务人</w:t>
            </w:r>
          </w:p>
        </w:tc>
        <w:tc>
          <w:tcPr>
            <w:tcW w:w="15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应收本部门内部单位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应收本部门以外的同级政府单位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应收本部门以外的非同级政府单位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应收其他单位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（3）应收账款净额明细信息如下：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附表3    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应收账款净额明细表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88"/>
        <w:gridCol w:w="1594"/>
        <w:gridCol w:w="1594"/>
        <w:gridCol w:w="1594"/>
        <w:gridCol w:w="159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00" w:type="pct"/>
            <w:gridSpan w:val="5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vMerge w:val="restar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债务人</w:t>
            </w:r>
          </w:p>
        </w:tc>
        <w:tc>
          <w:tcPr>
            <w:tcW w:w="800" w:type="pct"/>
            <w:tcBorders>
              <w:top w:val="single" w:color="000000" w:sz="16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应收账款原值</w:t>
            </w:r>
          </w:p>
        </w:tc>
        <w:tc>
          <w:tcPr>
            <w:tcW w:w="1600" w:type="pct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减：坏账准备</w:t>
            </w:r>
          </w:p>
        </w:tc>
        <w:tc>
          <w:tcPr>
            <w:tcW w:w="800" w:type="pc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应收账款净值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vMerge w:val="continue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</w:tcPr>
          <w:p/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当期补提或冲减数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应收本部门内部单位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应收本部门以外的同级政府单位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应收本部门以外非同级政府单位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应收其他单位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（4）预付账款明细信息如下：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附表4    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预付账款明细表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11"/>
        <w:gridCol w:w="345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2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债务人</w:t>
            </w:r>
          </w:p>
        </w:tc>
        <w:tc>
          <w:tcPr>
            <w:tcW w:w="17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预付本部门内部单位</w:t>
            </w:r>
          </w:p>
        </w:tc>
        <w:tc>
          <w:tcPr>
            <w:tcW w:w="1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预付本部门以外的同级政府单位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预付本部门以外的非同级政府单位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预付其他单位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7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（5）其他应收款净额明细信息如下：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附表5                            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22"/>
        <w:gridCol w:w="1610"/>
        <w:gridCol w:w="1610"/>
        <w:gridCol w:w="1610"/>
        <w:gridCol w:w="16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50" w:type="pct"/>
            <w:gridSpan w:val="5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vMerge w:val="restar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债务人</w:t>
            </w:r>
          </w:p>
        </w:tc>
        <w:tc>
          <w:tcPr>
            <w:tcW w:w="800" w:type="pct"/>
            <w:tcBorders>
              <w:top w:val="single" w:color="000000" w:sz="16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其他应收款原值</w:t>
            </w:r>
          </w:p>
        </w:tc>
        <w:tc>
          <w:tcPr>
            <w:tcW w:w="1600" w:type="pct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减：坏账准备</w:t>
            </w:r>
          </w:p>
        </w:tc>
        <w:tc>
          <w:tcPr>
            <w:tcW w:w="800" w:type="pc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其他应收款净值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vMerge w:val="continue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</w:tcPr>
          <w:p/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当期补提或冲减数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应收本部门内部单位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应收本部门以外的同级政府单位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应收本部门以外非同级政府单位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应收同级财政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应收其他单位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（6）长期投资及投资收益明细信息如下：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附表6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长期投资及投资收益明细表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2"/>
        <w:gridCol w:w="805"/>
        <w:gridCol w:w="805"/>
        <w:gridCol w:w="906"/>
        <w:gridCol w:w="906"/>
        <w:gridCol w:w="906"/>
        <w:gridCol w:w="906"/>
        <w:gridCol w:w="906"/>
        <w:gridCol w:w="906"/>
        <w:gridCol w:w="90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50" w:type="pct"/>
            <w:gridSpan w:val="10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gridSpan w:val="2"/>
            <w:vMerge w:val="restar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投资对象</w:t>
            </w:r>
          </w:p>
        </w:tc>
        <w:tc>
          <w:tcPr>
            <w:tcW w:w="2650" w:type="pct"/>
            <w:gridSpan w:val="6"/>
            <w:tcBorders>
              <w:top w:val="single" w:color="000000" w:sz="16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长期投资</w:t>
            </w:r>
          </w:p>
        </w:tc>
        <w:tc>
          <w:tcPr>
            <w:tcW w:w="900" w:type="pct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D4D4D4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投资收益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gridSpan w:val="2"/>
            <w:vMerge w:val="continue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</w:tcPr>
          <w:p/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追加投资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减少投资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权益法下确认的投资收益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其他变动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上年数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股权投资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对企业股权投资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权益法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成本法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对投资基金股权投资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权益法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成本法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债券投资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50" w:type="pct"/>
            <w:gridSpan w:val="10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0"/>
                <w:u w:val="none"/>
              </w:rPr>
              <w:t>注: 1.本表中每类投资下分别按照长期投资年末数从大到小排列。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5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0"/>
                <w:u w:val="none"/>
              </w:rPr>
              <w:t>2.长期股权投资核算方法按照年末核算方法反映。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5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0"/>
                <w:u w:val="none"/>
              </w:rPr>
              <w:t>3.“权益法下确认的投资收益”项目按照“长期股权投资——损益调整”科目本年发生额净额填列，如为投资净损失以“-”号填列。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5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0"/>
                <w:u w:val="none"/>
              </w:rPr>
              <w:t>4.“投资收益”项目按照“投资收益”科目本年发生额净额填列，如为投资净损失以“-”填列。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5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0"/>
                <w:u w:val="none"/>
              </w:rPr>
              <w:t>5.行政单位不可填写本表，会提示报表只读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（7）固定资产明细信息如下：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附表7 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固定资产明细表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88"/>
        <w:gridCol w:w="1693"/>
        <w:gridCol w:w="1693"/>
        <w:gridCol w:w="1693"/>
        <w:gridCol w:w="169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00" w:type="pct"/>
            <w:gridSpan w:val="5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原值合计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1,376.01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4.14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1,380.15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房屋和构筑物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540.46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541.26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设备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575.06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2.83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577.89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文物和陈列品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图书和档案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64.75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0.51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65.25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家具和用具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195.75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195.75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特种动植物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累计折旧合计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838.48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75.89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914.37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房屋和构筑物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253.18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17.88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271.06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设备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462.07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44.49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506.56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文物和陈列品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--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图书和档案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家具和用具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123.23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13.52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136.75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特种动植物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净值合计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537.53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465.78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房屋和构筑物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287.28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270.20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设备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112.99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71.33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文物和陈列品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图书和档案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64.75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65.25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家具和用具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72.52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59.00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特种动植物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（8）在建工程明细信息如下：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附表8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在建工程明细表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22"/>
        <w:gridCol w:w="1610"/>
        <w:gridCol w:w="1610"/>
        <w:gridCol w:w="1610"/>
        <w:gridCol w:w="16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8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8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8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8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800" w:type="pc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800" w:type="pc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800" w:type="pc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800" w:type="pc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其他项目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（9）无形资产明细信息如下：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附表9  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无形资产明细表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8"/>
        <w:gridCol w:w="1873"/>
        <w:gridCol w:w="1873"/>
        <w:gridCol w:w="1873"/>
        <w:gridCol w:w="187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9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9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9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9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原值合计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4.53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4.53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专利权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非专利技术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著作权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资源资质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商标权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信息数据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4.53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4.53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累计摊销合计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1.03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1.43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专利权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非专利技术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著作权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资源资质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商标权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信息数据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1.03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1.43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净值合计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3.50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3.10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专利权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非专利技术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著作权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资源资质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商标权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信息数据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3.50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3.10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（10）公共基础设施明细信息如下：</w:t>
      </w:r>
    </w:p>
    <w:p>
      <w:pPr>
        <w:spacing w:before="0" w:after="0"/>
        <w:jc w:val="left"/>
      </w:pP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附表10-1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公共基础设施明细表（原值）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8"/>
        <w:gridCol w:w="1873"/>
        <w:gridCol w:w="1873"/>
        <w:gridCol w:w="1873"/>
        <w:gridCol w:w="187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5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市政基础设施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交通设施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供排水设施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能源设施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环卫设施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园林绿化设施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综合类设施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信息通信设施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其他市政设施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交通运输基础设施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公路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汽车客运站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铁路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机场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航道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沿海航海保障设施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港口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轮渡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水利基础设施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防洪（潮）工程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治涝工程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灌溉工程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引调水工程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农村供水工程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水力发电工程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水土保持工程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水库工程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水文基础设施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其他公共基础设施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原值合计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附表10-2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公共基础设施明细表（累计折旧/摊销）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0"/>
        <w:gridCol w:w="1793"/>
        <w:gridCol w:w="1793"/>
        <w:gridCol w:w="1793"/>
        <w:gridCol w:w="179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00" w:type="pct"/>
            <w:gridSpan w:val="5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9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9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9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9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市政基础设施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交通设施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供排水设施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能源设施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环卫设施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园林绿化设施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综合类设施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信息通信设施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其他市政设施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交通运输基础设施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公路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汽车客运站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铁路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机场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航道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沿海航海保障设施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港口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轮渡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水利基础设施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防洪（潮）工程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治涝工程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灌溉工程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引调水工程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农村供水工程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水力发电工程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水土保持工程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水库工程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水文基础设施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其他公共基础设施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累计折旧（摊销）合计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附表10-3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公共基础设施明细表（净值）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8"/>
        <w:gridCol w:w="1873"/>
        <w:gridCol w:w="1873"/>
        <w:gridCol w:w="1873"/>
        <w:gridCol w:w="187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5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市政基础设施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交通设施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供排水设施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能源设施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环卫设施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园林绿化设施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综合类设施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信息通信设施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其他市政设施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交通运输基础设施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公路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汽车客运站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铁路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机场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航道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沿海航海保障设施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港口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轮渡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水利基础设施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防洪（潮）工程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治涝工程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灌溉工程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引调水工程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农村供水工程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水力发电工程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水土保持工程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水库工程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水文基础设施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其他公共基础设施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净值合计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（11）政府储备物资明细信息如下：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附表11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政府储备物资明细表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0"/>
        <w:gridCol w:w="1793"/>
        <w:gridCol w:w="1793"/>
        <w:gridCol w:w="1793"/>
        <w:gridCol w:w="179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00" w:type="pct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物资类别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粮食等农产品和农资储备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其中：粮食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棉花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食糖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肉类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能源储备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矿产品原材料储备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应急专用物资储备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其中：应急抢险救灾物资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医药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（12）保障性住房明细信息如下：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附表12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保障性住房明细表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47"/>
        <w:gridCol w:w="1729"/>
        <w:gridCol w:w="1729"/>
        <w:gridCol w:w="1729"/>
        <w:gridCol w:w="172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原值合计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公租房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经济适用住房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保障性租赁住房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共有产权住房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累计折旧合计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公租房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经济适用住房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保障性租赁住房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共有产权住房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净值合计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公租房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经济适用住房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保障性租赁住房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共有产权住房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（13）PPP项目资产明细表如下：</w:t>
      </w:r>
    </w:p>
    <w:p>
      <w:pPr>
        <w:spacing w:before="0" w:after="0"/>
        <w:ind w:firstLine="0" w:firstLineChars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附表13                         </w:t>
      </w:r>
    </w:p>
    <w:p>
      <w:pPr>
        <w:spacing w:before="0" w:after="0"/>
        <w:ind w:firstLine="0" w:firstLineChars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PPP项目资产明细表</w:t>
      </w:r>
    </w:p>
    <w:p>
      <w:pPr>
        <w:spacing w:before="0" w:after="0"/>
        <w:ind w:firstLine="0" w:firstLineChars="0"/>
        <w:jc w:val="left"/>
      </w:pPr>
      <w:r>
        <w:rPr>
          <w:rFonts w:ascii="仿宋_GB2312" w:hAnsi="仿宋_GB2312" w:eastAsia="仿宋_GB2312" w:cs="仿宋_GB2312"/>
          <w:b/>
          <w:i w:val="0"/>
          <w:u w:val="none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5"/>
        <w:gridCol w:w="1494"/>
        <w:gridCol w:w="1295"/>
        <w:gridCol w:w="1394"/>
        <w:gridCol w:w="149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7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6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7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7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PPP项目资产合计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累计折旧（摊销）合计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净值合计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00" w:type="pct"/>
            <w:gridSpan w:val="5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注：本表按照具体项目进行列示。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（14）应付票据明细信息如下：</w:t>
      </w:r>
    </w:p>
    <w:p>
      <w:pPr>
        <w:spacing w:before="0" w:after="0"/>
        <w:ind w:firstLine="0" w:firstLineChars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附表14                        </w:t>
      </w:r>
    </w:p>
    <w:p>
      <w:pPr>
        <w:spacing w:before="0" w:after="0"/>
        <w:ind w:firstLine="0" w:firstLineChars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应付票据明细表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09"/>
        <w:gridCol w:w="335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债权人</w:t>
            </w:r>
          </w:p>
        </w:tc>
        <w:tc>
          <w:tcPr>
            <w:tcW w:w="17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应付本部门内部单位</w:t>
            </w:r>
          </w:p>
        </w:tc>
        <w:tc>
          <w:tcPr>
            <w:tcW w:w="1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应付本部门以外的同级政府单位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应付本部门以外的非同级政府单位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应付其他单位</w:t>
            </w: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7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（15）应付账款明细信息如下：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附表15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应付账款明细表</w:t>
      </w: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 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08"/>
        <w:gridCol w:w="32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债权人</w:t>
            </w:r>
          </w:p>
        </w:tc>
        <w:tc>
          <w:tcPr>
            <w:tcW w:w="16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应付本部门内部单位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应付本部门以外的同级政府单位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应付本部门以外的非同级政府单位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应付其他单位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14.39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3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14.39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（16）预收账款明细信息如下：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附表16 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预收账款明细表</w:t>
      </w:r>
      <w:r>
        <w:rPr>
          <w:rFonts w:ascii="仿宋_GB2312" w:hAnsi="仿宋_GB2312" w:eastAsia="仿宋_GB2312" w:cs="仿宋_GB2312"/>
          <w:b/>
          <w:i w:val="0"/>
          <w:u w:val="none"/>
        </w:rPr>
        <w:t xml:space="preserve"> </w:t>
      </w: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 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08"/>
        <w:gridCol w:w="32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债权人</w:t>
            </w:r>
          </w:p>
        </w:tc>
        <w:tc>
          <w:tcPr>
            <w:tcW w:w="16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预收本部门内部单位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预收本部门以外的同级政府单位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预收本部门以外的非同级政府单位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预收其他单位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（17）其他应付款明细信息如下：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附表17 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其他应付款明细表</w:t>
      </w: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08"/>
        <w:gridCol w:w="32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债权人</w:t>
            </w:r>
          </w:p>
        </w:tc>
        <w:tc>
          <w:tcPr>
            <w:tcW w:w="16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应付本部门内部单位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应付本部门以外的同级政府单位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应付本部门以外的非同级政府单位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应付同级财政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应付其他单位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25.24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25.24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（18）长期借款明细信息如下：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附表18-1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长期借款明细表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39"/>
        <w:gridCol w:w="2662"/>
        <w:gridCol w:w="276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3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00" w:type="pc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债权人</w:t>
            </w:r>
          </w:p>
        </w:tc>
        <w:tc>
          <w:tcPr>
            <w:tcW w:w="1350" w:type="pc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1400" w:type="pc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3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0"/>
                <w:u w:val="none"/>
              </w:rPr>
              <w:t>注：本表按照长期借款余额到期期限列示明细，并按长期借款年末数从大到小排列。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附表18-2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长期借款明细表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/>
          <w:i w:val="0"/>
          <w:u w:val="none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2"/>
        <w:gridCol w:w="2490"/>
        <w:gridCol w:w="249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长期借款到期期限</w:t>
            </w:r>
          </w:p>
        </w:tc>
        <w:tc>
          <w:tcPr>
            <w:tcW w:w="12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12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2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1-3年到期（不含1年）</w:t>
            </w: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3-5年到期（不含3年）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5年以上到期（不含5年）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ind w:firstLine="480" w:firstLineChars="200"/>
        <w:jc w:val="left"/>
      </w:pPr>
      <w:r>
        <w:rPr>
          <w:rFonts w:ascii="宋体" w:hAnsi="宋体" w:eastAsia="宋体" w:cs="宋体"/>
          <w:b w:val="0"/>
          <w:i w:val="0"/>
          <w:u w:val="none"/>
        </w:rPr>
        <w:t>（19）长期应付款明细信息如下：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附表19</w:t>
      </w:r>
      <w:r>
        <w:rPr>
          <w:rFonts w:ascii="宋体" w:hAnsi="宋体" w:eastAsia="宋体" w:cs="宋体"/>
          <w:b w:val="0"/>
          <w:i w:val="0"/>
          <w:u w:val="none"/>
        </w:rPr>
        <w:t xml:space="preserve">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长期应付款明细表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15"/>
        <w:gridCol w:w="37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9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0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债权人</w:t>
            </w:r>
          </w:p>
        </w:tc>
        <w:tc>
          <w:tcPr>
            <w:tcW w:w="19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应付本部门内部单位</w:t>
            </w:r>
          </w:p>
        </w:tc>
        <w:tc>
          <w:tcPr>
            <w:tcW w:w="1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应付本部门以外的同级政府单位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应付本部门以外的非同级政府单位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0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应付其他单位</w:t>
            </w:r>
          </w:p>
        </w:tc>
        <w:tc>
          <w:tcPr>
            <w:tcW w:w="1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宋体" w:hAnsi="宋体" w:eastAsia="宋体" w:cs="宋体"/>
          <w:b w:val="0"/>
          <w:i w:val="0"/>
          <w:u w:val="none"/>
        </w:rPr>
        <w:t xml:space="preserve">  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（20）事业收入明细信息如下：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事业收入明细表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19"/>
        <w:gridCol w:w="404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20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收入来源</w:t>
            </w:r>
          </w:p>
        </w:tc>
        <w:tc>
          <w:tcPr>
            <w:tcW w:w="20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来自财政专户管理资金</w:t>
            </w:r>
          </w:p>
        </w:tc>
        <w:tc>
          <w:tcPr>
            <w:tcW w:w="20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来自本部门内部单位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来自本部门以外的同级政府单位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来自本部门以外的非同级政府单位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来自非同级财政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来自其他单位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20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 xml:space="preserve">  （21）经营收入明细信息如下：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经营收入明细表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17"/>
        <w:gridCol w:w="384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9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收入来源</w:t>
            </w:r>
          </w:p>
        </w:tc>
        <w:tc>
          <w:tcPr>
            <w:tcW w:w="1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来自本部门内部单位</w:t>
            </w:r>
          </w:p>
        </w:tc>
        <w:tc>
          <w:tcPr>
            <w:tcW w:w="1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来自本部门以外的同级政府单位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来自本部门以外的非同级政府单位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来自其他单位</w:t>
            </w:r>
          </w:p>
        </w:tc>
        <w:tc>
          <w:tcPr>
            <w:tcW w:w="1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（22）非同级财政拨款收入明细信息如下：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非同级财政拨款收入明细表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25"/>
        <w:gridCol w:w="443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22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收入来源</w:t>
            </w:r>
          </w:p>
        </w:tc>
        <w:tc>
          <w:tcPr>
            <w:tcW w:w="22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来自本部门内部单位</w:t>
            </w:r>
          </w:p>
        </w:tc>
        <w:tc>
          <w:tcPr>
            <w:tcW w:w="2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来自本部门以外的同级政府单位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来自本部门以外的非同级政府单位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来自非同级财政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22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（23）租金收入明细信息如下：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租金收入明细表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08"/>
        <w:gridCol w:w="32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收入来源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来自本部门内部单位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来自本部门以外的同级政府单位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来自本部门以外的非同级政府单位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来自其他单位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（24）其他收入明细信息如下：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其他收入明细表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05"/>
        <w:gridCol w:w="30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收入来源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来自本部门内部单位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来自本部门以外的同级政府单位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来自本部门以外的非同级政府单位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4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来自其他单位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（25）业务活动费用明细信息如下：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业务活动费用明细表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84"/>
        <w:gridCol w:w="2789"/>
        <w:gridCol w:w="278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4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4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14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  <w:tc>
          <w:tcPr>
            <w:tcW w:w="14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上年数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工资和福利费用</w:t>
            </w:r>
          </w:p>
        </w:tc>
        <w:tc>
          <w:tcPr>
            <w:tcW w:w="1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2,720.36</w:t>
            </w:r>
          </w:p>
        </w:tc>
        <w:tc>
          <w:tcPr>
            <w:tcW w:w="1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2,227.27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商品和服务费用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946.89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719.58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对个人和家庭的补助费用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对企业补助费用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固定资产折旧费用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75.89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83.24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无形资产摊销费用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公共基础设施折旧（摊销）费用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保障性住房折旧费用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计提专用基金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其他业务活动费用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4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3,743.14</w:t>
            </w:r>
          </w:p>
        </w:tc>
        <w:tc>
          <w:tcPr>
            <w:tcW w:w="14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3,030.08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（26）单位管理费用明细信息如下：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单位管理费用明细表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46"/>
        <w:gridCol w:w="2958"/>
        <w:gridCol w:w="295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5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5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15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  <w:tc>
          <w:tcPr>
            <w:tcW w:w="15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上年数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工资和福利费用</w:t>
            </w:r>
          </w:p>
        </w:tc>
        <w:tc>
          <w:tcPr>
            <w:tcW w:w="15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商品和服务费用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对个人和家庭的补助费用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固定资产折旧费用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无形资产摊销费用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其他单位管理费用</w:t>
            </w:r>
          </w:p>
        </w:tc>
        <w:tc>
          <w:tcPr>
            <w:tcW w:w="15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5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  <w:tc>
          <w:tcPr>
            <w:tcW w:w="15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（27）经营费用明细信息如下：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4"/>
          <w:u w:val="none"/>
        </w:rPr>
        <w:t>附表27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经营费用明细表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8"/>
        <w:gridCol w:w="3057"/>
        <w:gridCol w:w="30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5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5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15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  <w:tc>
          <w:tcPr>
            <w:tcW w:w="15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上年数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工资和福利费用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商品和服务费用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对个人和家庭的补助费用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固定资产折旧费用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无形资产摊销费用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其他经营费用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（28）商品服务费用明细信息如下：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附表28</w:t>
      </w:r>
      <w:r>
        <w:rPr>
          <w:rFonts w:ascii="宋体" w:hAnsi="宋体" w:eastAsia="宋体" w:cs="宋体"/>
          <w:b w:val="0"/>
          <w:i w:val="0"/>
          <w:u w:val="none"/>
        </w:rPr>
        <w:t xml:space="preserve">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商品服务费用明细表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61"/>
        <w:gridCol w:w="1525"/>
        <w:gridCol w:w="1525"/>
        <w:gridCol w:w="1525"/>
        <w:gridCol w:w="152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vMerge w:val="restar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3000" w:type="pct"/>
            <w:gridSpan w:val="4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800" w:type="pct"/>
            <w:vMerge w:val="continue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</w:tcPr>
          <w:p/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业务活动费用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单位管理费用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经营费用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支付给本部门内部单位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支付给本部门以外的同级政府单位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支付给本部门以外的非同级政府单位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支付给其他单位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946.89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946.89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946.89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946.89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（29）其他费用明细信息如下：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附表29</w:t>
      </w:r>
      <w:r>
        <w:rPr>
          <w:rFonts w:ascii="宋体" w:hAnsi="宋体" w:eastAsia="宋体" w:cs="宋体"/>
          <w:b w:val="0"/>
          <w:i w:val="0"/>
          <w:u w:val="none"/>
        </w:rPr>
        <w:t xml:space="preserve">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其他费用明细表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8"/>
        <w:gridCol w:w="1409"/>
        <w:gridCol w:w="1308"/>
        <w:gridCol w:w="1409"/>
        <w:gridCol w:w="1409"/>
        <w:gridCol w:w="15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50" w:type="pct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3500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/>
        </w:tc>
        <w:tc>
          <w:tcPr>
            <w:tcW w:w="7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业务活动费用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单位管理费用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经营费用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其他费用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支付给本部门内部单位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支付给本部门以外的同级政府单位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支付给本部门以外的非同级政府单位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支付给其他单位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pStyle w:val="4"/>
        <w:spacing w:before="0" w:after="0" w:line="420" w:lineRule="auto"/>
        <w:ind w:firstLine="560" w:firstLineChars="200"/>
        <w:jc w:val="left"/>
      </w:pPr>
      <w:bookmarkStart w:id="11" w:name="_Toc00000011"/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6.需要说明的其他事项</w:t>
      </w:r>
      <w:bookmarkEnd w:id="11"/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（1）重要或有事项说明。逐笔披露政府部门或有事项的事由和金额，如担保事项、未决诉讼或未决仲裁等，若无法预计金额应说明理由。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（2）以名义金额计量的资产名称、数量等情况，以及以名义金额计量理由的说明。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90"/>
        <w:gridCol w:w="1793"/>
        <w:gridCol w:w="1793"/>
        <w:gridCol w:w="368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vMerge w:val="restar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对象</w:t>
            </w:r>
          </w:p>
        </w:tc>
        <w:tc>
          <w:tcPr>
            <w:tcW w:w="1800" w:type="pct"/>
            <w:gridSpan w:val="2"/>
            <w:tcBorders>
              <w:top w:val="single" w:color="000000" w:sz="16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数量</w:t>
            </w:r>
          </w:p>
        </w:tc>
        <w:tc>
          <w:tcPr>
            <w:tcW w:w="1850" w:type="pc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vMerge w:val="continue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</w:tcPr>
          <w:p/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上年数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  <w:tc>
          <w:tcPr>
            <w:tcW w:w="1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以名义金额计量的理由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存货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固定资产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房屋和构筑物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设备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文物和陈列品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图书和档案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家具和用具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特种动植物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无形资产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专利权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非专利技术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著作权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资源资质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商标权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其他信息数据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合计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（3）使用债务资金形成的固定资产、公共基础设施、保障性住房等资产的账面价值、使用情况、收益情况及与此相关的债务偿还情况。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（4）重要资产置换、无偿调入（出）、捐入（出）、报废、重大毁损等情况的说明。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（5）对于政府部门管理的公共基础设施、文物文化资产、保障性住房、自然资源资产等重要资产，披露种类和实物量等相关信息。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（6）PPP项目合同的总体描述、重要条款及报告期间所发生的项目合同变更情况。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（7）《政府会计准则制度解释第 4 号》中规定的特殊情况抵销事项的报表项目及金额（由一级部门合并主体说明）。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（8）资产负债表项目年初数调整情况。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（9）政府会计具体准则中要求附注披露的其他内容，以及其他未在报表中列示，但对政府部门财务状况有重大影响的事项。</w:t>
      </w:r>
    </w:p>
    <w:p>
      <w:pPr>
        <w:pStyle w:val="2"/>
        <w:spacing w:before="0" w:after="0" w:line="420" w:lineRule="auto"/>
        <w:ind w:firstLine="640" w:firstLineChars="200"/>
        <w:jc w:val="left"/>
      </w:pPr>
      <w:bookmarkStart w:id="12" w:name="_Toc00000012"/>
      <w:r>
        <w:rPr>
          <w:rFonts w:ascii="黑体" w:hAnsi="黑体" w:eastAsia="黑体" w:cs="黑体"/>
          <w:b w:val="0"/>
          <w:i w:val="0"/>
          <w:sz w:val="32"/>
          <w:u w:val="none"/>
        </w:rPr>
        <w:t>二、部门财政经济分析</w:t>
      </w:r>
      <w:bookmarkEnd w:id="12"/>
    </w:p>
    <w:p>
      <w:pPr>
        <w:pStyle w:val="3"/>
        <w:spacing w:before="0" w:after="0" w:line="420" w:lineRule="auto"/>
        <w:ind w:firstLine="640" w:firstLineChars="200"/>
        <w:jc w:val="left"/>
      </w:pPr>
      <w:bookmarkStart w:id="13" w:name="_Toc00000013"/>
      <w:r>
        <w:rPr>
          <w:rFonts w:ascii="楷体_GB2312" w:hAnsi="楷体_GB2312" w:eastAsia="楷体_GB2312" w:cs="楷体_GB2312"/>
          <w:b w:val="0"/>
          <w:i w:val="0"/>
          <w:sz w:val="32"/>
          <w:u w:val="none"/>
        </w:rPr>
        <w:t>（一）部门工作目标完成情况</w:t>
      </w:r>
      <w:bookmarkEnd w:id="13"/>
    </w:p>
    <w:p>
      <w:pPr>
        <w:spacing w:before="0" w:after="0" w:line="420" w:lineRule="auto"/>
        <w:ind w:firstLine="48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</w:rPr>
        <w:t>山亭区实验小学教育集团在区委、区政府和区教体局的正确领导下，坚持以习近平新时代中国特色社会主义思想为指导，全面贯彻执行党的教育方针，贯彻落实中央、省市区关于教育的重大决策部署，以办好人民满意的学校和质高品优的教育集团为目标，以提高教育教学质量为中心，以提升教师队伍素质为重点，以发展学生的全面素质为宗旨，以争创文明校园、安全校园、书香校园为重点工作，强化管理，团结带领广大师生，凝心聚力，勇毅前行，全面提升学校办学品质和办学水平。</w:t>
      </w:r>
    </w:p>
    <w:p>
      <w:pPr>
        <w:pStyle w:val="3"/>
        <w:spacing w:before="0" w:after="0" w:line="420" w:lineRule="auto"/>
        <w:ind w:firstLine="640" w:firstLineChars="200"/>
        <w:jc w:val="left"/>
      </w:pPr>
      <w:bookmarkStart w:id="14" w:name="_Toc00000014"/>
      <w:r>
        <w:rPr>
          <w:rFonts w:ascii="楷体_GB2312" w:hAnsi="楷体_GB2312" w:eastAsia="楷体_GB2312" w:cs="楷体_GB2312"/>
          <w:b w:val="0"/>
          <w:i w:val="0"/>
          <w:sz w:val="32"/>
          <w:u w:val="none"/>
        </w:rPr>
        <w:t>（二）政府部门财务状况分析。</w:t>
      </w:r>
      <w:bookmarkEnd w:id="14"/>
    </w:p>
    <w:p>
      <w:pPr>
        <w:spacing w:before="0" w:after="0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1.部门资产情况分析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（1）2022年，本部门年末资产总额492.43，较年初减少了17.75%，主要原因是：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本年固定资产和无形资产摊销费用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（2）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2022年本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部门货币资金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为23.54万元，主要为课后延时服务费用的收支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；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长期投资、在建工程、公共基础设施、政府储备物资、保障性住房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等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重要资产项目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均没有；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固定资产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原值1380.15万元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2.部门负债情况分析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（1）2022年，本部门年末负债总额40.63万元，较年初减少了8.64%，主要原因是：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学校购置的设备等项目质保到期，付质保金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（2）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本部门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短期借款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没有变化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无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长期借款等重点负债项目，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学校只有部分应付账款和其他应付款，一旦质保到期，将根据合同情况及时付款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。</w:t>
      </w:r>
    </w:p>
    <w:p>
      <w:pPr>
        <w:pStyle w:val="3"/>
        <w:spacing w:before="0" w:after="0"/>
        <w:ind w:firstLine="640" w:firstLineChars="200"/>
        <w:jc w:val="left"/>
      </w:pPr>
      <w:bookmarkStart w:id="15" w:name="_Toc00000015"/>
      <w:r>
        <w:rPr>
          <w:rFonts w:ascii="楷体_GB2312" w:hAnsi="楷体_GB2312" w:eastAsia="楷体_GB2312" w:cs="楷体_GB2312"/>
          <w:b w:val="0"/>
          <w:i w:val="0"/>
          <w:sz w:val="32"/>
          <w:u w:val="none"/>
        </w:rPr>
        <w:t>（三）政府部门运行情况分析。</w:t>
      </w:r>
      <w:bookmarkEnd w:id="15"/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1.分析政府部门收入总额变化情况及原因；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2022年度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本部门收入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highlight w:val="none"/>
          <w:u w:val="none"/>
          <w:lang w:val="en-US" w:eastAsia="zh-CN"/>
        </w:rPr>
        <w:t>为财政拨款收入，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收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入总额3,667.26万元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区委区政府不断加大对教育的投入，保障学校运行，创办人民满意学校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。</w:t>
      </w:r>
    </w:p>
    <w:p>
      <w:pPr>
        <w:spacing w:before="0" w:after="0" w:line="42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分析政府部门费用总额变化情况及原因；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2022年度，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本部门费用主要包括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：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工资福利费用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、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商品和服务费用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固定资产折旧费用、无形资产摊销费用，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费用总额3,743.54万元。工资福利费用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金额为2720.36万元，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占比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72.67%；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商品和服务费用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946.89万元，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占比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25.29%；固定资产折旧费用75.89万元，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占比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2.03%；无形资产摊销费用，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占比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0.01%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区委、区政府不断提高教师工资，提高教师幸福指数，改善办学条件，创办人民满意学校。</w:t>
      </w:r>
    </w:p>
    <w:p>
      <w:pPr>
        <w:spacing w:before="0" w:after="0" w:line="42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3.2022年末部门资产总额492.43万元、负债总额40.63万元、净资产总额451.79万元。资产负债率为8.25%，较上年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增长0.82个百分点，表明实验小学22年非流动资产折旧较多，银行存款减少，资产负债率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增加。</w:t>
      </w:r>
    </w:p>
    <w:p>
      <w:pPr>
        <w:pStyle w:val="3"/>
        <w:spacing w:before="0" w:after="0" w:line="420" w:lineRule="auto"/>
        <w:ind w:firstLine="640" w:firstLineChars="200"/>
        <w:jc w:val="left"/>
      </w:pPr>
      <w:bookmarkStart w:id="16" w:name="_Toc00000016"/>
      <w:r>
        <w:rPr>
          <w:rFonts w:ascii="楷体_GB2312" w:hAnsi="楷体_GB2312" w:eastAsia="楷体_GB2312" w:cs="楷体_GB2312"/>
          <w:b w:val="0"/>
          <w:i w:val="0"/>
          <w:sz w:val="32"/>
          <w:u w:val="none"/>
        </w:rPr>
        <w:t>（四）政府部门财务管理情况。</w:t>
      </w:r>
      <w:r>
        <w:rPr>
          <w:b w:val="0"/>
          <w:i w:val="0"/>
          <w:u w:val="none"/>
        </w:rPr>
        <w:t xml:space="preserve"> </w:t>
      </w:r>
      <w:bookmarkEnd w:id="16"/>
    </w:p>
    <w:p>
      <w:pPr>
        <w:spacing w:line="42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财务管理是学校管理工作不可缺少的重要组成部分，是学校教学工作的有力保障。财务人员本着求实、创新、到位、科学的原则，尽心尽力为学校师生服务，为学校的教育教学供给良好的物质保障。</w:t>
      </w:r>
    </w:p>
    <w:p>
      <w:pPr>
        <w:spacing w:line="42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1、根据学校工作计划，加强对各种费用开支的核算，做好年度预算工作，并严格执行；全面做好年终决算工作，为学校教育决策提供可靠数据，确保实现收支平衡。</w:t>
      </w:r>
    </w:p>
    <w:p>
      <w:pPr>
        <w:spacing w:line="42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2、加强过程管理，及时统计教育经费使用情况，做到底码清楚、信息准确，为领导合理使用资金供给依据。</w:t>
      </w:r>
    </w:p>
    <w:p>
      <w:pPr>
        <w:spacing w:line="42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3、加强学校固定资产的保管、使用和维护。对新增加的固定资产及时入账，定期盘点核查，保证账表相符、账物相符。</w:t>
      </w:r>
    </w:p>
    <w:p>
      <w:pPr>
        <w:spacing w:line="42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4、健全学校内部管理，全员参与财务管理。结合学校内部管理需要，建立健全相应的内部财务管理制度：建立财务会计岗位职责制度和考核，明确责任和权限；建立内部牵制制度和财务处理程序制度，做到钱、账分管，分工明确责任清楚；建立收支审核和稽核制度，明确权限、程序、责任；建立验收和财产清查制度，明确资产管理人员，并明确责任；遇到大笔开支，可召开教职工大会，讨论决定支付情况。</w:t>
      </w:r>
    </w:p>
    <w:p>
      <w:pPr>
        <w:spacing w:before="0" w:after="0" w:line="420" w:lineRule="auto"/>
        <w:ind w:firstLine="480" w:firstLineChars="200"/>
        <w:jc w:val="left"/>
      </w:pPr>
    </w:p>
    <w:p>
      <w:pPr>
        <w:spacing w:before="0" w:after="0" w:line="420" w:lineRule="auto"/>
        <w:ind w:firstLine="480" w:firstLineChars="200"/>
        <w:jc w:val="left"/>
      </w:pPr>
      <w:bookmarkStart w:id="17" w:name="_GoBack"/>
      <w:bookmarkEnd w:id="17"/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sectPr>
      <w:pgSz w:w="11906" w:h="16838"/>
      <w:pgMar w:top="1440" w:right="1082" w:bottom="1440" w:left="1082" w:header="0" w:footer="720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evenAndOddHeaders w:val="1"/>
  <w:footnotePr>
    <w:footnote w:id="0"/>
    <w:footnote w:id="1"/>
  </w:footnotePr>
  <w:endnotePr>
    <w:endnote w:id="0"/>
    <w:endnote w:id="1"/>
  </w:endnotePr>
  <w:compat>
    <w:useFELayout/>
    <w:splitPgBreakAndParaMark/>
    <w:compatSetting w:name="compatibilityMode" w:uri="http://schemas.microsoft.com/office/word" w:val="12"/>
  </w:compat>
  <w:docVars>
    <w:docVar w:name="commondata" w:val="eyJoZGlkIjoiMmEzOTcxZTFjZjg0NDEwMmMwN2Y1OTI2NzkzNzZmYmEifQ=="/>
  </w:docVars>
  <w:rsids>
    <w:rsidRoot w:val="00000000"/>
    <w:rsid w:val="034D4E02"/>
    <w:rsid w:val="05D2339D"/>
    <w:rsid w:val="0E325320"/>
    <w:rsid w:val="0F524DCA"/>
    <w:rsid w:val="109F7947"/>
    <w:rsid w:val="1C2344FA"/>
    <w:rsid w:val="1F4629DA"/>
    <w:rsid w:val="22E06CA1"/>
    <w:rsid w:val="231725D6"/>
    <w:rsid w:val="2762237B"/>
    <w:rsid w:val="3CD218F9"/>
    <w:rsid w:val="4A631DE2"/>
    <w:rsid w:val="4DDB5830"/>
    <w:rsid w:val="536C270A"/>
    <w:rsid w:val="57CB5EF0"/>
    <w:rsid w:val="5D4E247E"/>
    <w:rsid w:val="6A701C86"/>
    <w:rsid w:val="6AE52674"/>
    <w:rsid w:val="6CA43E69"/>
    <w:rsid w:val="72331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nhideWhenUsed="0" w:uiPriority="99" w:semiHidden="0" w:name="heading 5"/>
    <w:lsdException w:unhideWhenUsed="0" w:uiPriority="99" w:semiHidden="0" w:name="heading 6"/>
    <w:lsdException w:unhideWhenUsed="0" w:uiPriority="99" w:semiHidden="0" w:name="heading 7"/>
    <w:lsdException w:unhideWhenUsed="0" w:uiPriority="99" w:semiHidden="0" w:name="heading 8"/>
    <w:lsdException w:unhideWhenUsed="0" w:uiPriority="9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nhideWhenUsed="0" w:uiPriority="99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99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adjustRightInd/>
      <w:snapToGrid w:val="0"/>
      <w:spacing w:line="360" w:lineRule="auto"/>
      <w:contextualSpacing/>
      <w:jc w:val="left"/>
    </w:pPr>
    <w:rPr>
      <w:rFonts w:ascii="宋体" w:hAnsi="宋体" w:eastAsia="宋体" w:cstheme="minorBidi"/>
      <w:bCs/>
      <w:kern w:val="30"/>
      <w:sz w:val="24"/>
      <w:szCs w:val="30"/>
    </w:rPr>
  </w:style>
  <w:style w:type="paragraph" w:styleId="2">
    <w:name w:val="heading 1"/>
    <w:next w:val="1"/>
    <w:qFormat/>
    <w:uiPriority w:val="9"/>
    <w:pPr>
      <w:keepNext/>
      <w:keepLines/>
      <w:widowControl/>
      <w:adjustRightInd/>
      <w:snapToGrid w:val="0"/>
      <w:spacing w:line="360" w:lineRule="auto"/>
      <w:contextualSpacing/>
      <w:jc w:val="left"/>
      <w:outlineLvl w:val="0"/>
    </w:pPr>
    <w:rPr>
      <w:rFonts w:ascii="黑体" w:hAnsi="黑体" w:eastAsia="黑体" w:cstheme="minorBidi"/>
      <w:bCs/>
      <w:kern w:val="44"/>
      <w:sz w:val="32"/>
      <w:szCs w:val="44"/>
    </w:rPr>
  </w:style>
  <w:style w:type="paragraph" w:styleId="3">
    <w:name w:val="heading 2"/>
    <w:next w:val="1"/>
    <w:unhideWhenUsed/>
    <w:qFormat/>
    <w:uiPriority w:val="9"/>
    <w:pPr>
      <w:keepNext/>
      <w:keepLines/>
      <w:widowControl/>
      <w:adjustRightInd/>
      <w:snapToGrid w:val="0"/>
      <w:spacing w:line="360" w:lineRule="auto"/>
      <w:contextualSpacing/>
      <w:jc w:val="left"/>
      <w:outlineLvl w:val="1"/>
    </w:pPr>
    <w:rPr>
      <w:rFonts w:ascii="楷体" w:hAnsi="楷体" w:eastAsia="楷体" w:cstheme="minorBidi"/>
      <w:bCs/>
      <w:kern w:val="44"/>
      <w:sz w:val="30"/>
      <w:szCs w:val="44"/>
    </w:rPr>
  </w:style>
  <w:style w:type="paragraph" w:styleId="4">
    <w:name w:val="heading 3"/>
    <w:next w:val="1"/>
    <w:unhideWhenUsed/>
    <w:qFormat/>
    <w:uiPriority w:val="9"/>
    <w:pPr>
      <w:keepNext/>
      <w:keepLines/>
      <w:widowControl/>
      <w:adjustRightInd/>
      <w:snapToGrid w:val="0"/>
      <w:spacing w:line="360" w:lineRule="auto"/>
      <w:contextualSpacing/>
      <w:jc w:val="left"/>
      <w:outlineLvl w:val="2"/>
    </w:pPr>
    <w:rPr>
      <w:rFonts w:ascii="宋体" w:hAnsi="宋体" w:eastAsia="宋体" w:cstheme="minorBidi"/>
      <w:b/>
      <w:bCs/>
      <w:kern w:val="30"/>
      <w:sz w:val="24"/>
      <w:szCs w:val="30"/>
    </w:rPr>
  </w:style>
  <w:style w:type="paragraph" w:styleId="5">
    <w:name w:val="heading 4"/>
    <w:next w:val="1"/>
    <w:unhideWhenUsed/>
    <w:qFormat/>
    <w:uiPriority w:val="9"/>
    <w:pPr>
      <w:keepNext/>
      <w:keepLines/>
      <w:widowControl/>
      <w:adjustRightInd/>
      <w:snapToGrid w:val="0"/>
      <w:spacing w:line="360" w:lineRule="auto"/>
      <w:contextualSpacing/>
      <w:jc w:val="left"/>
      <w:outlineLvl w:val="3"/>
    </w:pPr>
    <w:rPr>
      <w:rFonts w:ascii="宋体" w:hAnsi="宋体" w:eastAsia="宋体" w:cstheme="minorBidi"/>
      <w:bCs/>
      <w:kern w:val="30"/>
      <w:sz w:val="24"/>
      <w:szCs w:val="30"/>
    </w:rPr>
  </w:style>
  <w:style w:type="character" w:default="1" w:styleId="7">
    <w:name w:val="Default Paragraph Font"/>
    <w:uiPriority w:val="99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OC1"/>
    <w:unhideWhenUsed/>
    <w:qFormat/>
    <w:uiPriority w:val="0"/>
    <w:pPr>
      <w:ind w:leftChars="0"/>
    </w:pPr>
    <w:rPr>
      <w:rFonts w:ascii="宋体" w:hAnsi="宋体" w:eastAsia="宋体" w:cstheme="minorBidi"/>
      <w:b/>
      <w:bCs/>
      <w:color w:val="auto"/>
      <w:sz w:val="24"/>
      <w:szCs w:val="24"/>
    </w:rPr>
  </w:style>
  <w:style w:type="paragraph" w:customStyle="1" w:styleId="9">
    <w:name w:val="TOC2"/>
    <w:unhideWhenUsed/>
    <w:qFormat/>
    <w:uiPriority w:val="0"/>
    <w:pPr>
      <w:ind w:leftChars="100"/>
    </w:pPr>
    <w:rPr>
      <w:rFonts w:ascii="宋体" w:hAnsi="宋体" w:eastAsia="宋体" w:cstheme="minorBidi"/>
      <w:b/>
      <w:bCs/>
      <w:color w:val="auto"/>
      <w:sz w:val="24"/>
      <w:szCs w:val="24"/>
    </w:rPr>
  </w:style>
  <w:style w:type="paragraph" w:customStyle="1" w:styleId="10">
    <w:name w:val="TOC3"/>
    <w:unhideWhenUsed/>
    <w:qFormat/>
    <w:uiPriority w:val="0"/>
    <w:pPr>
      <w:ind w:leftChars="200"/>
    </w:pPr>
    <w:rPr>
      <w:rFonts w:ascii="宋体" w:hAnsi="宋体" w:eastAsia="宋体" w:cstheme="minorBidi"/>
      <w:color w:val="auto"/>
      <w:sz w:val="24"/>
      <w:szCs w:val="24"/>
    </w:rPr>
  </w:style>
  <w:style w:type="paragraph" w:customStyle="1" w:styleId="11">
    <w:name w:val="TOC4"/>
    <w:unhideWhenUsed/>
    <w:qFormat/>
    <w:uiPriority w:val="0"/>
    <w:pPr>
      <w:ind w:leftChars="300"/>
    </w:pPr>
    <w:rPr>
      <w:rFonts w:ascii="宋体" w:hAnsi="宋体" w:eastAsia="宋体" w:cstheme="minorBidi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8405</Words>
  <Characters>12420</Characters>
  <TotalTime>1</TotalTime>
  <ScaleCrop>false</ScaleCrop>
  <LinksUpToDate>false</LinksUpToDate>
  <CharactersWithSpaces>13143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2023-05-16T08:51:00Z</dcterms:created>
  <dc:creator>Apache POI</dc:creator>
  <cp:lastModifiedBy>李军山亭区实验小学</cp:lastModifiedBy>
  <dcterms:modified xsi:type="dcterms:W3CDTF">2023-05-17T03:25:05Z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38A7396F14644B9E852B6C7EE28E1134_12</vt:lpwstr>
  </property>
</Properties>
</file>