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 王 庄 镇 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 王 庄 镇 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 王 庄 镇 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场明确周边的公共交通线路,车辆入口与出口指示、院内停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门)的名称、位置及指引标识、急诊“绿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开本院公共卫生预防控制相关信息,落实政府应急处置措施的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现场明显位置标识突发事件的应急疏散和安全通道路线、指引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标牌、路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的办理时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开专业方向，临床、检验、检查等专业服务项目名称及特色服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开门诊、急诊就诊流程、就诊期间应知晓的相关事务、注意事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开办理住院的手续及流程、住院期间应知晓的相关事务、注意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开需要或可以预约的挂号、诊疗、临床检验、检查等的预约途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开进行临床检验、超声、影像学等辅助检查的流程、须知、注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开向上级医院转诊及接收上级医院向本院转诊的服务内容、机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开医联体及县域医共体业务合作的医疗卫生服务机构、专家介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开各科室设置名称、医疗服务内容，医联体合作机构、下沉专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开基本公共卫生服务和家庭医生签约服务项目等服务内容、责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开本机构服务区域范围，服务区域内人群的基本情况、重点人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群基本情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开门诊、急诊服务流程，留观、住院服务流程以及双向转诊服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风与投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院内明显位置长期公示由法定代表人或主要负责人签署的《医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开为维护正常医疗秩序患者应当遵守的相关法律、法规、规定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5E61809"/>
    <w:rsid w:val="3A647D60"/>
    <w:rsid w:val="7DE71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2854</Words>
  <Characters>2901</Characters>
  <TotalTime>17</TotalTime>
  <ScaleCrop>false</ScaleCrop>
  <LinksUpToDate>false</LinksUpToDate>
  <CharactersWithSpaces>2997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4EE0E3BDC476407B8A2BAC6EC19E85DD_13</vt:lpwstr>
  </property>
</Properties>
</file>