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山亭区山城街道办事处卫生院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山亭区山城街道办事处卫生院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山亭区山城街道办事处卫生院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山亭区山城街道办事处卫生院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5E61809"/>
    <w:rsid w:val="3A647D60"/>
    <w:rsid w:val="522C0C78"/>
    <w:rsid w:val="577E200A"/>
    <w:rsid w:val="7DE71E07"/>
    <w:rsid w:val="7EAA3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2866</Words>
  <Characters>2913</Characters>
  <TotalTime>23</TotalTime>
  <ScaleCrop>false</ScaleCrop>
  <LinksUpToDate>false</LinksUpToDate>
  <CharactersWithSpaces>3041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1E63DF348F314F9B90D0FDD07C74D228_13</vt:lpwstr>
  </property>
</Properties>
</file>