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rPr>
          <w:rFonts w:ascii="Times New Roman"/>
          <w:sz w:val="17"/>
        </w:rPr>
      </w:pPr>
      <w:r>
        <w:drawing>
          <wp:anchor distT="0" distB="0" distL="0" distR="0" simplePos="0" relativeHeight="487186432" behindDoc="1" locked="0" layoutInCell="1" allowOverlap="1">
            <wp:simplePos x="0" y="0"/>
            <wp:positionH relativeFrom="page">
              <wp:posOffset>0</wp:posOffset>
            </wp:positionH>
            <wp:positionV relativeFrom="page">
              <wp:posOffset>-5080</wp:posOffset>
            </wp:positionV>
            <wp:extent cx="7559040" cy="107048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7559040" cy="10704576"/>
                    </a:xfrm>
                    <a:prstGeom prst="rect">
                      <a:avLst/>
                    </a:prstGeom>
                  </pic:spPr>
                </pic:pic>
              </a:graphicData>
            </a:graphic>
          </wp:anchor>
        </w:drawing>
      </w:r>
    </w:p>
    <w:p>
      <w:pPr>
        <w:spacing w:after="0"/>
        <w:rPr>
          <w:rFonts w:ascii="Times New Roman"/>
          <w:sz w:val="17"/>
        </w:rPr>
        <w:sectPr>
          <w:type w:val="continuous"/>
          <w:pgSz w:w="11910" w:h="16860"/>
          <w:pgMar w:top="1580" w:right="1680" w:bottom="280" w:left="1680" w:header="720" w:footer="720" w:gutter="0"/>
        </w:sectPr>
      </w:pPr>
    </w:p>
    <w:p>
      <w:pPr>
        <w:pStyle w:val="3"/>
        <w:rPr>
          <w:rFonts w:ascii="Times New Roman"/>
          <w:sz w:val="20"/>
        </w:rPr>
      </w:pPr>
    </w:p>
    <w:p>
      <w:pPr>
        <w:pStyle w:val="3"/>
        <w:spacing w:before="6"/>
        <w:rPr>
          <w:rFonts w:ascii="Times New Roman"/>
          <w:sz w:val="20"/>
        </w:rPr>
      </w:pPr>
    </w:p>
    <w:p>
      <w:pPr>
        <w:pStyle w:val="2"/>
        <w:spacing w:before="45" w:line="237" w:lineRule="auto"/>
        <w:ind w:left="3593"/>
      </w:pPr>
      <w:bookmarkStart w:id="0" w:name="_GoBack"/>
      <w:r>
        <w:rPr>
          <w:w w:val="95"/>
        </w:rPr>
        <w:t>山亭区工业企业“亩产效益”评价改革工作</w:t>
      </w:r>
      <w:r>
        <w:t>实施方案</w:t>
      </w:r>
    </w:p>
    <w:bookmarkEnd w:id="0"/>
    <w:p>
      <w:pPr>
        <w:pStyle w:val="3"/>
        <w:spacing w:before="3"/>
        <w:rPr>
          <w:sz w:val="53"/>
        </w:rPr>
      </w:pPr>
    </w:p>
    <w:p>
      <w:pPr>
        <w:pStyle w:val="3"/>
        <w:spacing w:line="328" w:lineRule="auto"/>
        <w:ind w:left="108" w:right="338" w:firstLine="624"/>
        <w:jc w:val="both"/>
      </w:pPr>
      <w:r>
        <w:rPr>
          <w:w w:val="95"/>
        </w:rPr>
        <w:t>为深入贯彻落实省、市关于实施新旧动能转换重大工程的</w:t>
      </w:r>
      <w:r>
        <w:rPr>
          <w:spacing w:val="65"/>
          <w:w w:val="95"/>
        </w:rPr>
        <w:t xml:space="preserve"> </w:t>
      </w:r>
      <w:r>
        <w:rPr>
          <w:w w:val="95"/>
        </w:rPr>
        <w:t>决策部署，进一步引导企业树立集约节约发展理念，优化资源</w:t>
      </w:r>
      <w:r>
        <w:rPr>
          <w:spacing w:val="81"/>
          <w:w w:val="95"/>
        </w:rPr>
        <w:t xml:space="preserve"> </w:t>
      </w:r>
      <w:r>
        <w:rPr>
          <w:w w:val="95"/>
        </w:rPr>
        <w:t>要素配置，加快推进工业经济高质量发展，根据省级十个部门</w:t>
      </w:r>
      <w:r>
        <w:rPr>
          <w:spacing w:val="81"/>
          <w:w w:val="95"/>
        </w:rPr>
        <w:t xml:space="preserve"> </w:t>
      </w:r>
      <w:r>
        <w:rPr>
          <w:spacing w:val="7"/>
          <w:w w:val="95"/>
        </w:rPr>
        <w:t xml:space="preserve">联合下发的《关于做好 </w:t>
      </w:r>
      <w:r>
        <w:rPr>
          <w:w w:val="95"/>
        </w:rPr>
        <w:t>2021</w:t>
      </w:r>
      <w:r>
        <w:rPr>
          <w:spacing w:val="1"/>
          <w:w w:val="95"/>
        </w:rPr>
        <w:t xml:space="preserve"> 年“亩产效益”评价改革工作的通</w:t>
      </w:r>
      <w:r>
        <w:rPr>
          <w:w w:val="95"/>
        </w:rPr>
        <w:t>知》（鲁工信运〔2021〕43</w:t>
      </w:r>
      <w:r>
        <w:rPr>
          <w:spacing w:val="54"/>
          <w:w w:val="95"/>
        </w:rPr>
        <w:t xml:space="preserve"> 号</w:t>
      </w:r>
      <w:r>
        <w:rPr>
          <w:w w:val="95"/>
        </w:rPr>
        <w:t>）、市级十一个部门联合下发的</w:t>
      </w:r>
    </w:p>
    <w:p>
      <w:pPr>
        <w:pStyle w:val="3"/>
        <w:spacing w:line="328" w:lineRule="auto"/>
        <w:ind w:left="108" w:right="339"/>
        <w:jc w:val="both"/>
      </w:pPr>
      <w:r>
        <w:rPr>
          <w:spacing w:val="13"/>
          <w:w w:val="95"/>
        </w:rPr>
        <w:t xml:space="preserve">《关于做好 </w:t>
      </w:r>
      <w:r>
        <w:rPr>
          <w:w w:val="95"/>
        </w:rPr>
        <w:t>2021 年“亩产效益”评价改革工作的通知》（枣工信字〔2021〕30</w:t>
      </w:r>
      <w:r>
        <w:rPr>
          <w:spacing w:val="57"/>
          <w:w w:val="95"/>
        </w:rPr>
        <w:t xml:space="preserve"> 号</w:t>
      </w:r>
      <w:r>
        <w:rPr>
          <w:w w:val="95"/>
        </w:rPr>
        <w:t>）等文件要求，结合我区实际，特制定本实</w:t>
      </w:r>
      <w:r>
        <w:t>施方案。</w:t>
      </w:r>
    </w:p>
    <w:p>
      <w:pPr>
        <w:pStyle w:val="3"/>
        <w:spacing w:line="405" w:lineRule="exact"/>
        <w:ind w:left="747"/>
      </w:pPr>
      <w:r>
        <w:t>一、评价办法</w:t>
      </w:r>
    </w:p>
    <w:p>
      <w:pPr>
        <w:pStyle w:val="3"/>
        <w:spacing w:before="141"/>
        <w:ind w:left="747"/>
      </w:pPr>
      <w:r>
        <w:t>（一）评价对象</w:t>
      </w:r>
    </w:p>
    <w:p>
      <w:pPr>
        <w:pStyle w:val="3"/>
        <w:spacing w:before="150" w:line="328" w:lineRule="auto"/>
        <w:ind w:left="108" w:right="346" w:firstLine="638"/>
        <w:jc w:val="both"/>
      </w:pPr>
      <w:r>
        <w:rPr>
          <w:w w:val="95"/>
        </w:rPr>
        <w:t>全区范围内全部工业企业（电力、热力、燃气及水的生产</w:t>
      </w:r>
      <w:r>
        <w:rPr>
          <w:spacing w:val="43"/>
          <w:w w:val="95"/>
        </w:rPr>
        <w:t xml:space="preserve"> </w:t>
      </w:r>
      <w:r>
        <w:rPr>
          <w:w w:val="95"/>
        </w:rPr>
        <w:t>和供应业企业除外），包括规模以上和规模以下两部分。规模</w:t>
      </w:r>
      <w:r>
        <w:rPr>
          <w:spacing w:val="73"/>
          <w:w w:val="95"/>
        </w:rPr>
        <w:t xml:space="preserve"> </w:t>
      </w:r>
      <w:r>
        <w:rPr>
          <w:w w:val="95"/>
        </w:rPr>
        <w:t>以上工业企业以统计部门上年度年报名单为准，规模以下工业</w:t>
      </w:r>
      <w:r>
        <w:rPr>
          <w:spacing w:val="73"/>
          <w:w w:val="95"/>
        </w:rPr>
        <w:t xml:space="preserve"> </w:t>
      </w:r>
      <w:r>
        <w:rPr>
          <w:spacing w:val="-6"/>
          <w:w w:val="95"/>
        </w:rPr>
        <w:t xml:space="preserve">企业为全区范围内占地超过 </w:t>
      </w:r>
      <w:r>
        <w:rPr>
          <w:w w:val="95"/>
        </w:rPr>
        <w:t>3</w:t>
      </w:r>
      <w:r>
        <w:rPr>
          <w:spacing w:val="-12"/>
          <w:w w:val="95"/>
        </w:rPr>
        <w:t xml:space="preserve"> 亩的企业。</w:t>
      </w:r>
    </w:p>
    <w:p>
      <w:pPr>
        <w:pStyle w:val="3"/>
        <w:spacing w:line="402" w:lineRule="exact"/>
        <w:ind w:left="747"/>
      </w:pPr>
      <w:r>
        <w:t>（二）评价指标及权重设置</w:t>
      </w:r>
    </w:p>
    <w:p>
      <w:pPr>
        <w:pStyle w:val="3"/>
        <w:spacing w:before="151" w:line="326" w:lineRule="auto"/>
        <w:ind w:left="108" w:right="346" w:firstLine="638"/>
      </w:pPr>
      <w:r>
        <w:rPr>
          <w:w w:val="95"/>
        </w:rPr>
        <w:t>规模以上工业企业（以下简称规上企业）评价指标分值共</w:t>
      </w:r>
      <w:r>
        <w:rPr>
          <w:spacing w:val="1"/>
          <w:w w:val="95"/>
        </w:rPr>
        <w:t xml:space="preserve"> </w:t>
      </w:r>
      <w:r>
        <w:rPr>
          <w:w w:val="95"/>
        </w:rPr>
        <w:t>100</w:t>
      </w:r>
      <w:r>
        <w:rPr>
          <w:spacing w:val="4"/>
          <w:w w:val="95"/>
        </w:rPr>
        <w:t xml:space="preserve"> 分，具体指标为：单位用地税收 </w:t>
      </w:r>
      <w:r>
        <w:rPr>
          <w:w w:val="95"/>
        </w:rPr>
        <w:t>30</w:t>
      </w:r>
      <w:r>
        <w:rPr>
          <w:spacing w:val="4"/>
          <w:w w:val="95"/>
        </w:rPr>
        <w:t xml:space="preserve"> 分、单位能耗销售收入</w:t>
      </w:r>
    </w:p>
    <w:p>
      <w:pPr>
        <w:pStyle w:val="3"/>
        <w:spacing w:before="3"/>
        <w:ind w:left="108"/>
      </w:pPr>
      <w:r>
        <w:rPr>
          <w:w w:val="95"/>
        </w:rPr>
        <w:t>20</w:t>
      </w:r>
      <w:r>
        <w:rPr>
          <w:spacing w:val="9"/>
          <w:w w:val="95"/>
        </w:rPr>
        <w:t xml:space="preserve"> 分、单位污染物排放销售收入 </w:t>
      </w:r>
      <w:r>
        <w:rPr>
          <w:w w:val="95"/>
        </w:rPr>
        <w:t>10</w:t>
      </w:r>
      <w:r>
        <w:rPr>
          <w:spacing w:val="12"/>
          <w:w w:val="95"/>
        </w:rPr>
        <w:t xml:space="preserve"> 分、研发经费投入强度 </w:t>
      </w:r>
      <w:r>
        <w:rPr>
          <w:w w:val="95"/>
        </w:rPr>
        <w:t>5</w:t>
      </w:r>
    </w:p>
    <w:p>
      <w:pPr>
        <w:pStyle w:val="3"/>
        <w:spacing w:before="152"/>
        <w:ind w:left="108"/>
      </w:pPr>
      <w:r>
        <w:rPr>
          <w:w w:val="95"/>
        </w:rPr>
        <w:t>分、全员劳动生产率</w:t>
      </w:r>
      <w:r>
        <w:rPr>
          <w:spacing w:val="176"/>
        </w:rPr>
        <w:t xml:space="preserve"> </w:t>
      </w:r>
      <w:r>
        <w:rPr>
          <w:w w:val="95"/>
        </w:rPr>
        <w:t>5</w:t>
      </w:r>
      <w:r>
        <w:rPr>
          <w:spacing w:val="169"/>
        </w:rPr>
        <w:t xml:space="preserve"> </w:t>
      </w:r>
      <w:r>
        <w:rPr>
          <w:w w:val="95"/>
        </w:rPr>
        <w:t>分、自定义指标（单位用地销售收入）</w:t>
      </w:r>
    </w:p>
    <w:p>
      <w:pPr>
        <w:spacing w:after="0"/>
        <w:sectPr>
          <w:footerReference r:id="rId3" w:type="default"/>
          <w:pgSz w:w="11910" w:h="16840"/>
          <w:pgMar w:top="1580" w:right="1240" w:bottom="1300" w:left="1480" w:header="0" w:footer="1118" w:gutter="0"/>
          <w:pgNumType w:start="2"/>
        </w:sectPr>
      </w:pPr>
    </w:p>
    <w:p>
      <w:pPr>
        <w:pStyle w:val="3"/>
        <w:rPr>
          <w:sz w:val="20"/>
        </w:rPr>
      </w:pPr>
    </w:p>
    <w:p>
      <w:pPr>
        <w:pStyle w:val="3"/>
        <w:spacing w:before="11"/>
        <w:rPr>
          <w:sz w:val="24"/>
        </w:rPr>
      </w:pPr>
    </w:p>
    <w:p>
      <w:pPr>
        <w:pStyle w:val="3"/>
        <w:spacing w:before="54"/>
        <w:ind w:left="108"/>
        <w:jc w:val="both"/>
      </w:pPr>
      <w:r>
        <w:rPr>
          <w:w w:val="95"/>
        </w:rPr>
        <w:t>15</w:t>
      </w:r>
      <w:r>
        <w:rPr>
          <w:spacing w:val="-14"/>
          <w:w w:val="95"/>
        </w:rPr>
        <w:t xml:space="preserve"> 分、加分项 </w:t>
      </w:r>
      <w:r>
        <w:rPr>
          <w:w w:val="95"/>
        </w:rPr>
        <w:t>15</w:t>
      </w:r>
      <w:r>
        <w:rPr>
          <w:spacing w:val="-14"/>
          <w:w w:val="95"/>
        </w:rPr>
        <w:t xml:space="preserve"> 分。</w:t>
      </w:r>
    </w:p>
    <w:p>
      <w:pPr>
        <w:pStyle w:val="3"/>
        <w:spacing w:before="150" w:line="328" w:lineRule="auto"/>
        <w:ind w:left="108" w:right="346" w:firstLine="638"/>
        <w:jc w:val="both"/>
      </w:pPr>
      <w:r>
        <w:rPr>
          <w:w w:val="95"/>
        </w:rPr>
        <w:t>规模以下工业企业（以下简称规下企业）评价指标分值共</w:t>
      </w:r>
      <w:r>
        <w:rPr>
          <w:spacing w:val="1"/>
          <w:w w:val="95"/>
        </w:rPr>
        <w:t xml:space="preserve"> </w:t>
      </w:r>
      <w:r>
        <w:rPr>
          <w:w w:val="95"/>
        </w:rPr>
        <w:t>100</w:t>
      </w:r>
      <w:r>
        <w:rPr>
          <w:spacing w:val="3"/>
          <w:w w:val="95"/>
        </w:rPr>
        <w:t xml:space="preserve"> 分，具体指标为：单位用地税收 </w:t>
      </w:r>
      <w:r>
        <w:rPr>
          <w:w w:val="95"/>
        </w:rPr>
        <w:t>70</w:t>
      </w:r>
      <w:r>
        <w:rPr>
          <w:spacing w:val="5"/>
          <w:w w:val="95"/>
        </w:rPr>
        <w:t xml:space="preserve"> 分、自定义指标</w:t>
      </w:r>
      <w:r>
        <w:rPr>
          <w:w w:val="95"/>
        </w:rPr>
        <w:t>（单位用地销售收入）15</w:t>
      </w:r>
      <w:r>
        <w:rPr>
          <w:spacing w:val="-21"/>
          <w:w w:val="95"/>
        </w:rPr>
        <w:t xml:space="preserve"> 分、加分项 </w:t>
      </w:r>
      <w:r>
        <w:rPr>
          <w:w w:val="95"/>
        </w:rPr>
        <w:t>15</w:t>
      </w:r>
      <w:r>
        <w:rPr>
          <w:spacing w:val="-24"/>
          <w:w w:val="95"/>
        </w:rPr>
        <w:t xml:space="preserve"> 分。</w:t>
      </w:r>
    </w:p>
    <w:p>
      <w:pPr>
        <w:pStyle w:val="3"/>
        <w:spacing w:line="405" w:lineRule="exact"/>
        <w:ind w:left="747"/>
      </w:pPr>
      <w:r>
        <w:t>（三）评价程序</w:t>
      </w:r>
    </w:p>
    <w:p>
      <w:pPr>
        <w:pStyle w:val="7"/>
        <w:numPr>
          <w:ilvl w:val="0"/>
          <w:numId w:val="1"/>
        </w:numPr>
        <w:tabs>
          <w:tab w:val="left" w:pos="1072"/>
        </w:tabs>
        <w:spacing w:before="149" w:after="0" w:line="328" w:lineRule="auto"/>
        <w:ind w:left="108" w:right="346" w:firstLine="638"/>
        <w:jc w:val="left"/>
        <w:rPr>
          <w:sz w:val="32"/>
        </w:rPr>
      </w:pPr>
      <w:r>
        <w:rPr>
          <w:w w:val="95"/>
          <w:sz w:val="32"/>
        </w:rPr>
        <w:t>数据采集。各业务单位根据考评指标分工向工信局提供</w:t>
      </w:r>
      <w:r>
        <w:rPr>
          <w:spacing w:val="6"/>
          <w:w w:val="95"/>
          <w:sz w:val="32"/>
        </w:rPr>
        <w:t xml:space="preserve"> </w:t>
      </w:r>
      <w:r>
        <w:rPr>
          <w:sz w:val="32"/>
        </w:rPr>
        <w:t>相关数据和资料。</w:t>
      </w:r>
    </w:p>
    <w:p>
      <w:pPr>
        <w:pStyle w:val="7"/>
        <w:numPr>
          <w:ilvl w:val="0"/>
          <w:numId w:val="2"/>
        </w:numPr>
        <w:tabs>
          <w:tab w:val="left" w:pos="1580"/>
        </w:tabs>
        <w:spacing w:before="0" w:after="0" w:line="328" w:lineRule="auto"/>
        <w:ind w:left="108" w:right="346" w:firstLine="638"/>
        <w:jc w:val="both"/>
        <w:rPr>
          <w:sz w:val="32"/>
        </w:rPr>
      </w:pPr>
      <w:r>
        <w:rPr>
          <w:spacing w:val="1"/>
          <w:w w:val="95"/>
          <w:sz w:val="32"/>
        </w:rPr>
        <w:t xml:space="preserve">规模以上工业企业名单、统一社会信用代码、所在 </w:t>
      </w:r>
      <w:r>
        <w:rPr>
          <w:w w:val="95"/>
          <w:sz w:val="32"/>
        </w:rPr>
        <w:t>区（市）统计用区划代码、所属行业分类代码（精确到中类）</w:t>
      </w:r>
      <w:r>
        <w:rPr>
          <w:spacing w:val="57"/>
          <w:w w:val="95"/>
          <w:sz w:val="32"/>
        </w:rPr>
        <w:t xml:space="preserve"> </w:t>
      </w:r>
      <w:r>
        <w:rPr>
          <w:sz w:val="32"/>
        </w:rPr>
        <w:t>由统计部门提供。</w:t>
      </w:r>
    </w:p>
    <w:p>
      <w:pPr>
        <w:pStyle w:val="7"/>
        <w:numPr>
          <w:ilvl w:val="0"/>
          <w:numId w:val="2"/>
        </w:numPr>
        <w:tabs>
          <w:tab w:val="left" w:pos="1580"/>
        </w:tabs>
        <w:spacing w:before="0" w:after="0" w:line="328" w:lineRule="auto"/>
        <w:ind w:left="108" w:right="346" w:firstLine="638"/>
        <w:jc w:val="both"/>
        <w:rPr>
          <w:sz w:val="32"/>
        </w:rPr>
      </w:pPr>
      <w:r>
        <w:rPr>
          <w:spacing w:val="1"/>
          <w:w w:val="95"/>
          <w:sz w:val="32"/>
        </w:rPr>
        <w:t xml:space="preserve">规模以下工业企业名单、统一社会信用代码、所在 </w:t>
      </w:r>
      <w:r>
        <w:rPr>
          <w:w w:val="95"/>
          <w:sz w:val="32"/>
        </w:rPr>
        <w:t>区（市）统计用区划代码、所属行业分类代码（精确到中类）</w:t>
      </w:r>
      <w:r>
        <w:rPr>
          <w:spacing w:val="73"/>
          <w:w w:val="95"/>
          <w:sz w:val="32"/>
        </w:rPr>
        <w:t xml:space="preserve"> </w:t>
      </w:r>
      <w:r>
        <w:rPr>
          <w:w w:val="95"/>
          <w:sz w:val="32"/>
        </w:rPr>
        <w:t>由税务、市场监管、行政审批、统计等部门通过企业销售收入</w:t>
      </w:r>
      <w:r>
        <w:rPr>
          <w:spacing w:val="57"/>
          <w:w w:val="95"/>
          <w:sz w:val="32"/>
        </w:rPr>
        <w:t xml:space="preserve"> </w:t>
      </w:r>
      <w:r>
        <w:rPr>
          <w:sz w:val="32"/>
        </w:rPr>
        <w:t>和纳税、市场主体登记、行业分类等有关信息筛选确定。</w:t>
      </w:r>
    </w:p>
    <w:p>
      <w:pPr>
        <w:pStyle w:val="7"/>
        <w:numPr>
          <w:ilvl w:val="0"/>
          <w:numId w:val="2"/>
        </w:numPr>
        <w:tabs>
          <w:tab w:val="left" w:pos="1568"/>
        </w:tabs>
        <w:spacing w:before="0" w:after="0" w:line="328" w:lineRule="auto"/>
        <w:ind w:left="108" w:right="346" w:firstLine="638"/>
        <w:jc w:val="both"/>
        <w:rPr>
          <w:sz w:val="32"/>
        </w:rPr>
      </w:pPr>
      <w:r>
        <w:rPr>
          <w:w w:val="95"/>
          <w:sz w:val="32"/>
        </w:rPr>
        <w:t>税收实际贡献指企业（独立纳税企业）2020</w:t>
      </w:r>
      <w:r>
        <w:rPr>
          <w:spacing w:val="167"/>
          <w:sz w:val="32"/>
        </w:rPr>
        <w:t xml:space="preserve"> </w:t>
      </w:r>
      <w:r>
        <w:rPr>
          <w:w w:val="95"/>
          <w:sz w:val="32"/>
        </w:rPr>
        <w:t>年实际入库（不含查补以前年度税款）税收合计数额，具体包括：增</w:t>
      </w:r>
      <w:r>
        <w:rPr>
          <w:spacing w:val="73"/>
          <w:w w:val="95"/>
          <w:sz w:val="32"/>
        </w:rPr>
        <w:t xml:space="preserve"> </w:t>
      </w:r>
      <w:r>
        <w:rPr>
          <w:w w:val="95"/>
          <w:sz w:val="32"/>
        </w:rPr>
        <w:t>值税（不扣减出口退税、含已办理的免抵调增增值税）、消费</w:t>
      </w:r>
      <w:r>
        <w:rPr>
          <w:spacing w:val="73"/>
          <w:w w:val="95"/>
          <w:sz w:val="32"/>
        </w:rPr>
        <w:t xml:space="preserve"> </w:t>
      </w:r>
      <w:r>
        <w:rPr>
          <w:w w:val="95"/>
          <w:sz w:val="32"/>
        </w:rPr>
        <w:t>税、企业所得税、个人所得税、资源税、城市维护建设税、房</w:t>
      </w:r>
      <w:r>
        <w:rPr>
          <w:spacing w:val="73"/>
          <w:w w:val="95"/>
          <w:sz w:val="32"/>
        </w:rPr>
        <w:t xml:space="preserve"> </w:t>
      </w:r>
      <w:r>
        <w:rPr>
          <w:w w:val="95"/>
          <w:sz w:val="32"/>
        </w:rPr>
        <w:t>产税、印花税、城镇土地使用税、土地增值税、车船税、车辆</w:t>
      </w:r>
      <w:r>
        <w:rPr>
          <w:spacing w:val="73"/>
          <w:w w:val="95"/>
          <w:sz w:val="32"/>
        </w:rPr>
        <w:t xml:space="preserve"> </w:t>
      </w:r>
      <w:r>
        <w:rPr>
          <w:w w:val="95"/>
          <w:sz w:val="32"/>
        </w:rPr>
        <w:t>购置税、耕地占用税、契税、环境保护税、烟叶税等税收，数</w:t>
      </w:r>
      <w:r>
        <w:rPr>
          <w:spacing w:val="57"/>
          <w:w w:val="95"/>
          <w:sz w:val="32"/>
        </w:rPr>
        <w:t xml:space="preserve"> </w:t>
      </w:r>
      <w:r>
        <w:rPr>
          <w:sz w:val="32"/>
        </w:rPr>
        <w:t>据由税务部门提供。</w:t>
      </w:r>
    </w:p>
    <w:p>
      <w:pPr>
        <w:pStyle w:val="7"/>
        <w:numPr>
          <w:ilvl w:val="0"/>
          <w:numId w:val="2"/>
        </w:numPr>
        <w:tabs>
          <w:tab w:val="left" w:pos="1580"/>
        </w:tabs>
        <w:spacing w:before="0" w:after="0" w:line="400" w:lineRule="exact"/>
        <w:ind w:left="1579" w:right="0" w:hanging="833"/>
        <w:jc w:val="left"/>
        <w:rPr>
          <w:sz w:val="32"/>
        </w:rPr>
      </w:pPr>
      <w:r>
        <w:rPr>
          <w:spacing w:val="1"/>
          <w:sz w:val="32"/>
        </w:rPr>
        <w:t>用地面积指企业实际占用土地面积，包括企业通过</w:t>
      </w:r>
    </w:p>
    <w:p>
      <w:pPr>
        <w:spacing w:after="0" w:line="400" w:lineRule="exact"/>
        <w:jc w:val="left"/>
        <w:rPr>
          <w:sz w:val="32"/>
        </w:rPr>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8" w:lineRule="auto"/>
        <w:ind w:left="108" w:right="346"/>
        <w:jc w:val="both"/>
      </w:pPr>
      <w:r>
        <w:rPr>
          <w:w w:val="95"/>
        </w:rPr>
        <w:t>政府供应、土地二级市场获得使用权的土地，通过租赁方式实</w:t>
      </w:r>
      <w:r>
        <w:rPr>
          <w:spacing w:val="73"/>
          <w:w w:val="95"/>
        </w:rPr>
        <w:t xml:space="preserve"> </w:t>
      </w:r>
      <w:r>
        <w:rPr>
          <w:w w:val="95"/>
        </w:rPr>
        <w:t>际占用的土地，以及其他实际占用的土地等。企业经批准的项</w:t>
      </w:r>
      <w:r>
        <w:rPr>
          <w:spacing w:val="73"/>
          <w:w w:val="95"/>
        </w:rPr>
        <w:t xml:space="preserve"> </w:t>
      </w:r>
      <w:r>
        <w:rPr>
          <w:spacing w:val="11"/>
          <w:w w:val="95"/>
        </w:rPr>
        <w:t xml:space="preserve">目新增土地面积在 </w:t>
      </w:r>
      <w:r>
        <w:rPr>
          <w:w w:val="95"/>
        </w:rPr>
        <w:t>2</w:t>
      </w:r>
      <w:r>
        <w:rPr>
          <w:spacing w:val="16"/>
          <w:w w:val="95"/>
        </w:rPr>
        <w:t xml:space="preserve"> 年建设期、</w:t>
      </w:r>
      <w:r>
        <w:rPr>
          <w:w w:val="95"/>
        </w:rPr>
        <w:t>1</w:t>
      </w:r>
      <w:r>
        <w:rPr>
          <w:spacing w:val="6"/>
          <w:w w:val="95"/>
        </w:rPr>
        <w:t xml:space="preserve"> 年过渡期内可不计入用地面</w:t>
      </w:r>
      <w:r>
        <w:rPr>
          <w:w w:val="95"/>
        </w:rPr>
        <w:t>积。区工信局负责向区自然资源局提供参评企业名称和位置信</w:t>
      </w:r>
      <w:r>
        <w:rPr>
          <w:spacing w:val="73"/>
          <w:w w:val="95"/>
        </w:rPr>
        <w:t xml:space="preserve"> </w:t>
      </w:r>
      <w:r>
        <w:rPr>
          <w:w w:val="95"/>
        </w:rPr>
        <w:t>息，区自然资源局以工业用地绩效调查数据初始调查成果为基</w:t>
      </w:r>
      <w:r>
        <w:rPr>
          <w:spacing w:val="73"/>
          <w:w w:val="95"/>
        </w:rPr>
        <w:t xml:space="preserve"> </w:t>
      </w:r>
      <w:r>
        <w:rPr>
          <w:w w:val="95"/>
        </w:rPr>
        <w:t>础，会同乡镇（街道）有关部门调查核实并提供企业实际用地</w:t>
      </w:r>
      <w:r>
        <w:rPr>
          <w:spacing w:val="73"/>
          <w:w w:val="95"/>
        </w:rPr>
        <w:t xml:space="preserve"> </w:t>
      </w:r>
      <w:r>
        <w:rPr>
          <w:w w:val="95"/>
        </w:rPr>
        <w:t>范围、用地面积等相关用地信息，形成数据库成果，报省自然</w:t>
      </w:r>
      <w:r>
        <w:rPr>
          <w:spacing w:val="57"/>
          <w:w w:val="95"/>
        </w:rPr>
        <w:t xml:space="preserve"> </w:t>
      </w:r>
      <w:r>
        <w:t>资源厅审核确认后，提供给区工信局。</w:t>
      </w:r>
    </w:p>
    <w:p>
      <w:pPr>
        <w:pStyle w:val="7"/>
        <w:numPr>
          <w:ilvl w:val="0"/>
          <w:numId w:val="2"/>
        </w:numPr>
        <w:tabs>
          <w:tab w:val="left" w:pos="1580"/>
        </w:tabs>
        <w:spacing w:before="0" w:after="0" w:line="395" w:lineRule="exact"/>
        <w:ind w:left="1579" w:right="0" w:hanging="833"/>
        <w:jc w:val="left"/>
        <w:rPr>
          <w:sz w:val="32"/>
        </w:rPr>
      </w:pPr>
      <w:r>
        <w:rPr>
          <w:spacing w:val="1"/>
          <w:sz w:val="32"/>
        </w:rPr>
        <w:t>销售收入指企业在税务部门申报的所属期为上年全</w:t>
      </w:r>
    </w:p>
    <w:p>
      <w:pPr>
        <w:pStyle w:val="3"/>
        <w:spacing w:before="152" w:line="328" w:lineRule="auto"/>
        <w:ind w:left="108" w:right="346"/>
        <w:jc w:val="both"/>
      </w:pPr>
      <w:r>
        <w:rPr>
          <w:w w:val="95"/>
        </w:rPr>
        <w:t>年累计实现的增值税销售额，包括：一般纳税人的按适用税率</w:t>
      </w:r>
      <w:r>
        <w:rPr>
          <w:spacing w:val="73"/>
          <w:w w:val="95"/>
        </w:rPr>
        <w:t xml:space="preserve"> </w:t>
      </w:r>
      <w:r>
        <w:rPr>
          <w:w w:val="95"/>
        </w:rPr>
        <w:t>计税销售额、按简易征收办法计税销售额、免、抵、退办法出</w:t>
      </w:r>
      <w:r>
        <w:rPr>
          <w:spacing w:val="73"/>
          <w:w w:val="95"/>
        </w:rPr>
        <w:t xml:space="preserve"> </w:t>
      </w:r>
      <w:r>
        <w:rPr>
          <w:w w:val="95"/>
        </w:rPr>
        <w:t>口销售额、免税销售额；小规模纳税人的应征增值税销售额、</w:t>
      </w:r>
      <w:r>
        <w:rPr>
          <w:spacing w:val="73"/>
          <w:w w:val="95"/>
        </w:rPr>
        <w:t xml:space="preserve"> </w:t>
      </w:r>
      <w:r>
        <w:rPr>
          <w:w w:val="95"/>
        </w:rPr>
        <w:t>销售使用过的应税固定资产销售额、免税销售额、出口免税销</w:t>
      </w:r>
      <w:r>
        <w:rPr>
          <w:spacing w:val="57"/>
          <w:w w:val="95"/>
        </w:rPr>
        <w:t xml:space="preserve"> </w:t>
      </w:r>
      <w:r>
        <w:t>售额或者核定销售额，数据由税务部门提供。</w:t>
      </w:r>
    </w:p>
    <w:p>
      <w:pPr>
        <w:pStyle w:val="7"/>
        <w:numPr>
          <w:ilvl w:val="0"/>
          <w:numId w:val="2"/>
        </w:numPr>
        <w:tabs>
          <w:tab w:val="left" w:pos="1580"/>
        </w:tabs>
        <w:spacing w:before="0" w:after="0" w:line="328" w:lineRule="auto"/>
        <w:ind w:left="108" w:right="346" w:firstLine="638"/>
        <w:jc w:val="both"/>
        <w:rPr>
          <w:sz w:val="32"/>
        </w:rPr>
      </w:pPr>
      <w:r>
        <w:rPr>
          <w:spacing w:val="1"/>
          <w:w w:val="95"/>
          <w:sz w:val="32"/>
        </w:rPr>
        <w:t xml:space="preserve">主要污染物排放量指企业化学需氧量、氨氮、二氧 </w:t>
      </w:r>
      <w:r>
        <w:rPr>
          <w:spacing w:val="17"/>
          <w:w w:val="95"/>
          <w:sz w:val="32"/>
        </w:rPr>
        <w:t xml:space="preserve">化硫、氮氧化物 </w:t>
      </w:r>
      <w:r>
        <w:rPr>
          <w:w w:val="95"/>
          <w:sz w:val="32"/>
        </w:rPr>
        <w:t>4 项污染物的排放量之和，由生态环境分局按</w:t>
      </w:r>
      <w:r>
        <w:rPr>
          <w:sz w:val="32"/>
        </w:rPr>
        <w:t>照以下优先顺序确定排污单位排放量：</w:t>
      </w:r>
    </w:p>
    <w:p>
      <w:pPr>
        <w:pStyle w:val="3"/>
        <w:spacing w:line="328" w:lineRule="auto"/>
        <w:ind w:left="108" w:right="346" w:firstLine="638"/>
      </w:pPr>
      <w:r>
        <w:rPr>
          <w:w w:val="95"/>
        </w:rPr>
        <w:t>🕔有污染物排放的，由生态环境分局按照上年生态环境统</w:t>
      </w:r>
      <w:r>
        <w:rPr>
          <w:spacing w:val="27"/>
          <w:w w:val="95"/>
        </w:rPr>
        <w:t xml:space="preserve"> </w:t>
      </w:r>
      <w:r>
        <w:t>计数据提供。</w:t>
      </w:r>
    </w:p>
    <w:p>
      <w:pPr>
        <w:pStyle w:val="3"/>
        <w:spacing w:line="328" w:lineRule="auto"/>
        <w:ind w:left="108" w:right="346" w:firstLine="638"/>
        <w:jc w:val="both"/>
      </w:pPr>
      <w:r>
        <w:rPr>
          <w:w w:val="95"/>
        </w:rPr>
        <w:t>②未纳入上年生态环境统计的排污单位，由生态环境分局</w:t>
      </w:r>
      <w:r>
        <w:rPr>
          <w:spacing w:val="43"/>
          <w:w w:val="95"/>
        </w:rPr>
        <w:t xml:space="preserve"> </w:t>
      </w:r>
      <w:r>
        <w:rPr>
          <w:w w:val="95"/>
        </w:rPr>
        <w:t>提供排污许可证执行报告数据。其他情形的，由排污单位依据</w:t>
      </w:r>
      <w:r>
        <w:rPr>
          <w:spacing w:val="73"/>
          <w:w w:val="95"/>
        </w:rPr>
        <w:t xml:space="preserve"> </w:t>
      </w:r>
      <w:r>
        <w:rPr>
          <w:w w:val="95"/>
        </w:rPr>
        <w:t>原环境保护部发布的《纳入排污许可管理的火电等 17</w:t>
      </w:r>
      <w:r>
        <w:rPr>
          <w:spacing w:val="5"/>
          <w:w w:val="95"/>
        </w:rPr>
        <w:t xml:space="preserve"> 个行业</w:t>
      </w:r>
    </w:p>
    <w:p>
      <w:pPr>
        <w:spacing w:after="0" w:line="328" w:lineRule="auto"/>
        <w:jc w:val="both"/>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6" w:lineRule="auto"/>
        <w:ind w:left="108" w:right="346"/>
        <w:jc w:val="both"/>
      </w:pPr>
      <w:r>
        <w:rPr>
          <w:spacing w:val="17"/>
          <w:w w:val="95"/>
        </w:rPr>
        <w:t>污染物排放量计算方法（含排污系数、物料衡算方法）（</w:t>
      </w:r>
      <w:r>
        <w:rPr>
          <w:w w:val="95"/>
        </w:rPr>
        <w:t>试</w:t>
      </w:r>
      <w:r>
        <w:rPr>
          <w:spacing w:val="1"/>
          <w:w w:val="95"/>
        </w:rPr>
        <w:t xml:space="preserve"> </w:t>
      </w:r>
      <w:r>
        <w:rPr>
          <w:w w:val="95"/>
        </w:rPr>
        <w:t>行）》《未纳入排污许可管理行业适用的排污系数、物料衡算</w:t>
      </w:r>
      <w:r>
        <w:rPr>
          <w:spacing w:val="57"/>
          <w:w w:val="95"/>
        </w:rPr>
        <w:t xml:space="preserve"> </w:t>
      </w:r>
      <w:r>
        <w:t>方法（试行）》进行测算，生态环境分局审核后提供。</w:t>
      </w:r>
    </w:p>
    <w:p>
      <w:pPr>
        <w:pStyle w:val="3"/>
        <w:spacing w:before="8" w:line="326" w:lineRule="auto"/>
        <w:ind w:left="108" w:right="346" w:firstLine="638"/>
      </w:pPr>
      <w:r>
        <w:rPr>
          <w:w w:val="95"/>
        </w:rPr>
        <w:t>③仅排放生活污水且全部排入城镇污水处理厂的，可不计</w:t>
      </w:r>
      <w:r>
        <w:rPr>
          <w:spacing w:val="27"/>
          <w:w w:val="95"/>
        </w:rPr>
        <w:t xml:space="preserve"> </w:t>
      </w:r>
      <w:r>
        <w:t>算水污染物排放量。</w:t>
      </w:r>
    </w:p>
    <w:p>
      <w:pPr>
        <w:pStyle w:val="7"/>
        <w:numPr>
          <w:ilvl w:val="0"/>
          <w:numId w:val="2"/>
        </w:numPr>
        <w:tabs>
          <w:tab w:val="left" w:pos="1580"/>
        </w:tabs>
        <w:spacing w:before="3" w:after="0" w:line="328" w:lineRule="auto"/>
        <w:ind w:left="108" w:right="116" w:firstLine="638"/>
        <w:jc w:val="left"/>
        <w:rPr>
          <w:sz w:val="32"/>
        </w:rPr>
      </w:pPr>
      <w:r>
        <w:rPr>
          <w:spacing w:val="6"/>
          <w:sz w:val="32"/>
        </w:rPr>
        <w:t>工业总产值</w:t>
      </w:r>
      <w:r>
        <w:rPr>
          <w:spacing w:val="12"/>
          <w:sz w:val="32"/>
        </w:rPr>
        <w:t>（</w:t>
      </w:r>
      <w:r>
        <w:rPr>
          <w:spacing w:val="6"/>
          <w:sz w:val="32"/>
        </w:rPr>
        <w:t>现价</w:t>
      </w:r>
      <w:r>
        <w:rPr>
          <w:spacing w:val="12"/>
          <w:sz w:val="32"/>
        </w:rPr>
        <w:t>）</w:t>
      </w:r>
      <w:r>
        <w:rPr>
          <w:spacing w:val="4"/>
          <w:sz w:val="32"/>
        </w:rPr>
        <w:t>指以货币表现的工业企业在报</w:t>
      </w:r>
      <w:r>
        <w:rPr>
          <w:w w:val="95"/>
          <w:sz w:val="32"/>
        </w:rPr>
        <w:t>告期内生产的工业产品总量，无法核算的，可由销售收入代替。</w:t>
      </w:r>
    </w:p>
    <w:p>
      <w:pPr>
        <w:pStyle w:val="7"/>
        <w:numPr>
          <w:ilvl w:val="0"/>
          <w:numId w:val="2"/>
        </w:numPr>
        <w:tabs>
          <w:tab w:val="left" w:pos="1580"/>
        </w:tabs>
        <w:spacing w:before="0" w:after="0" w:line="328" w:lineRule="auto"/>
        <w:ind w:left="108" w:right="346" w:firstLine="638"/>
        <w:jc w:val="both"/>
        <w:rPr>
          <w:sz w:val="32"/>
        </w:rPr>
      </w:pPr>
      <w:r>
        <w:rPr>
          <w:spacing w:val="1"/>
          <w:w w:val="95"/>
          <w:sz w:val="32"/>
        </w:rPr>
        <w:t xml:space="preserve">总能耗指企业生产和非生产活动消耗的能源总量， </w:t>
      </w:r>
      <w:r>
        <w:rPr>
          <w:w w:val="95"/>
          <w:sz w:val="32"/>
        </w:rPr>
        <w:t>主要包括煤、电、气消耗，鼓励根据企业用于增值税进项税额</w:t>
      </w:r>
      <w:r>
        <w:rPr>
          <w:spacing w:val="73"/>
          <w:w w:val="95"/>
          <w:sz w:val="32"/>
        </w:rPr>
        <w:t xml:space="preserve"> </w:t>
      </w:r>
      <w:r>
        <w:rPr>
          <w:w w:val="95"/>
          <w:sz w:val="32"/>
        </w:rPr>
        <w:t>抵扣的专用发票注明的购买数量，按相应系数折算成标准煤核</w:t>
      </w:r>
      <w:r>
        <w:rPr>
          <w:spacing w:val="73"/>
          <w:w w:val="95"/>
          <w:sz w:val="32"/>
        </w:rPr>
        <w:t xml:space="preserve"> </w:t>
      </w:r>
      <w:r>
        <w:rPr>
          <w:w w:val="95"/>
          <w:sz w:val="32"/>
        </w:rPr>
        <w:t>算消耗总量，也可用企业填报、相关部门核准的方式采集，确</w:t>
      </w:r>
      <w:r>
        <w:rPr>
          <w:spacing w:val="57"/>
          <w:w w:val="95"/>
          <w:sz w:val="32"/>
        </w:rPr>
        <w:t xml:space="preserve"> </w:t>
      </w:r>
      <w:r>
        <w:rPr>
          <w:sz w:val="32"/>
        </w:rPr>
        <w:t>保数据真实准确。</w:t>
      </w:r>
    </w:p>
    <w:p>
      <w:pPr>
        <w:pStyle w:val="7"/>
        <w:numPr>
          <w:ilvl w:val="0"/>
          <w:numId w:val="2"/>
        </w:numPr>
        <w:tabs>
          <w:tab w:val="left" w:pos="1559"/>
        </w:tabs>
        <w:spacing w:before="0" w:after="0" w:line="326" w:lineRule="auto"/>
        <w:ind w:left="108" w:right="346" w:firstLine="638"/>
        <w:jc w:val="left"/>
        <w:rPr>
          <w:sz w:val="32"/>
        </w:rPr>
      </w:pPr>
      <w:r>
        <w:rPr>
          <w:w w:val="95"/>
          <w:sz w:val="32"/>
        </w:rPr>
        <w:t>研发经费支出指企业研究与试验发展（R&amp;D）内部经</w:t>
      </w:r>
      <w:r>
        <w:rPr>
          <w:spacing w:val="1"/>
          <w:w w:val="95"/>
          <w:sz w:val="32"/>
        </w:rPr>
        <w:t xml:space="preserve"> </w:t>
      </w:r>
      <w:r>
        <w:rPr>
          <w:sz w:val="32"/>
        </w:rPr>
        <w:t>费支出，由税务部门提供。</w:t>
      </w:r>
    </w:p>
    <w:p>
      <w:pPr>
        <w:pStyle w:val="7"/>
        <w:numPr>
          <w:ilvl w:val="0"/>
          <w:numId w:val="2"/>
        </w:numPr>
        <w:tabs>
          <w:tab w:val="left" w:pos="1720"/>
        </w:tabs>
        <w:spacing w:before="0" w:after="0" w:line="328" w:lineRule="auto"/>
        <w:ind w:left="108" w:right="346" w:firstLine="638"/>
        <w:jc w:val="both"/>
        <w:rPr>
          <w:sz w:val="32"/>
        </w:rPr>
      </w:pPr>
      <w:r>
        <w:rPr>
          <w:w w:val="95"/>
          <w:sz w:val="32"/>
        </w:rPr>
        <w:t>年平均职工人数为企业各月平均职工人数之和除以12，包括企业实际在岗的全部人员数，由区人社局核准（可通</w:t>
      </w:r>
      <w:r>
        <w:rPr>
          <w:spacing w:val="57"/>
          <w:w w:val="95"/>
          <w:sz w:val="32"/>
        </w:rPr>
        <w:t xml:space="preserve"> </w:t>
      </w:r>
      <w:r>
        <w:rPr>
          <w:sz w:val="32"/>
        </w:rPr>
        <w:t>过企业填报、部门核准的方式）确定。</w:t>
      </w:r>
    </w:p>
    <w:p>
      <w:pPr>
        <w:pStyle w:val="7"/>
        <w:numPr>
          <w:ilvl w:val="0"/>
          <w:numId w:val="1"/>
        </w:numPr>
        <w:tabs>
          <w:tab w:val="left" w:pos="1072"/>
        </w:tabs>
        <w:spacing w:before="0" w:after="0" w:line="328" w:lineRule="auto"/>
        <w:ind w:left="108" w:right="346" w:firstLine="638"/>
        <w:jc w:val="both"/>
        <w:rPr>
          <w:sz w:val="32"/>
        </w:rPr>
      </w:pPr>
      <w:r>
        <w:rPr>
          <w:w w:val="95"/>
          <w:sz w:val="32"/>
        </w:rPr>
        <w:t>结果核算。工信局牵头组织发改、自然资源、税务、环</w:t>
      </w:r>
      <w:r>
        <w:rPr>
          <w:spacing w:val="22"/>
          <w:w w:val="95"/>
          <w:sz w:val="32"/>
        </w:rPr>
        <w:t xml:space="preserve"> </w:t>
      </w:r>
      <w:r>
        <w:rPr>
          <w:w w:val="95"/>
          <w:sz w:val="32"/>
        </w:rPr>
        <w:t>保、统计、科技、人社、市场监管、金融服务中心、应急管理</w:t>
      </w:r>
      <w:r>
        <w:rPr>
          <w:spacing w:val="57"/>
          <w:w w:val="95"/>
          <w:sz w:val="32"/>
        </w:rPr>
        <w:t xml:space="preserve"> </w:t>
      </w:r>
      <w:r>
        <w:rPr>
          <w:sz w:val="32"/>
        </w:rPr>
        <w:t>局等部门进行核算，并汇总最终结果。</w:t>
      </w:r>
    </w:p>
    <w:p>
      <w:pPr>
        <w:pStyle w:val="7"/>
        <w:numPr>
          <w:ilvl w:val="0"/>
          <w:numId w:val="1"/>
        </w:numPr>
        <w:tabs>
          <w:tab w:val="left" w:pos="1072"/>
        </w:tabs>
        <w:spacing w:before="0" w:after="0" w:line="328" w:lineRule="auto"/>
        <w:ind w:left="108" w:right="346" w:firstLine="638"/>
        <w:jc w:val="both"/>
        <w:rPr>
          <w:sz w:val="32"/>
        </w:rPr>
      </w:pPr>
      <w:r>
        <w:rPr>
          <w:w w:val="95"/>
          <w:sz w:val="32"/>
        </w:rPr>
        <w:t>结果审定。区政府常务会议讨论审定并进行公示，评价</w:t>
      </w:r>
      <w:r>
        <w:rPr>
          <w:spacing w:val="22"/>
          <w:w w:val="95"/>
          <w:sz w:val="32"/>
        </w:rPr>
        <w:t xml:space="preserve"> </w:t>
      </w:r>
      <w:r>
        <w:rPr>
          <w:spacing w:val="19"/>
          <w:w w:val="95"/>
          <w:sz w:val="32"/>
        </w:rPr>
        <w:t>结果分为</w:t>
      </w:r>
      <w:r>
        <w:rPr>
          <w:w w:val="95"/>
          <w:sz w:val="32"/>
        </w:rPr>
        <w:t>A、B、C、D</w:t>
      </w:r>
      <w:r>
        <w:rPr>
          <w:spacing w:val="-13"/>
          <w:w w:val="95"/>
          <w:sz w:val="32"/>
        </w:rPr>
        <w:t xml:space="preserve"> 四个类别。</w:t>
      </w:r>
    </w:p>
    <w:p>
      <w:pPr>
        <w:spacing w:after="0" w:line="328" w:lineRule="auto"/>
        <w:jc w:val="both"/>
        <w:rPr>
          <w:sz w:val="32"/>
        </w:rPr>
        <w:sectPr>
          <w:pgSz w:w="11910" w:h="16840"/>
          <w:pgMar w:top="1580" w:right="1240" w:bottom="1300" w:left="1480" w:header="0" w:footer="1118" w:gutter="0"/>
        </w:sectPr>
      </w:pPr>
    </w:p>
    <w:p>
      <w:pPr>
        <w:pStyle w:val="3"/>
        <w:rPr>
          <w:sz w:val="20"/>
        </w:rPr>
      </w:pPr>
    </w:p>
    <w:p>
      <w:pPr>
        <w:pStyle w:val="3"/>
        <w:spacing w:before="11"/>
        <w:rPr>
          <w:sz w:val="24"/>
        </w:rPr>
      </w:pPr>
    </w:p>
    <w:p>
      <w:pPr>
        <w:pStyle w:val="7"/>
        <w:numPr>
          <w:ilvl w:val="0"/>
          <w:numId w:val="1"/>
        </w:numPr>
        <w:tabs>
          <w:tab w:val="left" w:pos="1072"/>
        </w:tabs>
        <w:spacing w:before="54" w:after="0" w:line="326" w:lineRule="auto"/>
        <w:ind w:left="108" w:right="346" w:firstLine="638"/>
        <w:jc w:val="left"/>
        <w:rPr>
          <w:sz w:val="32"/>
        </w:rPr>
      </w:pPr>
      <w:r>
        <w:rPr>
          <w:w w:val="95"/>
          <w:sz w:val="32"/>
        </w:rPr>
        <w:t>结果告知。将综合分类评价结果告知被评价企业，并抄</w:t>
      </w:r>
      <w:r>
        <w:rPr>
          <w:spacing w:val="6"/>
          <w:w w:val="95"/>
          <w:sz w:val="32"/>
        </w:rPr>
        <w:t xml:space="preserve"> </w:t>
      </w:r>
      <w:r>
        <w:rPr>
          <w:sz w:val="32"/>
        </w:rPr>
        <w:t>送有关职能部门。</w:t>
      </w:r>
    </w:p>
    <w:p>
      <w:pPr>
        <w:pStyle w:val="3"/>
        <w:spacing w:before="4"/>
        <w:ind w:left="747"/>
      </w:pPr>
      <w:r>
        <w:t>（四）计算方法</w:t>
      </w:r>
    </w:p>
    <w:p>
      <w:pPr>
        <w:pStyle w:val="3"/>
        <w:spacing w:before="151" w:line="326" w:lineRule="auto"/>
        <w:ind w:left="108" w:right="346" w:firstLine="638"/>
      </w:pPr>
      <w:r>
        <w:rPr>
          <w:spacing w:val="7"/>
          <w:w w:val="95"/>
        </w:rPr>
        <w:t>企业综合评价得分=</w:t>
      </w:r>
      <w:r>
        <w:rPr>
          <w:spacing w:val="10"/>
          <w:w w:val="95"/>
        </w:rPr>
        <w:t>∑（</w:t>
      </w:r>
      <w:r>
        <w:rPr>
          <w:spacing w:val="5"/>
          <w:w w:val="95"/>
        </w:rPr>
        <w:t>企业各指标值÷指标基准值</w:t>
      </w:r>
      <w:r>
        <w:rPr>
          <w:w w:val="95"/>
        </w:rPr>
        <w:t>）×</w:t>
      </w:r>
      <w:r>
        <w:rPr>
          <w:spacing w:val="1"/>
          <w:w w:val="95"/>
        </w:rPr>
        <w:t xml:space="preserve"> </w:t>
      </w:r>
      <w:r>
        <w:t>指标权重。</w:t>
      </w:r>
    </w:p>
    <w:p>
      <w:pPr>
        <w:pStyle w:val="3"/>
        <w:spacing w:before="3"/>
        <w:ind w:left="747"/>
      </w:pPr>
      <w:r>
        <w:t>（🖂）综合加减分项目</w:t>
      </w:r>
    </w:p>
    <w:p>
      <w:pPr>
        <w:pStyle w:val="3"/>
        <w:spacing w:before="152"/>
        <w:ind w:left="747"/>
      </w:pPr>
      <w:r>
        <w:t>1.加分项目，具体如下：</w:t>
      </w:r>
    </w:p>
    <w:p>
      <w:pPr>
        <w:pStyle w:val="3"/>
        <w:spacing w:before="149"/>
        <w:ind w:left="747"/>
      </w:pPr>
      <w:r>
        <w:rPr>
          <w:w w:val="95"/>
        </w:rPr>
        <w:t>（1）</w:t>
      </w:r>
      <w:r>
        <w:rPr>
          <w:spacing w:val="5"/>
          <w:w w:val="95"/>
        </w:rPr>
        <w:t xml:space="preserve">年主营业务收入过 </w:t>
      </w:r>
      <w:r>
        <w:rPr>
          <w:w w:val="95"/>
        </w:rPr>
        <w:t>10</w:t>
      </w:r>
      <w:r>
        <w:rPr>
          <w:spacing w:val="9"/>
          <w:w w:val="95"/>
        </w:rPr>
        <w:t xml:space="preserve"> 亿元企业，加 </w:t>
      </w:r>
      <w:r>
        <w:rPr>
          <w:w w:val="95"/>
        </w:rPr>
        <w:t>3</w:t>
      </w:r>
      <w:r>
        <w:rPr>
          <w:spacing w:val="4"/>
          <w:w w:val="95"/>
        </w:rPr>
        <w:t xml:space="preserve"> 分；年主营业</w:t>
      </w:r>
    </w:p>
    <w:p>
      <w:pPr>
        <w:pStyle w:val="3"/>
        <w:spacing w:before="149"/>
        <w:ind w:left="108"/>
      </w:pPr>
      <w:r>
        <w:rPr>
          <w:spacing w:val="5"/>
          <w:w w:val="95"/>
        </w:rPr>
        <w:t xml:space="preserve">务收入过 </w:t>
      </w:r>
      <w:r>
        <w:rPr>
          <w:w w:val="95"/>
        </w:rPr>
        <w:t>5</w:t>
      </w:r>
      <w:r>
        <w:rPr>
          <w:spacing w:val="6"/>
          <w:w w:val="95"/>
        </w:rPr>
        <w:t xml:space="preserve"> 亿元不超过 </w:t>
      </w:r>
      <w:r>
        <w:rPr>
          <w:w w:val="95"/>
        </w:rPr>
        <w:t>10</w:t>
      </w:r>
      <w:r>
        <w:rPr>
          <w:spacing w:val="6"/>
          <w:w w:val="95"/>
        </w:rPr>
        <w:t xml:space="preserve"> 亿元的企业，加 </w:t>
      </w:r>
      <w:r>
        <w:rPr>
          <w:w w:val="95"/>
        </w:rPr>
        <w:t>2</w:t>
      </w:r>
      <w:r>
        <w:rPr>
          <w:spacing w:val="5"/>
          <w:w w:val="95"/>
        </w:rPr>
        <w:t xml:space="preserve"> 分；年主营业务</w:t>
      </w:r>
    </w:p>
    <w:p>
      <w:pPr>
        <w:pStyle w:val="3"/>
        <w:spacing w:before="152"/>
        <w:ind w:left="108"/>
      </w:pPr>
      <w:r>
        <w:rPr>
          <w:spacing w:val="1"/>
          <w:w w:val="95"/>
        </w:rPr>
        <w:t xml:space="preserve">收入过 </w:t>
      </w:r>
      <w:r>
        <w:rPr>
          <w:w w:val="95"/>
        </w:rPr>
        <w:t>1</w:t>
      </w:r>
      <w:r>
        <w:rPr>
          <w:spacing w:val="2"/>
          <w:w w:val="95"/>
        </w:rPr>
        <w:t xml:space="preserve"> 亿元不超过 </w:t>
      </w:r>
      <w:r>
        <w:rPr>
          <w:w w:val="95"/>
        </w:rPr>
        <w:t>5</w:t>
      </w:r>
      <w:r>
        <w:rPr>
          <w:spacing w:val="1"/>
          <w:w w:val="95"/>
        </w:rPr>
        <w:t xml:space="preserve"> 亿元的企业，加 </w:t>
      </w:r>
      <w:r>
        <w:rPr>
          <w:w w:val="95"/>
        </w:rPr>
        <w:t>1</w:t>
      </w:r>
      <w:r>
        <w:rPr>
          <w:spacing w:val="2"/>
          <w:w w:val="95"/>
        </w:rPr>
        <w:t xml:space="preserve"> 分。</w:t>
      </w:r>
      <w:r>
        <w:rPr>
          <w:w w:val="95"/>
        </w:rPr>
        <w:t>（由税务局负责</w:t>
      </w:r>
    </w:p>
    <w:p>
      <w:pPr>
        <w:pStyle w:val="3"/>
        <w:spacing w:before="149"/>
        <w:ind w:left="108"/>
      </w:pPr>
      <w:r>
        <w:rPr>
          <w:spacing w:val="6"/>
          <w:w w:val="95"/>
        </w:rPr>
        <w:t>认定</w:t>
      </w:r>
      <w:r>
        <w:rPr>
          <w:spacing w:val="9"/>
          <w:w w:val="95"/>
        </w:rPr>
        <w:t>）（2）</w:t>
      </w:r>
      <w:r>
        <w:rPr>
          <w:spacing w:val="2"/>
          <w:w w:val="95"/>
        </w:rPr>
        <w:t>引进国家级领军人才</w:t>
      </w:r>
      <w:r>
        <w:rPr>
          <w:w w:val="95"/>
        </w:rPr>
        <w:t>（</w:t>
      </w:r>
      <w:r>
        <w:rPr>
          <w:spacing w:val="6"/>
          <w:w w:val="95"/>
        </w:rPr>
        <w:t>团队</w:t>
      </w:r>
      <w:r>
        <w:rPr>
          <w:w w:val="95"/>
        </w:rPr>
        <w:t>）</w:t>
      </w:r>
      <w:r>
        <w:rPr>
          <w:spacing w:val="4"/>
          <w:w w:val="95"/>
        </w:rPr>
        <w:t>的，加</w:t>
      </w:r>
      <w:r>
        <w:rPr>
          <w:spacing w:val="186"/>
        </w:rPr>
        <w:t xml:space="preserve"> </w:t>
      </w:r>
      <w:r>
        <w:rPr>
          <w:w w:val="95"/>
        </w:rPr>
        <w:t>3</w:t>
      </w:r>
      <w:r>
        <w:rPr>
          <w:spacing w:val="183"/>
        </w:rPr>
        <w:t xml:space="preserve"> </w:t>
      </w:r>
      <w:r>
        <w:rPr>
          <w:spacing w:val="3"/>
          <w:w w:val="95"/>
        </w:rPr>
        <w:t>分；引进</w:t>
      </w:r>
    </w:p>
    <w:p>
      <w:pPr>
        <w:pStyle w:val="3"/>
        <w:spacing w:before="149"/>
        <w:ind w:left="108"/>
      </w:pPr>
      <w:r>
        <w:rPr>
          <w:spacing w:val="17"/>
          <w:w w:val="95"/>
        </w:rPr>
        <w:t>省级领军人才（团队</w:t>
      </w:r>
      <w:r>
        <w:rPr>
          <w:spacing w:val="19"/>
          <w:w w:val="95"/>
        </w:rPr>
        <w:t>）</w:t>
      </w:r>
      <w:r>
        <w:rPr>
          <w:spacing w:val="41"/>
          <w:w w:val="95"/>
        </w:rPr>
        <w:t xml:space="preserve">的，加 </w:t>
      </w:r>
      <w:r>
        <w:rPr>
          <w:w w:val="95"/>
        </w:rPr>
        <w:t>2</w:t>
      </w:r>
      <w:r>
        <w:rPr>
          <w:spacing w:val="23"/>
          <w:w w:val="95"/>
        </w:rPr>
        <w:t xml:space="preserve"> 分；引进枣庄市级领军人才</w:t>
      </w:r>
    </w:p>
    <w:p>
      <w:pPr>
        <w:pStyle w:val="3"/>
        <w:spacing w:before="152"/>
        <w:ind w:left="108"/>
      </w:pPr>
      <w:r>
        <w:rPr>
          <w:w w:val="95"/>
        </w:rPr>
        <w:t>（团队）的，加</w:t>
      </w:r>
      <w:r>
        <w:rPr>
          <w:spacing w:val="166"/>
        </w:rPr>
        <w:t xml:space="preserve"> </w:t>
      </w:r>
      <w:r>
        <w:rPr>
          <w:w w:val="95"/>
        </w:rPr>
        <w:t>1</w:t>
      </w:r>
      <w:r>
        <w:rPr>
          <w:spacing w:val="182"/>
        </w:rPr>
        <w:t xml:space="preserve"> </w:t>
      </w:r>
      <w:r>
        <w:rPr>
          <w:w w:val="95"/>
        </w:rPr>
        <w:t>分。同一企业只计最高得分项。（由组织部</w:t>
      </w:r>
    </w:p>
    <w:p>
      <w:pPr>
        <w:pStyle w:val="3"/>
        <w:spacing w:before="149" w:line="328" w:lineRule="auto"/>
        <w:ind w:left="108" w:right="347"/>
        <w:jc w:val="both"/>
      </w:pPr>
      <w:r>
        <w:rPr>
          <w:spacing w:val="12"/>
          <w:w w:val="95"/>
        </w:rPr>
        <w:t>负责认定</w:t>
      </w:r>
      <w:r>
        <w:rPr>
          <w:spacing w:val="13"/>
          <w:w w:val="95"/>
        </w:rPr>
        <w:t>）（3）</w:t>
      </w:r>
      <w:r>
        <w:rPr>
          <w:spacing w:val="11"/>
          <w:w w:val="95"/>
        </w:rPr>
        <w:t>获国家级、省级、市级质量奖的，分别加</w:t>
      </w:r>
      <w:r>
        <w:rPr>
          <w:spacing w:val="144"/>
        </w:rPr>
        <w:t xml:space="preserve"> </w:t>
      </w:r>
      <w:r>
        <w:rPr>
          <w:w w:val="95"/>
        </w:rPr>
        <w:t>3</w:t>
      </w:r>
      <w:r>
        <w:rPr>
          <w:spacing w:val="1"/>
          <w:w w:val="95"/>
        </w:rPr>
        <w:t xml:space="preserve"> </w:t>
      </w:r>
      <w:r>
        <w:rPr>
          <w:w w:val="95"/>
        </w:rPr>
        <w:t>分、2</w:t>
      </w:r>
      <w:r>
        <w:rPr>
          <w:spacing w:val="2"/>
          <w:w w:val="95"/>
        </w:rPr>
        <w:t xml:space="preserve"> 分、</w:t>
      </w:r>
      <w:r>
        <w:rPr>
          <w:w w:val="95"/>
        </w:rPr>
        <w:t>1 分；获国家级、省级品牌的，分别加 3</w:t>
      </w:r>
      <w:r>
        <w:rPr>
          <w:spacing w:val="1"/>
          <w:w w:val="95"/>
        </w:rPr>
        <w:t xml:space="preserve"> 分、</w:t>
      </w:r>
      <w:r>
        <w:rPr>
          <w:w w:val="95"/>
        </w:rPr>
        <w:t>2</w:t>
      </w:r>
      <w:r>
        <w:rPr>
          <w:spacing w:val="1"/>
          <w:w w:val="95"/>
        </w:rPr>
        <w:t xml:space="preserve"> 分。</w:t>
      </w:r>
      <w:r>
        <w:rPr>
          <w:spacing w:val="2"/>
          <w:w w:val="95"/>
        </w:rPr>
        <w:t>同一企业最高不超过</w:t>
      </w:r>
      <w:r>
        <w:rPr>
          <w:spacing w:val="199"/>
        </w:rPr>
        <w:t xml:space="preserve"> </w:t>
      </w:r>
      <w:r>
        <w:rPr>
          <w:w w:val="95"/>
        </w:rPr>
        <w:t>5</w:t>
      </w:r>
      <w:r>
        <w:rPr>
          <w:spacing w:val="204"/>
        </w:rPr>
        <w:t xml:space="preserve"> </w:t>
      </w:r>
      <w:r>
        <w:rPr>
          <w:spacing w:val="6"/>
          <w:w w:val="95"/>
        </w:rPr>
        <w:t>分。</w:t>
      </w:r>
      <w:r>
        <w:rPr>
          <w:w w:val="95"/>
        </w:rPr>
        <w:t>（</w:t>
      </w:r>
      <w:r>
        <w:rPr>
          <w:spacing w:val="1"/>
          <w:w w:val="95"/>
        </w:rPr>
        <w:t>由市场监管局负责认定</w:t>
      </w:r>
      <w:r>
        <w:rPr>
          <w:w w:val="95"/>
        </w:rPr>
        <w:t>）（4）</w:t>
      </w:r>
    </w:p>
    <w:p>
      <w:pPr>
        <w:pStyle w:val="3"/>
        <w:spacing w:line="405" w:lineRule="exact"/>
        <w:ind w:left="108"/>
        <w:jc w:val="both"/>
      </w:pPr>
      <w:r>
        <w:rPr>
          <w:w w:val="95"/>
        </w:rPr>
        <w:t>2020</w:t>
      </w:r>
      <w:r>
        <w:rPr>
          <w:spacing w:val="349"/>
        </w:rPr>
        <w:t xml:space="preserve"> </w:t>
      </w:r>
      <w:r>
        <w:rPr>
          <w:w w:val="95"/>
        </w:rPr>
        <w:t>年度实施“机器换人”、“零增地”技术改造项目的，加</w:t>
      </w:r>
    </w:p>
    <w:p>
      <w:pPr>
        <w:pStyle w:val="3"/>
        <w:spacing w:before="149"/>
        <w:ind w:left="108"/>
      </w:pPr>
      <w:r>
        <w:rPr>
          <w:w w:val="95"/>
        </w:rPr>
        <w:t>3</w:t>
      </w:r>
      <w:r>
        <w:rPr>
          <w:spacing w:val="21"/>
          <w:w w:val="95"/>
        </w:rPr>
        <w:t xml:space="preserve"> 分。</w:t>
      </w:r>
      <w:r>
        <w:rPr>
          <w:w w:val="95"/>
        </w:rPr>
        <w:t>（由工信局负责认定）（5）</w:t>
      </w:r>
      <w:r>
        <w:rPr>
          <w:spacing w:val="8"/>
          <w:w w:val="95"/>
        </w:rPr>
        <w:t xml:space="preserve">企业上市的，加 </w:t>
      </w:r>
      <w:r>
        <w:rPr>
          <w:w w:val="95"/>
        </w:rPr>
        <w:t>3</w:t>
      </w:r>
      <w:r>
        <w:rPr>
          <w:spacing w:val="12"/>
          <w:w w:val="95"/>
        </w:rPr>
        <w:t xml:space="preserve"> 分；完成</w:t>
      </w:r>
    </w:p>
    <w:p>
      <w:pPr>
        <w:pStyle w:val="3"/>
        <w:spacing w:before="152"/>
        <w:ind w:left="108"/>
      </w:pPr>
      <w:r>
        <w:rPr>
          <w:w w:val="95"/>
        </w:rPr>
        <w:t>股改的，加</w:t>
      </w:r>
      <w:r>
        <w:rPr>
          <w:spacing w:val="178"/>
        </w:rPr>
        <w:t xml:space="preserve"> </w:t>
      </w:r>
      <w:r>
        <w:rPr>
          <w:w w:val="95"/>
        </w:rPr>
        <w:t>2</w:t>
      </w:r>
      <w:r>
        <w:rPr>
          <w:spacing w:val="170"/>
        </w:rPr>
        <w:t xml:space="preserve"> </w:t>
      </w:r>
      <w:r>
        <w:rPr>
          <w:w w:val="95"/>
        </w:rPr>
        <w:t>分。同一企业只计最高得分项。（由金融服务中</w:t>
      </w:r>
    </w:p>
    <w:p>
      <w:pPr>
        <w:pStyle w:val="3"/>
        <w:spacing w:before="149"/>
        <w:ind w:left="108"/>
      </w:pPr>
      <w:r>
        <w:rPr>
          <w:w w:val="95"/>
        </w:rPr>
        <w:t>心负责认定）（6）拥有有效发明专利的企业，每 1</w:t>
      </w:r>
      <w:r>
        <w:rPr>
          <w:spacing w:val="2"/>
          <w:w w:val="95"/>
        </w:rPr>
        <w:t xml:space="preserve"> 件加 </w:t>
      </w:r>
      <w:r>
        <w:rPr>
          <w:w w:val="95"/>
        </w:rPr>
        <w:t>1</w:t>
      </w:r>
      <w:r>
        <w:rPr>
          <w:spacing w:val="1"/>
          <w:w w:val="95"/>
        </w:rPr>
        <w:t xml:space="preserve"> 分，</w:t>
      </w:r>
    </w:p>
    <w:p>
      <w:pPr>
        <w:pStyle w:val="3"/>
        <w:spacing w:before="149"/>
        <w:ind w:left="108"/>
      </w:pPr>
      <w:r>
        <w:rPr>
          <w:spacing w:val="1"/>
          <w:w w:val="95"/>
        </w:rPr>
        <w:t>最高不超过</w:t>
      </w:r>
      <w:r>
        <w:rPr>
          <w:spacing w:val="194"/>
        </w:rPr>
        <w:t xml:space="preserve"> </w:t>
      </w:r>
      <w:r>
        <w:rPr>
          <w:w w:val="95"/>
        </w:rPr>
        <w:t>3</w:t>
      </w:r>
      <w:r>
        <w:rPr>
          <w:spacing w:val="179"/>
        </w:rPr>
        <w:t xml:space="preserve"> </w:t>
      </w:r>
      <w:r>
        <w:rPr>
          <w:spacing w:val="6"/>
          <w:w w:val="95"/>
        </w:rPr>
        <w:t>分。</w:t>
      </w:r>
      <w:r>
        <w:rPr>
          <w:w w:val="95"/>
        </w:rPr>
        <w:t>（</w:t>
      </w:r>
      <w:r>
        <w:rPr>
          <w:spacing w:val="1"/>
          <w:w w:val="95"/>
        </w:rPr>
        <w:t>由市场监管局负责认定</w:t>
      </w:r>
      <w:r>
        <w:rPr>
          <w:spacing w:val="10"/>
          <w:w w:val="95"/>
        </w:rPr>
        <w:t>）（7）</w:t>
      </w:r>
      <w:r>
        <w:rPr>
          <w:spacing w:val="3"/>
          <w:w w:val="95"/>
        </w:rPr>
        <w:t>高新技术</w:t>
      </w:r>
    </w:p>
    <w:p>
      <w:pPr>
        <w:pStyle w:val="3"/>
        <w:spacing w:before="152"/>
        <w:ind w:left="108"/>
      </w:pPr>
      <w:r>
        <w:rPr>
          <w:spacing w:val="23"/>
          <w:w w:val="95"/>
        </w:rPr>
        <w:t xml:space="preserve">企业加 </w:t>
      </w:r>
      <w:r>
        <w:rPr>
          <w:w w:val="95"/>
        </w:rPr>
        <w:t>3</w:t>
      </w:r>
      <w:r>
        <w:rPr>
          <w:spacing w:val="30"/>
          <w:w w:val="95"/>
        </w:rPr>
        <w:t xml:space="preserve"> 分。</w:t>
      </w:r>
      <w:r>
        <w:rPr>
          <w:spacing w:val="14"/>
          <w:w w:val="95"/>
        </w:rPr>
        <w:t>（</w:t>
      </w:r>
      <w:r>
        <w:rPr>
          <w:spacing w:val="12"/>
          <w:w w:val="95"/>
        </w:rPr>
        <w:t>由科技局负责认定</w:t>
      </w:r>
      <w:r>
        <w:rPr>
          <w:spacing w:val="13"/>
          <w:w w:val="95"/>
        </w:rPr>
        <w:t>）（8）</w:t>
      </w:r>
      <w:r>
        <w:rPr>
          <w:spacing w:val="17"/>
          <w:w w:val="95"/>
        </w:rPr>
        <w:t xml:space="preserve">“瞪羚企业”加 </w:t>
      </w:r>
      <w:r>
        <w:rPr>
          <w:w w:val="95"/>
        </w:rPr>
        <w:t>3</w:t>
      </w:r>
    </w:p>
    <w:p>
      <w:pPr>
        <w:spacing w:after="0"/>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6" w:lineRule="auto"/>
        <w:ind w:left="108" w:right="118"/>
      </w:pPr>
      <w:r>
        <w:rPr>
          <w:spacing w:val="6"/>
        </w:rPr>
        <w:t>分。</w:t>
      </w:r>
      <w:r>
        <w:t>（</w:t>
      </w:r>
      <w:r>
        <w:rPr>
          <w:spacing w:val="3"/>
        </w:rPr>
        <w:t>由工信局负责认定</w:t>
      </w:r>
      <w:r>
        <w:t>）（9）</w:t>
      </w:r>
      <w:r>
        <w:rPr>
          <w:spacing w:val="2"/>
        </w:rPr>
        <w:t>省市级“专精特新”中小企</w:t>
      </w:r>
      <w:r>
        <w:rPr>
          <w:spacing w:val="1"/>
        </w:rPr>
        <w:t xml:space="preserve"> </w:t>
      </w:r>
      <w:r>
        <w:rPr>
          <w:spacing w:val="19"/>
          <w:w w:val="95"/>
        </w:rPr>
        <w:t xml:space="preserve">业分别加 </w:t>
      </w:r>
      <w:r>
        <w:rPr>
          <w:w w:val="95"/>
        </w:rPr>
        <w:t>2</w:t>
      </w:r>
      <w:r>
        <w:rPr>
          <w:spacing w:val="33"/>
          <w:w w:val="95"/>
        </w:rPr>
        <w:t xml:space="preserve"> 分、</w:t>
      </w:r>
      <w:r>
        <w:rPr>
          <w:w w:val="95"/>
        </w:rPr>
        <w:t>1</w:t>
      </w:r>
      <w:r>
        <w:rPr>
          <w:spacing w:val="2"/>
          <w:w w:val="95"/>
        </w:rPr>
        <w:t xml:space="preserve"> 分，同一企业只计最高得分项。</w:t>
      </w:r>
      <w:r>
        <w:rPr>
          <w:w w:val="95"/>
        </w:rPr>
        <w:t>（由工信局负责认定）（10）</w:t>
      </w:r>
      <w:r>
        <w:rPr>
          <w:spacing w:val="6"/>
          <w:w w:val="95"/>
        </w:rPr>
        <w:t xml:space="preserve">省市级“一企一技术”研发中心分别加 </w:t>
      </w:r>
      <w:r>
        <w:rPr>
          <w:w w:val="95"/>
        </w:rPr>
        <w:t>2</w:t>
      </w:r>
      <w:r>
        <w:rPr>
          <w:spacing w:val="40"/>
          <w:w w:val="95"/>
        </w:rPr>
        <w:t xml:space="preserve"> 分、</w:t>
      </w:r>
    </w:p>
    <w:p>
      <w:pPr>
        <w:pStyle w:val="3"/>
        <w:spacing w:before="8"/>
        <w:ind w:left="108"/>
      </w:pPr>
      <w:r>
        <w:rPr>
          <w:w w:val="95"/>
        </w:rPr>
        <w:t>1</w:t>
      </w:r>
      <w:r>
        <w:rPr>
          <w:spacing w:val="196"/>
        </w:rPr>
        <w:t xml:space="preserve"> </w:t>
      </w:r>
      <w:r>
        <w:rPr>
          <w:w w:val="95"/>
        </w:rPr>
        <w:t>分。同一企业只计最高得分项。（由工信局负责认定）</w:t>
      </w:r>
    </w:p>
    <w:p>
      <w:pPr>
        <w:pStyle w:val="3"/>
        <w:spacing w:before="149" w:line="328" w:lineRule="auto"/>
        <w:ind w:left="108" w:right="116" w:firstLine="638"/>
      </w:pPr>
      <w:r>
        <w:t>企业获得上述所列项目以外的国家级、省级、枣庄市级荣</w:t>
      </w:r>
      <w:r>
        <w:rPr>
          <w:spacing w:val="1"/>
        </w:rPr>
        <w:t xml:space="preserve"> </w:t>
      </w:r>
      <w:r>
        <w:t>誉认定或奖项等，由企业自主申报，主管部门审核，经工业企</w:t>
      </w:r>
      <w:r>
        <w:rPr>
          <w:spacing w:val="1"/>
        </w:rPr>
        <w:t xml:space="preserve"> </w:t>
      </w:r>
      <w:r>
        <w:rPr>
          <w:w w:val="95"/>
        </w:rPr>
        <w:t>业分类综合评价工作领导小组研究同意后，按照“国家级荣誉、</w:t>
      </w:r>
      <w:r>
        <w:rPr>
          <w:spacing w:val="1"/>
          <w:w w:val="95"/>
        </w:rPr>
        <w:t xml:space="preserve"> </w:t>
      </w:r>
      <w:r>
        <w:rPr>
          <w:w w:val="95"/>
        </w:rPr>
        <w:t>认定或奖项等最高加 2</w:t>
      </w:r>
      <w:r>
        <w:rPr>
          <w:spacing w:val="-1"/>
          <w:w w:val="95"/>
        </w:rPr>
        <w:t xml:space="preserve"> 分，省级最高加 </w:t>
      </w:r>
      <w:r>
        <w:rPr>
          <w:w w:val="95"/>
        </w:rPr>
        <w:t>1 分，枣庄市级最高加</w:t>
      </w:r>
    </w:p>
    <w:p>
      <w:pPr>
        <w:pStyle w:val="3"/>
        <w:spacing w:line="402" w:lineRule="exact"/>
        <w:ind w:left="108"/>
      </w:pPr>
      <w:r>
        <w:rPr>
          <w:w w:val="95"/>
        </w:rPr>
        <w:t>0.5 分”的办法，予以相应加分。</w:t>
      </w:r>
    </w:p>
    <w:p>
      <w:pPr>
        <w:pStyle w:val="3"/>
        <w:spacing w:before="151" w:line="326" w:lineRule="auto"/>
        <w:ind w:left="747" w:right="1558"/>
      </w:pPr>
      <w:r>
        <w:rPr>
          <w:spacing w:val="3"/>
          <w:w w:val="95"/>
        </w:rPr>
        <w:t xml:space="preserve">所有附加指标项目加分，累加最高不超过 </w:t>
      </w:r>
      <w:r>
        <w:rPr>
          <w:w w:val="95"/>
        </w:rPr>
        <w:t>15</w:t>
      </w:r>
      <w:r>
        <w:rPr>
          <w:spacing w:val="20"/>
          <w:w w:val="95"/>
        </w:rPr>
        <w:t xml:space="preserve"> 分。</w:t>
      </w:r>
      <w:r>
        <w:t>2.减分事项</w:t>
      </w:r>
    </w:p>
    <w:p>
      <w:pPr>
        <w:pStyle w:val="3"/>
        <w:spacing w:before="4"/>
        <w:ind w:right="346"/>
        <w:jc w:val="right"/>
      </w:pPr>
      <w:r>
        <w:rPr>
          <w:spacing w:val="11"/>
          <w:w w:val="95"/>
        </w:rPr>
        <w:t>（1）</w:t>
      </w:r>
      <w:r>
        <w:rPr>
          <w:spacing w:val="12"/>
          <w:w w:val="95"/>
        </w:rPr>
        <w:t xml:space="preserve">存在重大劳动保障违法行为，减 </w:t>
      </w:r>
      <w:r>
        <w:rPr>
          <w:w w:val="95"/>
        </w:rPr>
        <w:t>5</w:t>
      </w:r>
      <w:r>
        <w:rPr>
          <w:spacing w:val="145"/>
        </w:rPr>
        <w:t xml:space="preserve"> </w:t>
      </w:r>
      <w:r>
        <w:rPr>
          <w:spacing w:val="12"/>
          <w:w w:val="95"/>
        </w:rPr>
        <w:t>分</w:t>
      </w:r>
      <w:r>
        <w:rPr>
          <w:w w:val="95"/>
        </w:rPr>
        <w:t>（</w:t>
      </w:r>
      <w:r>
        <w:rPr>
          <w:spacing w:val="7"/>
          <w:w w:val="95"/>
        </w:rPr>
        <w:t>由人社局负</w:t>
      </w:r>
    </w:p>
    <w:p>
      <w:pPr>
        <w:pStyle w:val="3"/>
        <w:spacing w:before="151"/>
        <w:ind w:right="346"/>
        <w:jc w:val="right"/>
      </w:pPr>
      <w:r>
        <w:rPr>
          <w:spacing w:val="3"/>
          <w:w w:val="95"/>
        </w:rPr>
        <w:t>责认定</w:t>
      </w:r>
      <w:r>
        <w:rPr>
          <w:w w:val="95"/>
        </w:rPr>
        <w:t>）</w:t>
      </w:r>
      <w:r>
        <w:rPr>
          <w:spacing w:val="12"/>
          <w:w w:val="95"/>
        </w:rPr>
        <w:t>。</w:t>
      </w:r>
      <w:r>
        <w:rPr>
          <w:w w:val="95"/>
        </w:rPr>
        <w:t>（2）</w:t>
      </w:r>
      <w:r>
        <w:rPr>
          <w:spacing w:val="1"/>
          <w:w w:val="95"/>
        </w:rPr>
        <w:t>发生产品质量安全事故，减</w:t>
      </w:r>
      <w:r>
        <w:rPr>
          <w:spacing w:val="198"/>
        </w:rPr>
        <w:t xml:space="preserve"> </w:t>
      </w:r>
      <w:r>
        <w:rPr>
          <w:w w:val="95"/>
        </w:rPr>
        <w:t>5</w:t>
      </w:r>
      <w:r>
        <w:rPr>
          <w:spacing w:val="195"/>
        </w:rPr>
        <w:t xml:space="preserve"> </w:t>
      </w:r>
      <w:r>
        <w:rPr>
          <w:w w:val="95"/>
        </w:rPr>
        <w:t>分</w:t>
      </w:r>
      <w:r>
        <w:rPr>
          <w:spacing w:val="12"/>
          <w:w w:val="95"/>
        </w:rPr>
        <w:t>（</w:t>
      </w:r>
      <w:r>
        <w:rPr>
          <w:spacing w:val="3"/>
          <w:w w:val="95"/>
        </w:rPr>
        <w:t>由市场监</w:t>
      </w:r>
    </w:p>
    <w:p>
      <w:pPr>
        <w:pStyle w:val="3"/>
        <w:spacing w:before="149" w:line="326" w:lineRule="auto"/>
        <w:ind w:left="108" w:right="349"/>
      </w:pPr>
      <w:r>
        <w:rPr>
          <w:spacing w:val="3"/>
          <w:w w:val="95"/>
        </w:rPr>
        <w:t>管局负责认定</w:t>
      </w:r>
      <w:r>
        <w:rPr>
          <w:w w:val="95"/>
        </w:rPr>
        <w:t>）</w:t>
      </w:r>
      <w:r>
        <w:rPr>
          <w:spacing w:val="12"/>
          <w:w w:val="95"/>
        </w:rPr>
        <w:t>。</w:t>
      </w:r>
      <w:r>
        <w:rPr>
          <w:w w:val="95"/>
        </w:rPr>
        <w:t>（3）</w:t>
      </w:r>
      <w:r>
        <w:rPr>
          <w:spacing w:val="3"/>
          <w:w w:val="95"/>
        </w:rPr>
        <w:t xml:space="preserve">发生环境责任事故，减 </w:t>
      </w:r>
      <w:r>
        <w:rPr>
          <w:w w:val="95"/>
        </w:rPr>
        <w:t>5</w:t>
      </w:r>
      <w:r>
        <w:rPr>
          <w:spacing w:val="170"/>
        </w:rPr>
        <w:t xml:space="preserve"> </w:t>
      </w:r>
      <w:r>
        <w:rPr>
          <w:w w:val="95"/>
        </w:rPr>
        <w:t>分</w:t>
      </w:r>
      <w:r>
        <w:rPr>
          <w:spacing w:val="12"/>
          <w:w w:val="95"/>
        </w:rPr>
        <w:t>（</w:t>
      </w:r>
      <w:r>
        <w:rPr>
          <w:w w:val="95"/>
        </w:rPr>
        <w:t>由生态</w:t>
      </w:r>
      <w:r>
        <w:t>环境分局负责认定）。</w:t>
      </w:r>
    </w:p>
    <w:p>
      <w:pPr>
        <w:pStyle w:val="3"/>
        <w:spacing w:before="6"/>
        <w:ind w:left="747"/>
      </w:pPr>
      <w:r>
        <w:t>二、评价分类</w:t>
      </w:r>
    </w:p>
    <w:p>
      <w:pPr>
        <w:pStyle w:val="3"/>
        <w:spacing w:before="149" w:line="328" w:lineRule="auto"/>
        <w:ind w:left="108" w:right="346" w:firstLine="638"/>
        <w:jc w:val="both"/>
      </w:pPr>
      <w:r>
        <w:rPr>
          <w:w w:val="95"/>
        </w:rPr>
        <w:t>（一）企业分类标准。按照国民经济分类，分行业对全区</w:t>
      </w:r>
      <w:r>
        <w:rPr>
          <w:spacing w:val="43"/>
          <w:w w:val="95"/>
        </w:rPr>
        <w:t xml:space="preserve"> </w:t>
      </w:r>
      <w:r>
        <w:rPr>
          <w:w w:val="95"/>
        </w:rPr>
        <w:t>工业企业实施分类综合评价。根据同行业企业分类综合评价得</w:t>
      </w:r>
      <w:r>
        <w:rPr>
          <w:spacing w:val="73"/>
          <w:w w:val="95"/>
        </w:rPr>
        <w:t xml:space="preserve"> </w:t>
      </w:r>
      <w:r>
        <w:rPr>
          <w:spacing w:val="-4"/>
          <w:w w:val="95"/>
        </w:rPr>
        <w:t xml:space="preserve">分高低排序，分为 </w:t>
      </w:r>
      <w:r>
        <w:rPr>
          <w:w w:val="95"/>
        </w:rPr>
        <w:t>A、B、C、D</w:t>
      </w:r>
      <w:r>
        <w:rPr>
          <w:spacing w:val="-6"/>
          <w:w w:val="95"/>
        </w:rPr>
        <w:t xml:space="preserve"> 四类。具体评价分类如下：</w:t>
      </w:r>
    </w:p>
    <w:p>
      <w:pPr>
        <w:pStyle w:val="3"/>
        <w:spacing w:line="328" w:lineRule="auto"/>
        <w:ind w:left="108" w:right="346" w:firstLine="638"/>
        <w:jc w:val="both"/>
      </w:pPr>
      <w:r>
        <w:rPr>
          <w:w w:val="95"/>
        </w:rPr>
        <w:t>A</w:t>
      </w:r>
      <w:r>
        <w:rPr>
          <w:spacing w:val="215"/>
        </w:rPr>
        <w:t xml:space="preserve"> </w:t>
      </w:r>
      <w:r>
        <w:rPr>
          <w:w w:val="95"/>
        </w:rPr>
        <w:t>类为优先发展类：主要是指符合新旧动能转换“十强”</w:t>
      </w:r>
      <w:r>
        <w:rPr>
          <w:spacing w:val="-150"/>
          <w:w w:val="95"/>
        </w:rPr>
        <w:t xml:space="preserve"> </w:t>
      </w:r>
      <w:r>
        <w:rPr>
          <w:spacing w:val="11"/>
          <w:w w:val="95"/>
        </w:rPr>
        <w:t xml:space="preserve">产业、《&lt;中国制造 </w:t>
      </w:r>
      <w:r>
        <w:rPr>
          <w:w w:val="95"/>
        </w:rPr>
        <w:t>2025&gt;山东省行动纲要》重点方向，单位资</w:t>
      </w:r>
      <w:r>
        <w:t>源要素产出高，生产经营效益好，税收贡献大的企业。</w:t>
      </w:r>
    </w:p>
    <w:p>
      <w:pPr>
        <w:spacing w:after="0" w:line="328" w:lineRule="auto"/>
        <w:jc w:val="both"/>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6" w:lineRule="auto"/>
        <w:ind w:left="108" w:right="346" w:firstLine="638"/>
        <w:jc w:val="both"/>
      </w:pPr>
      <w:r>
        <w:rPr>
          <w:w w:val="95"/>
        </w:rPr>
        <w:t>B</w:t>
      </w:r>
      <w:r>
        <w:rPr>
          <w:spacing w:val="215"/>
        </w:rPr>
        <w:t xml:space="preserve"> </w:t>
      </w:r>
      <w:r>
        <w:rPr>
          <w:w w:val="95"/>
        </w:rPr>
        <w:t>类为支持发展类：主要是指对本地区经济社会发展具有较强带动支撑作用，单位资源要素产出较高，生产经营效益较</w:t>
      </w:r>
      <w:r>
        <w:rPr>
          <w:spacing w:val="57"/>
          <w:w w:val="95"/>
        </w:rPr>
        <w:t xml:space="preserve"> </w:t>
      </w:r>
      <w:r>
        <w:t>好，税收贡献较大的企业。</w:t>
      </w:r>
    </w:p>
    <w:p>
      <w:pPr>
        <w:pStyle w:val="3"/>
        <w:spacing w:before="8" w:line="326" w:lineRule="auto"/>
        <w:ind w:left="108" w:right="346" w:firstLine="638"/>
        <w:jc w:val="right"/>
      </w:pPr>
      <w:r>
        <w:rPr>
          <w:w w:val="95"/>
        </w:rPr>
        <w:t>C</w:t>
      </w:r>
      <w:r>
        <w:rPr>
          <w:spacing w:val="215"/>
        </w:rPr>
        <w:t xml:space="preserve"> </w:t>
      </w:r>
      <w:r>
        <w:rPr>
          <w:w w:val="95"/>
        </w:rPr>
        <w:t>类为提升发展类：主要是指单位资源要素产出一般，生</w:t>
      </w:r>
      <w:r>
        <w:t>产经营效益不高，税收贡献不多，需要进行倒逼提升的企业。</w:t>
      </w:r>
      <w:r>
        <w:rPr>
          <w:w w:val="95"/>
        </w:rPr>
        <w:t>D</w:t>
      </w:r>
      <w:r>
        <w:rPr>
          <w:spacing w:val="-1"/>
          <w:w w:val="95"/>
        </w:rPr>
        <w:t xml:space="preserve"> 类为限制发展类：主要指单位资源要素产出低，生产经</w:t>
      </w:r>
    </w:p>
    <w:p>
      <w:pPr>
        <w:pStyle w:val="3"/>
        <w:spacing w:before="7"/>
        <w:ind w:left="108"/>
      </w:pPr>
      <w:r>
        <w:t>营效益差，税收贡献少，需要重点整治的企业。</w:t>
      </w:r>
    </w:p>
    <w:p>
      <w:pPr>
        <w:pStyle w:val="3"/>
        <w:spacing w:before="149" w:line="326" w:lineRule="auto"/>
        <w:ind w:left="108" w:right="349" w:firstLine="638"/>
      </w:pPr>
      <w:r>
        <w:rPr>
          <w:w w:val="95"/>
        </w:rPr>
        <w:t>（二）特殊情形。对有关特殊情形，在进行分类综合评价</w:t>
      </w:r>
      <w:r>
        <w:rPr>
          <w:spacing w:val="24"/>
          <w:w w:val="95"/>
        </w:rPr>
        <w:t xml:space="preserve"> </w:t>
      </w:r>
      <w:r>
        <w:t>的基础上，可按下述规定执行：</w:t>
      </w:r>
    </w:p>
    <w:p>
      <w:pPr>
        <w:pStyle w:val="7"/>
        <w:numPr>
          <w:ilvl w:val="0"/>
          <w:numId w:val="3"/>
        </w:numPr>
        <w:tabs>
          <w:tab w:val="left" w:pos="1228"/>
        </w:tabs>
        <w:spacing w:before="6" w:after="0" w:line="240" w:lineRule="auto"/>
        <w:ind w:left="1228" w:right="0" w:hanging="481"/>
        <w:jc w:val="left"/>
        <w:rPr>
          <w:sz w:val="32"/>
        </w:rPr>
      </w:pPr>
      <w:r>
        <w:rPr>
          <w:sz w:val="32"/>
        </w:rPr>
        <w:t>保护类企业</w:t>
      </w:r>
    </w:p>
    <w:p>
      <w:pPr>
        <w:pStyle w:val="7"/>
        <w:numPr>
          <w:ilvl w:val="0"/>
          <w:numId w:val="4"/>
        </w:numPr>
        <w:tabs>
          <w:tab w:val="left" w:pos="1580"/>
        </w:tabs>
        <w:spacing w:before="149" w:after="0" w:line="328" w:lineRule="auto"/>
        <w:ind w:left="108" w:right="116" w:firstLine="638"/>
        <w:jc w:val="left"/>
        <w:rPr>
          <w:sz w:val="32"/>
        </w:rPr>
      </w:pPr>
      <w:r>
        <w:rPr>
          <w:spacing w:val="2"/>
          <w:sz w:val="32"/>
        </w:rPr>
        <w:t>属于“单项冠军”“隐形冠军”“瞪羚企业”的企</w:t>
      </w:r>
      <w:r>
        <w:rPr>
          <w:w w:val="95"/>
          <w:sz w:val="32"/>
        </w:rPr>
        <w:t>业，列入上市、新三板挂牌企业后备库并进入挂牌程序的企业，</w:t>
      </w:r>
      <w:r>
        <w:rPr>
          <w:spacing w:val="1"/>
          <w:w w:val="95"/>
          <w:sz w:val="32"/>
        </w:rPr>
        <w:t xml:space="preserve"> </w:t>
      </w:r>
      <w:r>
        <w:rPr>
          <w:spacing w:val="19"/>
          <w:w w:val="95"/>
          <w:sz w:val="32"/>
        </w:rPr>
        <w:t>不予列入</w:t>
      </w:r>
      <w:r>
        <w:rPr>
          <w:w w:val="95"/>
          <w:sz w:val="32"/>
        </w:rPr>
        <w:t>D</w:t>
      </w:r>
      <w:r>
        <w:rPr>
          <w:spacing w:val="-26"/>
          <w:w w:val="95"/>
          <w:sz w:val="32"/>
        </w:rPr>
        <w:t xml:space="preserve"> 类</w:t>
      </w:r>
      <w:r>
        <w:rPr>
          <w:w w:val="95"/>
          <w:sz w:val="32"/>
        </w:rPr>
        <w:t>（由工信局、金融服务中心负责认定）。</w:t>
      </w:r>
    </w:p>
    <w:p>
      <w:pPr>
        <w:pStyle w:val="7"/>
        <w:numPr>
          <w:ilvl w:val="0"/>
          <w:numId w:val="4"/>
        </w:numPr>
        <w:tabs>
          <w:tab w:val="left" w:pos="1580"/>
        </w:tabs>
        <w:spacing w:before="0" w:after="0" w:line="326" w:lineRule="auto"/>
        <w:ind w:left="108" w:right="346" w:firstLine="638"/>
        <w:jc w:val="left"/>
        <w:rPr>
          <w:sz w:val="32"/>
        </w:rPr>
      </w:pPr>
      <w:r>
        <w:rPr>
          <w:spacing w:val="1"/>
          <w:w w:val="95"/>
          <w:sz w:val="32"/>
        </w:rPr>
        <w:t xml:space="preserve">科技部门认定的高新技术企业，自认定当年起两个 </w:t>
      </w:r>
      <w:r>
        <w:rPr>
          <w:spacing w:val="11"/>
          <w:w w:val="95"/>
          <w:sz w:val="32"/>
        </w:rPr>
        <w:t>年度内不予列入</w:t>
      </w:r>
      <w:r>
        <w:rPr>
          <w:w w:val="95"/>
          <w:sz w:val="32"/>
        </w:rPr>
        <w:t>D</w:t>
      </w:r>
      <w:r>
        <w:rPr>
          <w:spacing w:val="-31"/>
          <w:w w:val="95"/>
          <w:sz w:val="32"/>
        </w:rPr>
        <w:t xml:space="preserve"> 类</w:t>
      </w:r>
      <w:r>
        <w:rPr>
          <w:w w:val="95"/>
          <w:sz w:val="32"/>
        </w:rPr>
        <w:t>（由科技局负责认定）。</w:t>
      </w:r>
    </w:p>
    <w:p>
      <w:pPr>
        <w:pStyle w:val="7"/>
        <w:numPr>
          <w:ilvl w:val="0"/>
          <w:numId w:val="4"/>
        </w:numPr>
        <w:tabs>
          <w:tab w:val="left" w:pos="1580"/>
        </w:tabs>
        <w:spacing w:before="0" w:after="0" w:line="328" w:lineRule="auto"/>
        <w:ind w:left="108" w:right="116" w:firstLine="638"/>
        <w:jc w:val="left"/>
        <w:rPr>
          <w:sz w:val="32"/>
        </w:rPr>
      </w:pPr>
      <w:r>
        <w:rPr>
          <w:spacing w:val="1"/>
          <w:sz w:val="32"/>
        </w:rPr>
        <w:t>对经济稳增长促转型贡献大、创新驱动示范作用明</w:t>
      </w:r>
      <w:r>
        <w:rPr>
          <w:w w:val="95"/>
          <w:sz w:val="32"/>
        </w:rPr>
        <w:t>显的企业，对新技术、新产业、新业态、新模式“四新”企业，</w:t>
      </w:r>
      <w:r>
        <w:rPr>
          <w:spacing w:val="1"/>
          <w:w w:val="95"/>
          <w:sz w:val="32"/>
        </w:rPr>
        <w:t xml:space="preserve"> </w:t>
      </w:r>
      <w:r>
        <w:rPr>
          <w:w w:val="95"/>
          <w:sz w:val="32"/>
        </w:rPr>
        <w:t>对新设立企业、重大项目建设期内企业等，设置不超过</w:t>
      </w:r>
      <w:r>
        <w:rPr>
          <w:spacing w:val="145"/>
          <w:sz w:val="32"/>
        </w:rPr>
        <w:t xml:space="preserve"> </w:t>
      </w:r>
      <w:r>
        <w:rPr>
          <w:w w:val="95"/>
          <w:sz w:val="32"/>
        </w:rPr>
        <w:t>3</w:t>
      </w:r>
      <w:r>
        <w:rPr>
          <w:spacing w:val="36"/>
          <w:w w:val="95"/>
          <w:sz w:val="32"/>
        </w:rPr>
        <w:t xml:space="preserve"> 年的保</w:t>
      </w:r>
      <w:r>
        <w:rPr>
          <w:w w:val="95"/>
          <w:sz w:val="32"/>
        </w:rPr>
        <w:t>护期，保护期内不参与评价（由发改局、工信局负责认定）。</w:t>
      </w:r>
    </w:p>
    <w:p>
      <w:pPr>
        <w:pStyle w:val="7"/>
        <w:numPr>
          <w:ilvl w:val="0"/>
          <w:numId w:val="4"/>
        </w:numPr>
        <w:tabs>
          <w:tab w:val="left" w:pos="1580"/>
        </w:tabs>
        <w:spacing w:before="0" w:after="0" w:line="326" w:lineRule="auto"/>
        <w:ind w:left="108" w:right="116" w:firstLine="638"/>
        <w:jc w:val="left"/>
        <w:rPr>
          <w:sz w:val="32"/>
        </w:rPr>
      </w:pPr>
      <w:r>
        <w:rPr>
          <w:sz w:val="32"/>
        </w:rPr>
        <w:t>投产不到两年的新办工业企业与“小升规”不满两</w:t>
      </w:r>
      <w:r>
        <w:rPr>
          <w:w w:val="95"/>
          <w:sz w:val="32"/>
        </w:rPr>
        <w:t>年的工业企业，暂不开展评价（由工信局、统计局负责认定）。</w:t>
      </w:r>
    </w:p>
    <w:p>
      <w:pPr>
        <w:pStyle w:val="7"/>
        <w:numPr>
          <w:ilvl w:val="0"/>
          <w:numId w:val="3"/>
        </w:numPr>
        <w:tabs>
          <w:tab w:val="left" w:pos="1069"/>
        </w:tabs>
        <w:spacing w:before="0" w:after="0" w:line="240" w:lineRule="auto"/>
        <w:ind w:left="1068" w:right="0" w:hanging="322"/>
        <w:jc w:val="left"/>
        <w:rPr>
          <w:sz w:val="32"/>
        </w:rPr>
      </w:pPr>
      <w:r>
        <w:rPr>
          <w:sz w:val="32"/>
        </w:rPr>
        <w:t>一票否决</w:t>
      </w:r>
    </w:p>
    <w:p>
      <w:pPr>
        <w:spacing w:after="0" w:line="240" w:lineRule="auto"/>
        <w:jc w:val="left"/>
        <w:rPr>
          <w:sz w:val="32"/>
        </w:rPr>
        <w:sectPr>
          <w:pgSz w:w="11910" w:h="16840"/>
          <w:pgMar w:top="1580" w:right="1240" w:bottom="1300" w:left="1480" w:header="0" w:footer="1118" w:gutter="0"/>
        </w:sectPr>
      </w:pPr>
    </w:p>
    <w:p>
      <w:pPr>
        <w:pStyle w:val="3"/>
        <w:rPr>
          <w:sz w:val="20"/>
        </w:rPr>
      </w:pPr>
    </w:p>
    <w:p>
      <w:pPr>
        <w:pStyle w:val="3"/>
        <w:spacing w:before="11"/>
        <w:rPr>
          <w:sz w:val="24"/>
        </w:rPr>
      </w:pPr>
    </w:p>
    <w:p>
      <w:pPr>
        <w:pStyle w:val="7"/>
        <w:numPr>
          <w:ilvl w:val="0"/>
          <w:numId w:val="5"/>
        </w:numPr>
        <w:tabs>
          <w:tab w:val="left" w:pos="1580"/>
        </w:tabs>
        <w:spacing w:before="54" w:after="0" w:line="326" w:lineRule="auto"/>
        <w:ind w:left="108" w:right="346" w:firstLine="638"/>
        <w:jc w:val="both"/>
        <w:rPr>
          <w:sz w:val="32"/>
        </w:rPr>
      </w:pPr>
      <w:r>
        <w:rPr>
          <w:spacing w:val="1"/>
          <w:w w:val="95"/>
          <w:sz w:val="32"/>
        </w:rPr>
        <w:t xml:space="preserve">被法院列入失信被执行人、被相关单位列入相关领 </w:t>
      </w:r>
      <w:r>
        <w:rPr>
          <w:w w:val="95"/>
          <w:sz w:val="32"/>
        </w:rPr>
        <w:t>域失信“黑名单”或存在其他严重失信行为的企业，直接列为</w:t>
      </w:r>
      <w:r>
        <w:rPr>
          <w:spacing w:val="217"/>
          <w:sz w:val="32"/>
        </w:rPr>
        <w:t xml:space="preserve"> </w:t>
      </w:r>
      <w:r>
        <w:rPr>
          <w:w w:val="95"/>
          <w:sz w:val="32"/>
        </w:rPr>
        <w:t>D</w:t>
      </w:r>
      <w:r>
        <w:rPr>
          <w:spacing w:val="-34"/>
          <w:w w:val="95"/>
          <w:sz w:val="32"/>
        </w:rPr>
        <w:t xml:space="preserve"> 类</w:t>
      </w:r>
      <w:r>
        <w:rPr>
          <w:w w:val="95"/>
          <w:sz w:val="32"/>
        </w:rPr>
        <w:t>（由法院、发改局等负责认定）。</w:t>
      </w:r>
    </w:p>
    <w:p>
      <w:pPr>
        <w:pStyle w:val="7"/>
        <w:numPr>
          <w:ilvl w:val="0"/>
          <w:numId w:val="5"/>
        </w:numPr>
        <w:tabs>
          <w:tab w:val="left" w:pos="1580"/>
        </w:tabs>
        <w:spacing w:before="8" w:after="0" w:line="328" w:lineRule="auto"/>
        <w:ind w:left="108" w:right="346" w:firstLine="638"/>
        <w:jc w:val="both"/>
        <w:rPr>
          <w:sz w:val="32"/>
        </w:rPr>
      </w:pPr>
      <w:r>
        <w:rPr>
          <w:spacing w:val="22"/>
          <w:w w:val="95"/>
          <w:sz w:val="32"/>
        </w:rPr>
        <w:t xml:space="preserve">一年内发生 </w:t>
      </w:r>
      <w:r>
        <w:rPr>
          <w:w w:val="95"/>
          <w:sz w:val="32"/>
        </w:rPr>
        <w:t>1</w:t>
      </w:r>
      <w:r>
        <w:rPr>
          <w:spacing w:val="10"/>
          <w:w w:val="95"/>
          <w:sz w:val="32"/>
        </w:rPr>
        <w:t xml:space="preserve"> 起生产安全亡人事故的企业，评价时</w:t>
      </w:r>
      <w:r>
        <w:rPr>
          <w:spacing w:val="21"/>
          <w:w w:val="95"/>
          <w:sz w:val="32"/>
        </w:rPr>
        <w:t xml:space="preserve">除 </w:t>
      </w:r>
      <w:r>
        <w:rPr>
          <w:w w:val="95"/>
          <w:sz w:val="32"/>
        </w:rPr>
        <w:t>D</w:t>
      </w:r>
      <w:r>
        <w:rPr>
          <w:spacing w:val="4"/>
          <w:w w:val="95"/>
          <w:sz w:val="32"/>
        </w:rPr>
        <w:t xml:space="preserve"> 类外下降一档；发生 </w:t>
      </w:r>
      <w:r>
        <w:rPr>
          <w:w w:val="95"/>
          <w:sz w:val="32"/>
        </w:rPr>
        <w:t>1 起较大及以上生产安全责任事故或</w:t>
      </w:r>
      <w:r>
        <w:rPr>
          <w:spacing w:val="26"/>
          <w:w w:val="95"/>
          <w:sz w:val="32"/>
        </w:rPr>
        <w:t xml:space="preserve">者发生 </w:t>
      </w:r>
      <w:r>
        <w:rPr>
          <w:w w:val="95"/>
          <w:sz w:val="32"/>
        </w:rPr>
        <w:t>2</w:t>
      </w:r>
      <w:r>
        <w:rPr>
          <w:spacing w:val="53"/>
          <w:w w:val="95"/>
          <w:sz w:val="32"/>
        </w:rPr>
        <w:t xml:space="preserve"> 起</w:t>
      </w:r>
      <w:r>
        <w:rPr>
          <w:w w:val="95"/>
          <w:sz w:val="32"/>
        </w:rPr>
        <w:t>（含）以上生产安全亡人事故的企业，直接列为 D</w:t>
      </w:r>
      <w:r>
        <w:rPr>
          <w:spacing w:val="-149"/>
          <w:w w:val="95"/>
          <w:sz w:val="32"/>
        </w:rPr>
        <w:t xml:space="preserve"> </w:t>
      </w:r>
      <w:r>
        <w:rPr>
          <w:sz w:val="32"/>
        </w:rPr>
        <w:t>类（由应急管理局负责认定）。</w:t>
      </w:r>
    </w:p>
    <w:p>
      <w:pPr>
        <w:pStyle w:val="7"/>
        <w:numPr>
          <w:ilvl w:val="0"/>
          <w:numId w:val="5"/>
        </w:numPr>
        <w:tabs>
          <w:tab w:val="left" w:pos="1548"/>
        </w:tabs>
        <w:spacing w:before="0" w:after="0" w:line="328" w:lineRule="auto"/>
        <w:ind w:left="108" w:right="277" w:firstLine="638"/>
        <w:jc w:val="both"/>
        <w:rPr>
          <w:sz w:val="32"/>
        </w:rPr>
      </w:pPr>
      <w:r>
        <w:rPr>
          <w:spacing w:val="4"/>
          <w:w w:val="95"/>
          <w:sz w:val="32"/>
        </w:rPr>
        <w:t xml:space="preserve">列入各级政府明确淘汰计划的企业，直接列为 </w:t>
      </w:r>
      <w:r>
        <w:rPr>
          <w:w w:val="95"/>
          <w:sz w:val="32"/>
        </w:rPr>
        <w:t>D</w:t>
      </w:r>
      <w:r>
        <w:rPr>
          <w:spacing w:val="29"/>
          <w:w w:val="95"/>
          <w:sz w:val="32"/>
        </w:rPr>
        <w:t xml:space="preserve"> 类；</w:t>
      </w:r>
      <w:r>
        <w:rPr>
          <w:spacing w:val="-150"/>
          <w:w w:val="95"/>
          <w:sz w:val="32"/>
        </w:rPr>
        <w:t xml:space="preserve"> </w:t>
      </w:r>
      <w:r>
        <w:rPr>
          <w:sz w:val="32"/>
        </w:rPr>
        <w:t>实际占用土地但没有产出的企业（包括已关停企业、超过约定</w:t>
      </w:r>
      <w:r>
        <w:rPr>
          <w:spacing w:val="19"/>
          <w:w w:val="95"/>
          <w:sz w:val="32"/>
        </w:rPr>
        <w:t xml:space="preserve">竣工日期 </w:t>
      </w:r>
      <w:r>
        <w:rPr>
          <w:w w:val="95"/>
          <w:sz w:val="32"/>
        </w:rPr>
        <w:t>18</w:t>
      </w:r>
      <w:r>
        <w:rPr>
          <w:spacing w:val="24"/>
          <w:w w:val="95"/>
          <w:sz w:val="32"/>
        </w:rPr>
        <w:t xml:space="preserve"> 个月以上仍未完工的企业等）</w:t>
      </w:r>
      <w:r>
        <w:rPr>
          <w:spacing w:val="21"/>
          <w:w w:val="95"/>
          <w:sz w:val="32"/>
        </w:rPr>
        <w:t xml:space="preserve">，直接列为 </w:t>
      </w:r>
      <w:r>
        <w:rPr>
          <w:w w:val="95"/>
          <w:sz w:val="32"/>
        </w:rPr>
        <w:t>D</w:t>
      </w:r>
      <w:r>
        <w:rPr>
          <w:spacing w:val="14"/>
          <w:w w:val="95"/>
          <w:sz w:val="32"/>
        </w:rPr>
        <w:t xml:space="preserve"> 类</w:t>
      </w:r>
    </w:p>
    <w:p>
      <w:pPr>
        <w:pStyle w:val="3"/>
        <w:spacing w:line="405" w:lineRule="exact"/>
        <w:ind w:left="108"/>
      </w:pPr>
      <w:r>
        <w:t>（由发改局、工信局、自然资源局负责认定）。</w:t>
      </w:r>
    </w:p>
    <w:p>
      <w:pPr>
        <w:pStyle w:val="7"/>
        <w:numPr>
          <w:ilvl w:val="0"/>
          <w:numId w:val="5"/>
        </w:numPr>
        <w:tabs>
          <w:tab w:val="left" w:pos="1548"/>
        </w:tabs>
        <w:spacing w:before="141" w:after="0" w:line="328" w:lineRule="auto"/>
        <w:ind w:left="108" w:right="277" w:firstLine="638"/>
        <w:jc w:val="both"/>
        <w:rPr>
          <w:sz w:val="32"/>
        </w:rPr>
      </w:pPr>
      <w:r>
        <w:rPr>
          <w:w w:val="95"/>
          <w:sz w:val="32"/>
        </w:rPr>
        <w:t>因存在特别严重违法违规行为或特别重大过错责任，</w:t>
      </w:r>
      <w:r>
        <w:rPr>
          <w:spacing w:val="1"/>
          <w:w w:val="95"/>
          <w:sz w:val="32"/>
        </w:rPr>
        <w:t xml:space="preserve"> </w:t>
      </w:r>
      <w:r>
        <w:rPr>
          <w:spacing w:val="4"/>
          <w:w w:val="95"/>
          <w:sz w:val="32"/>
        </w:rPr>
        <w:t xml:space="preserve">给全区造成极大负面影响的企业，直接列为 </w:t>
      </w:r>
      <w:r>
        <w:rPr>
          <w:w w:val="95"/>
          <w:sz w:val="32"/>
        </w:rPr>
        <w:t>D</w:t>
      </w:r>
      <w:r>
        <w:rPr>
          <w:spacing w:val="53"/>
          <w:w w:val="95"/>
          <w:sz w:val="32"/>
        </w:rPr>
        <w:t xml:space="preserve"> 类</w:t>
      </w:r>
      <w:r>
        <w:rPr>
          <w:w w:val="95"/>
          <w:sz w:val="32"/>
        </w:rPr>
        <w:t>（由相关部门</w:t>
      </w:r>
      <w:r>
        <w:rPr>
          <w:sz w:val="32"/>
        </w:rPr>
        <w:t>负责认定）。</w:t>
      </w:r>
    </w:p>
    <w:p>
      <w:pPr>
        <w:pStyle w:val="3"/>
        <w:spacing w:line="328" w:lineRule="auto"/>
        <w:ind w:left="108" w:right="349" w:firstLine="638"/>
        <w:jc w:val="both"/>
      </w:pPr>
      <w:r>
        <w:rPr>
          <w:w w:val="95"/>
        </w:rPr>
        <w:t>对于需要否决的企业，由相应主管部门提出否决意见，区</w:t>
      </w:r>
      <w:r>
        <w:rPr>
          <w:spacing w:val="40"/>
          <w:w w:val="95"/>
        </w:rPr>
        <w:t xml:space="preserve"> </w:t>
      </w:r>
      <w:r>
        <w:rPr>
          <w:w w:val="95"/>
        </w:rPr>
        <w:t>工业企业“亩产效益”评价改革工作领导小组联席会议予以研</w:t>
      </w:r>
      <w:r>
        <w:rPr>
          <w:spacing w:val="54"/>
          <w:w w:val="95"/>
        </w:rPr>
        <w:t xml:space="preserve"> </w:t>
      </w:r>
      <w:r>
        <w:t>究认定。</w:t>
      </w:r>
    </w:p>
    <w:p>
      <w:pPr>
        <w:pStyle w:val="3"/>
        <w:spacing w:line="405" w:lineRule="exact"/>
        <w:ind w:left="747"/>
      </w:pPr>
      <w:r>
        <w:t>三、结果应用</w:t>
      </w:r>
    </w:p>
    <w:p>
      <w:pPr>
        <w:pStyle w:val="3"/>
        <w:spacing w:before="147" w:line="326" w:lineRule="auto"/>
        <w:ind w:left="108" w:right="277" w:firstLine="638"/>
        <w:jc w:val="both"/>
      </w:pPr>
      <w:r>
        <w:rPr>
          <w:spacing w:val="9"/>
          <w:w w:val="95"/>
        </w:rPr>
        <w:t xml:space="preserve">对分类综合评价出来的 </w:t>
      </w:r>
      <w:r>
        <w:rPr>
          <w:w w:val="95"/>
        </w:rPr>
        <w:t>A、B、C、D</w:t>
      </w:r>
      <w:r>
        <w:rPr>
          <w:spacing w:val="7"/>
          <w:w w:val="95"/>
        </w:rPr>
        <w:t xml:space="preserve"> 类企业在财政、用地、</w:t>
      </w:r>
      <w:r>
        <w:t>用电、用能、用水、排污、信贷等方面实施差别化措施，具体措施由各职能部门制定并实施。</w:t>
      </w:r>
    </w:p>
    <w:p>
      <w:pPr>
        <w:pStyle w:val="3"/>
        <w:spacing w:before="7"/>
        <w:ind w:left="747"/>
        <w:jc w:val="both"/>
      </w:pPr>
      <w:r>
        <w:t>（一）</w:t>
      </w:r>
      <w:r>
        <w:rPr>
          <w:rFonts w:ascii="Times New Roman" w:eastAsia="Times New Roman"/>
        </w:rPr>
        <w:t>A</w:t>
      </w:r>
      <w:r>
        <w:rPr>
          <w:rFonts w:ascii="Times New Roman" w:eastAsia="Times New Roman"/>
          <w:spacing w:val="-2"/>
        </w:rPr>
        <w:t xml:space="preserve"> </w:t>
      </w:r>
      <w:r>
        <w:t>类企业（优先发展类）</w:t>
      </w:r>
    </w:p>
    <w:p>
      <w:pPr>
        <w:spacing w:after="0"/>
        <w:jc w:val="both"/>
        <w:sectPr>
          <w:pgSz w:w="11910" w:h="16840"/>
          <w:pgMar w:top="1580" w:right="1240" w:bottom="1300" w:left="1480" w:header="0" w:footer="1118" w:gutter="0"/>
        </w:sectPr>
      </w:pPr>
    </w:p>
    <w:p>
      <w:pPr>
        <w:pStyle w:val="3"/>
        <w:rPr>
          <w:sz w:val="20"/>
        </w:rPr>
      </w:pPr>
    </w:p>
    <w:p>
      <w:pPr>
        <w:pStyle w:val="3"/>
        <w:spacing w:before="11"/>
        <w:rPr>
          <w:sz w:val="24"/>
        </w:rPr>
      </w:pPr>
    </w:p>
    <w:p>
      <w:pPr>
        <w:pStyle w:val="7"/>
        <w:numPr>
          <w:ilvl w:val="0"/>
          <w:numId w:val="6"/>
        </w:numPr>
        <w:tabs>
          <w:tab w:val="left" w:pos="1072"/>
        </w:tabs>
        <w:spacing w:before="54" w:after="0" w:line="326" w:lineRule="auto"/>
        <w:ind w:left="108" w:right="116" w:firstLine="638"/>
        <w:jc w:val="left"/>
        <w:rPr>
          <w:sz w:val="32"/>
        </w:rPr>
      </w:pPr>
      <w:r>
        <w:rPr>
          <w:sz w:val="32"/>
        </w:rPr>
        <w:t>优先给予项目核准备案；支持对落后淘汰企业实施兼并</w:t>
      </w:r>
      <w:r>
        <w:rPr>
          <w:spacing w:val="1"/>
          <w:sz w:val="32"/>
        </w:rPr>
        <w:t xml:space="preserve"> </w:t>
      </w:r>
      <w:r>
        <w:rPr>
          <w:w w:val="95"/>
          <w:sz w:val="32"/>
        </w:rPr>
        <w:t>重组；优先安排申报机器换人、“两化”融合等试点示范项目；</w:t>
      </w:r>
      <w:r>
        <w:rPr>
          <w:spacing w:val="1"/>
          <w:w w:val="95"/>
          <w:sz w:val="32"/>
        </w:rPr>
        <w:t xml:space="preserve"> </w:t>
      </w:r>
      <w:r>
        <w:rPr>
          <w:sz w:val="32"/>
        </w:rPr>
        <w:t>优先支持建设企业技术中心、企业研究院等。</w:t>
      </w:r>
    </w:p>
    <w:p>
      <w:pPr>
        <w:pStyle w:val="7"/>
        <w:numPr>
          <w:ilvl w:val="0"/>
          <w:numId w:val="6"/>
        </w:numPr>
        <w:tabs>
          <w:tab w:val="left" w:pos="1072"/>
        </w:tabs>
        <w:spacing w:before="8" w:after="0" w:line="326" w:lineRule="auto"/>
        <w:ind w:left="108" w:right="346" w:firstLine="638"/>
        <w:jc w:val="both"/>
        <w:rPr>
          <w:sz w:val="32"/>
        </w:rPr>
      </w:pPr>
      <w:r>
        <w:rPr>
          <w:w w:val="95"/>
          <w:sz w:val="32"/>
        </w:rPr>
        <w:t>优先保障用地、用电、用水需要和新增用能指标；优先</w:t>
      </w:r>
      <w:r>
        <w:rPr>
          <w:spacing w:val="22"/>
          <w:w w:val="95"/>
          <w:sz w:val="32"/>
        </w:rPr>
        <w:t xml:space="preserve"> </w:t>
      </w:r>
      <w:r>
        <w:rPr>
          <w:w w:val="95"/>
          <w:sz w:val="32"/>
        </w:rPr>
        <w:t>参与电力直接交易试点，实施有序用电方案时，作为重点保障</w:t>
      </w:r>
      <w:r>
        <w:rPr>
          <w:spacing w:val="57"/>
          <w:w w:val="95"/>
          <w:sz w:val="32"/>
        </w:rPr>
        <w:t xml:space="preserve"> </w:t>
      </w:r>
      <w:r>
        <w:rPr>
          <w:sz w:val="32"/>
        </w:rPr>
        <w:t>企业参与错避峰；优先保障建设项目新增排污总量指标。</w:t>
      </w:r>
    </w:p>
    <w:p>
      <w:pPr>
        <w:pStyle w:val="7"/>
        <w:numPr>
          <w:ilvl w:val="0"/>
          <w:numId w:val="6"/>
        </w:numPr>
        <w:tabs>
          <w:tab w:val="left" w:pos="1072"/>
        </w:tabs>
        <w:spacing w:before="7" w:after="0" w:line="326" w:lineRule="auto"/>
        <w:ind w:left="108" w:right="346" w:firstLine="638"/>
        <w:jc w:val="left"/>
        <w:rPr>
          <w:sz w:val="32"/>
        </w:rPr>
      </w:pPr>
      <w:r>
        <w:rPr>
          <w:w w:val="95"/>
          <w:sz w:val="32"/>
        </w:rPr>
        <w:t>优先享受各级财政专项扶持资金政策；优先申报品牌、</w:t>
      </w:r>
      <w:r>
        <w:rPr>
          <w:spacing w:val="6"/>
          <w:w w:val="95"/>
          <w:sz w:val="32"/>
        </w:rPr>
        <w:t xml:space="preserve"> </w:t>
      </w:r>
      <w:r>
        <w:rPr>
          <w:sz w:val="32"/>
        </w:rPr>
        <w:t>商标、质量管理等方面的荣誉称号。</w:t>
      </w:r>
    </w:p>
    <w:p>
      <w:pPr>
        <w:pStyle w:val="7"/>
        <w:numPr>
          <w:ilvl w:val="0"/>
          <w:numId w:val="6"/>
        </w:numPr>
        <w:tabs>
          <w:tab w:val="left" w:pos="1072"/>
        </w:tabs>
        <w:spacing w:before="3" w:after="0" w:line="328" w:lineRule="auto"/>
        <w:ind w:left="108" w:right="346" w:firstLine="638"/>
        <w:jc w:val="both"/>
        <w:rPr>
          <w:sz w:val="32"/>
        </w:rPr>
      </w:pPr>
      <w:r>
        <w:rPr>
          <w:w w:val="95"/>
          <w:sz w:val="32"/>
        </w:rPr>
        <w:t>重点保障信贷需要，鼓励金融机构在企业信用评级、贷</w:t>
      </w:r>
      <w:r>
        <w:rPr>
          <w:spacing w:val="22"/>
          <w:w w:val="95"/>
          <w:sz w:val="32"/>
        </w:rPr>
        <w:t xml:space="preserve"> </w:t>
      </w:r>
      <w:r>
        <w:rPr>
          <w:w w:val="95"/>
          <w:sz w:val="32"/>
        </w:rPr>
        <w:t>款授信和利率优惠中给予优先支持，在出口信用保险政策享受</w:t>
      </w:r>
      <w:r>
        <w:rPr>
          <w:spacing w:val="57"/>
          <w:w w:val="95"/>
          <w:sz w:val="32"/>
        </w:rPr>
        <w:t xml:space="preserve"> </w:t>
      </w:r>
      <w:r>
        <w:rPr>
          <w:sz w:val="32"/>
        </w:rPr>
        <w:t>方面给予倾斜。</w:t>
      </w:r>
    </w:p>
    <w:p>
      <w:pPr>
        <w:pStyle w:val="3"/>
        <w:spacing w:line="405" w:lineRule="exact"/>
        <w:ind w:left="747"/>
        <w:jc w:val="both"/>
      </w:pPr>
      <w:r>
        <w:t>（二）</w:t>
      </w:r>
      <w:r>
        <w:rPr>
          <w:rFonts w:ascii="Times New Roman" w:eastAsia="Times New Roman"/>
        </w:rPr>
        <w:t>B</w:t>
      </w:r>
      <w:r>
        <w:rPr>
          <w:rFonts w:ascii="Times New Roman" w:eastAsia="Times New Roman"/>
          <w:spacing w:val="-3"/>
        </w:rPr>
        <w:t xml:space="preserve"> </w:t>
      </w:r>
      <w:r>
        <w:t>类企业（支持发展类）</w:t>
      </w:r>
    </w:p>
    <w:p>
      <w:pPr>
        <w:pStyle w:val="7"/>
        <w:numPr>
          <w:ilvl w:val="0"/>
          <w:numId w:val="7"/>
        </w:numPr>
        <w:tabs>
          <w:tab w:val="left" w:pos="1072"/>
        </w:tabs>
        <w:spacing w:before="152" w:after="0" w:line="326" w:lineRule="auto"/>
        <w:ind w:left="108" w:right="346" w:firstLine="638"/>
        <w:jc w:val="left"/>
        <w:rPr>
          <w:sz w:val="32"/>
        </w:rPr>
      </w:pPr>
      <w:r>
        <w:rPr>
          <w:w w:val="95"/>
          <w:sz w:val="32"/>
        </w:rPr>
        <w:t>鼓励企业进行土地“二次开发”，对利用现有土地、厂</w:t>
      </w:r>
      <w:r>
        <w:rPr>
          <w:spacing w:val="6"/>
          <w:w w:val="95"/>
          <w:sz w:val="32"/>
        </w:rPr>
        <w:t xml:space="preserve"> </w:t>
      </w:r>
      <w:r>
        <w:rPr>
          <w:sz w:val="32"/>
        </w:rPr>
        <w:t>房、设备资源实施“零土地”技改的项目予以优先立项。</w:t>
      </w:r>
    </w:p>
    <w:p>
      <w:pPr>
        <w:pStyle w:val="7"/>
        <w:numPr>
          <w:ilvl w:val="0"/>
          <w:numId w:val="7"/>
        </w:numPr>
        <w:tabs>
          <w:tab w:val="left" w:pos="1069"/>
        </w:tabs>
        <w:spacing w:before="3" w:after="0" w:line="240" w:lineRule="auto"/>
        <w:ind w:left="1068" w:right="0" w:hanging="322"/>
        <w:jc w:val="left"/>
        <w:rPr>
          <w:sz w:val="32"/>
        </w:rPr>
      </w:pPr>
      <w:r>
        <w:rPr>
          <w:sz w:val="32"/>
        </w:rPr>
        <w:t>在用地、用能、用电、用水、排污等方面给予支持。</w:t>
      </w:r>
    </w:p>
    <w:p>
      <w:pPr>
        <w:pStyle w:val="7"/>
        <w:numPr>
          <w:ilvl w:val="0"/>
          <w:numId w:val="7"/>
        </w:numPr>
        <w:tabs>
          <w:tab w:val="left" w:pos="1072"/>
        </w:tabs>
        <w:spacing w:before="151" w:after="0" w:line="326" w:lineRule="auto"/>
        <w:ind w:left="108" w:right="346" w:firstLine="638"/>
        <w:jc w:val="left"/>
        <w:rPr>
          <w:sz w:val="32"/>
        </w:rPr>
      </w:pPr>
      <w:r>
        <w:rPr>
          <w:w w:val="95"/>
          <w:sz w:val="32"/>
        </w:rPr>
        <w:t>享受各级财政专项扶持资金政策，支持企业申报品牌、</w:t>
      </w:r>
      <w:r>
        <w:rPr>
          <w:spacing w:val="6"/>
          <w:w w:val="95"/>
          <w:sz w:val="32"/>
        </w:rPr>
        <w:t xml:space="preserve"> </w:t>
      </w:r>
      <w:r>
        <w:rPr>
          <w:sz w:val="32"/>
        </w:rPr>
        <w:t>商标、质量管理等方面的荣誉称号。</w:t>
      </w:r>
    </w:p>
    <w:p>
      <w:pPr>
        <w:pStyle w:val="7"/>
        <w:numPr>
          <w:ilvl w:val="0"/>
          <w:numId w:val="7"/>
        </w:numPr>
        <w:tabs>
          <w:tab w:val="left" w:pos="1072"/>
        </w:tabs>
        <w:spacing w:before="4" w:after="0" w:line="328" w:lineRule="auto"/>
        <w:ind w:left="108" w:right="346" w:firstLine="638"/>
        <w:jc w:val="left"/>
        <w:rPr>
          <w:sz w:val="32"/>
        </w:rPr>
      </w:pPr>
      <w:r>
        <w:rPr>
          <w:w w:val="95"/>
          <w:sz w:val="32"/>
        </w:rPr>
        <w:t>支持融资需求，鼓励金融机构在信贷等融资产品上给予</w:t>
      </w:r>
      <w:r>
        <w:rPr>
          <w:spacing w:val="6"/>
          <w:w w:val="95"/>
          <w:sz w:val="32"/>
        </w:rPr>
        <w:t xml:space="preserve"> </w:t>
      </w:r>
      <w:r>
        <w:rPr>
          <w:sz w:val="32"/>
        </w:rPr>
        <w:t>适度支持。</w:t>
      </w:r>
    </w:p>
    <w:p>
      <w:pPr>
        <w:pStyle w:val="3"/>
        <w:spacing w:line="407" w:lineRule="exact"/>
        <w:ind w:left="747"/>
      </w:pPr>
      <w:r>
        <w:t>（三）</w:t>
      </w:r>
      <w:r>
        <w:rPr>
          <w:rFonts w:ascii="Times New Roman" w:eastAsia="Times New Roman"/>
        </w:rPr>
        <w:t>C</w:t>
      </w:r>
      <w:r>
        <w:rPr>
          <w:rFonts w:ascii="Times New Roman" w:eastAsia="Times New Roman"/>
          <w:spacing w:val="-3"/>
        </w:rPr>
        <w:t xml:space="preserve"> </w:t>
      </w:r>
      <w:r>
        <w:t>类企业（提升发展类）</w:t>
      </w:r>
    </w:p>
    <w:p>
      <w:pPr>
        <w:pStyle w:val="7"/>
        <w:numPr>
          <w:ilvl w:val="0"/>
          <w:numId w:val="8"/>
        </w:numPr>
        <w:tabs>
          <w:tab w:val="left" w:pos="1072"/>
        </w:tabs>
        <w:spacing w:before="149" w:after="0" w:line="328" w:lineRule="auto"/>
        <w:ind w:left="108" w:right="346" w:firstLine="638"/>
        <w:jc w:val="left"/>
        <w:rPr>
          <w:sz w:val="32"/>
        </w:rPr>
      </w:pPr>
      <w:r>
        <w:rPr>
          <w:w w:val="95"/>
          <w:sz w:val="32"/>
        </w:rPr>
        <w:t>鼓励企业充分利用现有土地、厂房、设施资源实施“零</w:t>
      </w:r>
      <w:r>
        <w:rPr>
          <w:spacing w:val="6"/>
          <w:w w:val="95"/>
          <w:sz w:val="32"/>
        </w:rPr>
        <w:t xml:space="preserve"> </w:t>
      </w:r>
      <w:r>
        <w:rPr>
          <w:sz w:val="32"/>
        </w:rPr>
        <w:t>增地”技改，技改项目享受各级技术改造类专项资金。</w:t>
      </w:r>
    </w:p>
    <w:p>
      <w:pPr>
        <w:spacing w:after="0" w:line="328" w:lineRule="auto"/>
        <w:jc w:val="left"/>
        <w:rPr>
          <w:sz w:val="32"/>
        </w:rPr>
        <w:sectPr>
          <w:pgSz w:w="11910" w:h="16840"/>
          <w:pgMar w:top="1580" w:right="1240" w:bottom="1300" w:left="1480" w:header="0" w:footer="1118" w:gutter="0"/>
        </w:sectPr>
      </w:pPr>
    </w:p>
    <w:p>
      <w:pPr>
        <w:pStyle w:val="3"/>
        <w:rPr>
          <w:sz w:val="20"/>
        </w:rPr>
      </w:pPr>
    </w:p>
    <w:p>
      <w:pPr>
        <w:pStyle w:val="3"/>
        <w:spacing w:before="11"/>
        <w:rPr>
          <w:sz w:val="24"/>
        </w:rPr>
      </w:pPr>
    </w:p>
    <w:p>
      <w:pPr>
        <w:pStyle w:val="7"/>
        <w:numPr>
          <w:ilvl w:val="0"/>
          <w:numId w:val="8"/>
        </w:numPr>
        <w:tabs>
          <w:tab w:val="left" w:pos="1076"/>
        </w:tabs>
        <w:spacing w:before="54" w:after="0" w:line="326" w:lineRule="auto"/>
        <w:ind w:left="108" w:right="346" w:firstLine="638"/>
        <w:jc w:val="both"/>
        <w:rPr>
          <w:sz w:val="32"/>
        </w:rPr>
      </w:pPr>
      <w:r>
        <w:rPr>
          <w:w w:val="95"/>
          <w:sz w:val="32"/>
        </w:rPr>
        <w:t>在用地、用电、融资等方面给予必要的扶持;</w:t>
      </w:r>
      <w:r>
        <w:rPr>
          <w:spacing w:val="203"/>
          <w:sz w:val="32"/>
        </w:rPr>
        <w:t xml:space="preserve"> </w:t>
      </w:r>
      <w:r>
        <w:rPr>
          <w:w w:val="95"/>
          <w:sz w:val="32"/>
        </w:rPr>
        <w:t>在享受各</w:t>
      </w:r>
      <w:r>
        <w:rPr>
          <w:sz w:val="32"/>
        </w:rPr>
        <w:t>级财政专项扶持资金政策方面给予必要的支持。</w:t>
      </w:r>
    </w:p>
    <w:p>
      <w:pPr>
        <w:pStyle w:val="7"/>
        <w:numPr>
          <w:ilvl w:val="0"/>
          <w:numId w:val="8"/>
        </w:numPr>
        <w:tabs>
          <w:tab w:val="left" w:pos="1072"/>
        </w:tabs>
        <w:spacing w:before="4" w:after="0" w:line="328" w:lineRule="auto"/>
        <w:ind w:left="108" w:right="346" w:firstLine="638"/>
        <w:jc w:val="both"/>
        <w:rPr>
          <w:sz w:val="32"/>
        </w:rPr>
      </w:pPr>
      <w:r>
        <w:rPr>
          <w:w w:val="95"/>
          <w:sz w:val="32"/>
        </w:rPr>
        <w:t>严格控制低效落后产能扩张，除技术改造以外，原则上</w:t>
      </w:r>
      <w:r>
        <w:rPr>
          <w:spacing w:val="22"/>
          <w:w w:val="95"/>
          <w:sz w:val="32"/>
        </w:rPr>
        <w:t xml:space="preserve"> </w:t>
      </w:r>
      <w:r>
        <w:rPr>
          <w:w w:val="95"/>
          <w:sz w:val="32"/>
        </w:rPr>
        <w:t>不予核准和备案与原产能相同（近）的新建用地项目，原则上</w:t>
      </w:r>
      <w:r>
        <w:rPr>
          <w:spacing w:val="57"/>
          <w:w w:val="95"/>
          <w:sz w:val="32"/>
        </w:rPr>
        <w:t xml:space="preserve"> </w:t>
      </w:r>
      <w:r>
        <w:rPr>
          <w:sz w:val="32"/>
        </w:rPr>
        <w:t>不得增加用能和主要污染物排放总量指标。</w:t>
      </w:r>
    </w:p>
    <w:p>
      <w:pPr>
        <w:pStyle w:val="7"/>
        <w:numPr>
          <w:ilvl w:val="0"/>
          <w:numId w:val="8"/>
        </w:numPr>
        <w:tabs>
          <w:tab w:val="left" w:pos="1072"/>
        </w:tabs>
        <w:spacing w:before="0" w:after="0" w:line="328" w:lineRule="auto"/>
        <w:ind w:left="108" w:right="346" w:firstLine="638"/>
        <w:jc w:val="both"/>
        <w:rPr>
          <w:sz w:val="32"/>
        </w:rPr>
      </w:pPr>
      <w:r>
        <w:rPr>
          <w:spacing w:val="10"/>
          <w:w w:val="95"/>
          <w:sz w:val="32"/>
        </w:rPr>
        <w:t xml:space="preserve">实施有序用电管理时，当 </w:t>
      </w:r>
      <w:r>
        <w:rPr>
          <w:w w:val="95"/>
          <w:sz w:val="32"/>
        </w:rPr>
        <w:t>D</w:t>
      </w:r>
      <w:r>
        <w:rPr>
          <w:spacing w:val="7"/>
          <w:w w:val="95"/>
          <w:sz w:val="32"/>
        </w:rPr>
        <w:t xml:space="preserve"> 类企业执行错避峰方案，电</w:t>
      </w:r>
      <w:r>
        <w:rPr>
          <w:w w:val="95"/>
          <w:sz w:val="32"/>
        </w:rPr>
        <w:t>力负荷仍存在一定缺口时参与错避峰，同时列入机动负荷应对</w:t>
      </w:r>
      <w:r>
        <w:rPr>
          <w:spacing w:val="57"/>
          <w:w w:val="95"/>
          <w:sz w:val="32"/>
        </w:rPr>
        <w:t xml:space="preserve"> </w:t>
      </w:r>
      <w:r>
        <w:rPr>
          <w:sz w:val="32"/>
        </w:rPr>
        <w:t>突发性供电缺口。</w:t>
      </w:r>
    </w:p>
    <w:p>
      <w:pPr>
        <w:pStyle w:val="3"/>
        <w:spacing w:line="405" w:lineRule="exact"/>
        <w:ind w:left="747"/>
        <w:jc w:val="both"/>
      </w:pPr>
      <w:r>
        <w:t>（四）</w:t>
      </w:r>
      <w:r>
        <w:rPr>
          <w:rFonts w:ascii="Times New Roman" w:eastAsia="Times New Roman"/>
        </w:rPr>
        <w:t>D</w:t>
      </w:r>
      <w:r>
        <w:rPr>
          <w:rFonts w:ascii="Times New Roman" w:eastAsia="Times New Roman"/>
          <w:spacing w:val="-2"/>
        </w:rPr>
        <w:t xml:space="preserve"> </w:t>
      </w:r>
      <w:r>
        <w:t>类企业（限制发展类）</w:t>
      </w:r>
    </w:p>
    <w:p>
      <w:pPr>
        <w:pStyle w:val="7"/>
        <w:numPr>
          <w:ilvl w:val="0"/>
          <w:numId w:val="9"/>
        </w:numPr>
        <w:tabs>
          <w:tab w:val="left" w:pos="1069"/>
        </w:tabs>
        <w:spacing w:before="146" w:after="0" w:line="328" w:lineRule="auto"/>
        <w:ind w:left="108" w:right="116" w:firstLine="638"/>
        <w:jc w:val="left"/>
        <w:rPr>
          <w:sz w:val="32"/>
        </w:rPr>
      </w:pPr>
      <w:r>
        <w:rPr>
          <w:w w:val="95"/>
          <w:sz w:val="32"/>
        </w:rPr>
        <w:t>引导企业兼并重组或主动关停退出，对主动退出的企业，</w:t>
      </w:r>
      <w:r>
        <w:rPr>
          <w:spacing w:val="1"/>
          <w:w w:val="95"/>
          <w:sz w:val="32"/>
        </w:rPr>
        <w:t xml:space="preserve"> </w:t>
      </w:r>
      <w:r>
        <w:rPr>
          <w:sz w:val="32"/>
        </w:rPr>
        <w:t>按闲置低效土地清理或淘汰落后产能的有关政策执行；不予核</w:t>
      </w:r>
      <w:r>
        <w:rPr>
          <w:spacing w:val="1"/>
          <w:sz w:val="32"/>
        </w:rPr>
        <w:t xml:space="preserve"> </w:t>
      </w:r>
      <w:r>
        <w:rPr>
          <w:sz w:val="32"/>
        </w:rPr>
        <w:t>准和审批新的投资项目，禁止参与工业用地招拍挂竞买活动，</w:t>
      </w:r>
      <w:r>
        <w:rPr>
          <w:spacing w:val="1"/>
          <w:sz w:val="32"/>
        </w:rPr>
        <w:t xml:space="preserve"> </w:t>
      </w:r>
      <w:r>
        <w:rPr>
          <w:spacing w:val="-22"/>
          <w:w w:val="95"/>
          <w:sz w:val="32"/>
        </w:rPr>
        <w:t xml:space="preserve">禁止 </w:t>
      </w:r>
      <w:r>
        <w:rPr>
          <w:w w:val="95"/>
          <w:sz w:val="32"/>
        </w:rPr>
        <w:t>D</w:t>
      </w:r>
      <w:r>
        <w:rPr>
          <w:spacing w:val="-33"/>
          <w:w w:val="95"/>
          <w:sz w:val="32"/>
        </w:rPr>
        <w:t xml:space="preserve"> 类与 </w:t>
      </w:r>
      <w:r>
        <w:rPr>
          <w:w w:val="95"/>
          <w:sz w:val="32"/>
        </w:rPr>
        <w:t>D</w:t>
      </w:r>
      <w:r>
        <w:rPr>
          <w:spacing w:val="-9"/>
          <w:w w:val="95"/>
          <w:sz w:val="32"/>
        </w:rPr>
        <w:t xml:space="preserve"> 类企业之间转让土地使用权。</w:t>
      </w:r>
    </w:p>
    <w:p>
      <w:pPr>
        <w:pStyle w:val="7"/>
        <w:numPr>
          <w:ilvl w:val="0"/>
          <w:numId w:val="9"/>
        </w:numPr>
        <w:tabs>
          <w:tab w:val="left" w:pos="1072"/>
        </w:tabs>
        <w:spacing w:before="0" w:after="0" w:line="328" w:lineRule="auto"/>
        <w:ind w:left="108" w:right="346" w:firstLine="638"/>
        <w:jc w:val="both"/>
        <w:rPr>
          <w:sz w:val="32"/>
        </w:rPr>
      </w:pPr>
      <w:r>
        <w:rPr>
          <w:w w:val="95"/>
          <w:sz w:val="32"/>
        </w:rPr>
        <w:t>实施有序用电和节能管理时，作为首类限电对象，参与</w:t>
      </w:r>
      <w:r>
        <w:rPr>
          <w:spacing w:val="22"/>
          <w:w w:val="95"/>
          <w:sz w:val="32"/>
        </w:rPr>
        <w:t xml:space="preserve"> </w:t>
      </w:r>
      <w:r>
        <w:rPr>
          <w:w w:val="95"/>
          <w:sz w:val="32"/>
        </w:rPr>
        <w:t>错避峰方案安排，同时列入机动负荷应对突发性供电缺口，执</w:t>
      </w:r>
      <w:r>
        <w:rPr>
          <w:spacing w:val="57"/>
          <w:w w:val="95"/>
          <w:sz w:val="32"/>
        </w:rPr>
        <w:t xml:space="preserve"> </w:t>
      </w:r>
      <w:r>
        <w:rPr>
          <w:sz w:val="32"/>
        </w:rPr>
        <w:t>行差别化电价政策。</w:t>
      </w:r>
    </w:p>
    <w:p>
      <w:pPr>
        <w:pStyle w:val="7"/>
        <w:numPr>
          <w:ilvl w:val="0"/>
          <w:numId w:val="9"/>
        </w:numPr>
        <w:tabs>
          <w:tab w:val="left" w:pos="1072"/>
        </w:tabs>
        <w:spacing w:before="0" w:after="0" w:line="326" w:lineRule="auto"/>
        <w:ind w:left="108" w:right="346" w:firstLine="638"/>
        <w:jc w:val="left"/>
        <w:rPr>
          <w:sz w:val="32"/>
        </w:rPr>
      </w:pPr>
      <w:r>
        <w:rPr>
          <w:w w:val="95"/>
          <w:sz w:val="32"/>
        </w:rPr>
        <w:t>有条件的享受各级财政专项扶持资金政策，不推荐参评</w:t>
      </w:r>
      <w:r>
        <w:rPr>
          <w:spacing w:val="6"/>
          <w:w w:val="95"/>
          <w:sz w:val="32"/>
        </w:rPr>
        <w:t xml:space="preserve"> </w:t>
      </w:r>
      <w:r>
        <w:rPr>
          <w:sz w:val="32"/>
        </w:rPr>
        <w:t>年度各项先进，不得增加用能、主要污染物排污总量指标。</w:t>
      </w:r>
    </w:p>
    <w:p>
      <w:pPr>
        <w:pStyle w:val="7"/>
        <w:numPr>
          <w:ilvl w:val="0"/>
          <w:numId w:val="9"/>
        </w:numPr>
        <w:tabs>
          <w:tab w:val="left" w:pos="1069"/>
        </w:tabs>
        <w:spacing w:before="0" w:after="0" w:line="240" w:lineRule="auto"/>
        <w:ind w:left="1068" w:right="0" w:hanging="322"/>
        <w:jc w:val="left"/>
        <w:rPr>
          <w:sz w:val="32"/>
        </w:rPr>
      </w:pPr>
      <w:r>
        <w:rPr>
          <w:sz w:val="32"/>
        </w:rPr>
        <w:t>建议金融机构的贷款利率按上浮上限执行。</w:t>
      </w:r>
    </w:p>
    <w:p>
      <w:pPr>
        <w:pStyle w:val="3"/>
        <w:spacing w:before="142"/>
        <w:ind w:left="747"/>
      </w:pPr>
      <w:r>
        <w:t>四、工作要求</w:t>
      </w:r>
    </w:p>
    <w:p>
      <w:pPr>
        <w:pStyle w:val="3"/>
        <w:spacing w:before="149" w:line="328" w:lineRule="auto"/>
        <w:ind w:left="108" w:right="346" w:firstLine="638"/>
      </w:pPr>
      <w:r>
        <w:rPr>
          <w:w w:val="95"/>
        </w:rPr>
        <w:t>（一）组织机构保障。区政府成立工作领导小组，下设办</w:t>
      </w:r>
      <w:r>
        <w:rPr>
          <w:spacing w:val="43"/>
          <w:w w:val="95"/>
        </w:rPr>
        <w:t xml:space="preserve"> </w:t>
      </w:r>
      <w:r>
        <w:rPr>
          <w:w w:val="95"/>
        </w:rPr>
        <w:t>公室（设在工信局），工信局局长兼任办公室主任，负责统一</w:t>
      </w:r>
    </w:p>
    <w:p>
      <w:pPr>
        <w:spacing w:after="0" w:line="328" w:lineRule="auto"/>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6" w:lineRule="auto"/>
        <w:ind w:left="108" w:right="346"/>
        <w:jc w:val="both"/>
      </w:pPr>
      <w:r>
        <w:rPr>
          <w:w w:val="95"/>
        </w:rPr>
        <w:t>协调，确保工作有序推进。建立联席会议制度，不定期召开领</w:t>
      </w:r>
      <w:r>
        <w:rPr>
          <w:spacing w:val="73"/>
          <w:w w:val="95"/>
        </w:rPr>
        <w:t xml:space="preserve"> </w:t>
      </w:r>
      <w:r>
        <w:rPr>
          <w:w w:val="95"/>
        </w:rPr>
        <w:t>导小组成员联席会议，及时协调解决分类综合评价工作中的具</w:t>
      </w:r>
      <w:r>
        <w:rPr>
          <w:spacing w:val="57"/>
          <w:w w:val="95"/>
        </w:rPr>
        <w:t xml:space="preserve"> </w:t>
      </w:r>
      <w:r>
        <w:t>体问题和有关事项。</w:t>
      </w:r>
    </w:p>
    <w:p>
      <w:pPr>
        <w:pStyle w:val="3"/>
        <w:spacing w:before="8" w:line="328" w:lineRule="auto"/>
        <w:ind w:left="108" w:right="116" w:firstLine="638"/>
      </w:pPr>
      <w:r>
        <w:t>（二）明确部门职责。评价指标按照“谁主管、谁统计、</w:t>
      </w:r>
      <w:r>
        <w:rPr>
          <w:spacing w:val="1"/>
        </w:rPr>
        <w:t xml:space="preserve"> </w:t>
      </w:r>
      <w:r>
        <w:t>谁负责”的原则，各部门负责审核提供数据，并建立与评价体</w:t>
      </w:r>
      <w:r>
        <w:rPr>
          <w:spacing w:val="1"/>
        </w:rPr>
        <w:t xml:space="preserve"> </w:t>
      </w:r>
      <w:r>
        <w:t>系相关的企业基础数据台账，做到实时更新、实时调取。自然</w:t>
      </w:r>
      <w:r>
        <w:rPr>
          <w:spacing w:val="1"/>
        </w:rPr>
        <w:t xml:space="preserve"> </w:t>
      </w:r>
      <w:r>
        <w:rPr>
          <w:w w:val="95"/>
        </w:rPr>
        <w:t>资源、发改、城乡水务、环保、地方金融监管等部门要在用地、</w:t>
      </w:r>
      <w:r>
        <w:rPr>
          <w:spacing w:val="1"/>
          <w:w w:val="95"/>
        </w:rPr>
        <w:t xml:space="preserve"> </w:t>
      </w:r>
      <w:r>
        <w:t>用电、用水、排污、信贷等资源要素配置上制定差别化措施，</w:t>
      </w:r>
      <w:r>
        <w:rPr>
          <w:spacing w:val="1"/>
        </w:rPr>
        <w:t xml:space="preserve"> </w:t>
      </w:r>
      <w:r>
        <w:t>把评价等级作为要素分配、政策支持和行政监管的重要依据。</w:t>
      </w:r>
    </w:p>
    <w:p>
      <w:pPr>
        <w:pStyle w:val="3"/>
        <w:spacing w:line="328" w:lineRule="auto"/>
        <w:ind w:left="108" w:right="116" w:firstLine="638"/>
      </w:pPr>
      <w:r>
        <w:rPr>
          <w:w w:val="95"/>
        </w:rPr>
        <w:t>（三）狠抓工作落实。各有关单位要分工协作，共同推进，</w:t>
      </w:r>
      <w:r>
        <w:rPr>
          <w:spacing w:val="1"/>
          <w:w w:val="95"/>
        </w:rPr>
        <w:t xml:space="preserve"> </w:t>
      </w:r>
      <w:r>
        <w:rPr>
          <w:spacing w:val="2"/>
          <w:w w:val="95"/>
        </w:rPr>
        <w:t>形成合力。要加大对</w:t>
      </w:r>
      <w:r>
        <w:rPr>
          <w:spacing w:val="156"/>
        </w:rPr>
        <w:t xml:space="preserve"> </w:t>
      </w:r>
      <w:r>
        <w:rPr>
          <w:spacing w:val="10"/>
          <w:w w:val="95"/>
        </w:rPr>
        <w:t>C</w:t>
      </w:r>
      <w:r>
        <w:rPr>
          <w:w w:val="95"/>
        </w:rPr>
        <w:t>、D</w:t>
      </w:r>
      <w:r>
        <w:rPr>
          <w:spacing w:val="160"/>
        </w:rPr>
        <w:t xml:space="preserve"> </w:t>
      </w:r>
      <w:r>
        <w:rPr>
          <w:w w:val="95"/>
        </w:rPr>
        <w:t>类企业的执法检查力度，严格各类</w:t>
      </w:r>
      <w:r>
        <w:t>违法违规行为的处罚；要积极引导企业开展“零土地”技改提 升，对提升无望的企业采取措施加快淘汰退出。进一步强化督查</w:t>
      </w:r>
      <w:r>
        <w:rPr>
          <w:spacing w:val="15"/>
        </w:rPr>
        <w:t>考核，将工业企业“亩产效益”评价改革工作纳入对各镇</w:t>
      </w:r>
    </w:p>
    <w:p>
      <w:pPr>
        <w:pStyle w:val="3"/>
        <w:spacing w:line="400" w:lineRule="exact"/>
        <w:ind w:left="108"/>
      </w:pPr>
      <w:r>
        <w:t>（街）、部门年度工作目标责任制考核内容。</w:t>
      </w:r>
    </w:p>
    <w:p>
      <w:pPr>
        <w:pStyle w:val="3"/>
        <w:spacing w:before="141" w:line="328" w:lineRule="auto"/>
        <w:ind w:left="108" w:right="346" w:firstLine="638"/>
        <w:jc w:val="both"/>
      </w:pPr>
      <w:r>
        <w:rPr>
          <w:w w:val="95"/>
        </w:rPr>
        <w:t>（四）加大宣传力度。各镇（街）、部门要加大对工业企</w:t>
      </w:r>
      <w:r>
        <w:rPr>
          <w:spacing w:val="43"/>
          <w:w w:val="95"/>
        </w:rPr>
        <w:t xml:space="preserve"> </w:t>
      </w:r>
      <w:r>
        <w:rPr>
          <w:w w:val="95"/>
        </w:rPr>
        <w:t>业“亩产效益”评价改革工作的宣传力度，积极做好有关评价</w:t>
      </w:r>
      <w:r>
        <w:rPr>
          <w:spacing w:val="73"/>
          <w:w w:val="95"/>
        </w:rPr>
        <w:t xml:space="preserve"> </w:t>
      </w:r>
      <w:r>
        <w:rPr>
          <w:w w:val="95"/>
        </w:rPr>
        <w:t>指标、政策措施的解读说明。积极通过报刊、电视、网络等媒</w:t>
      </w:r>
      <w:r>
        <w:rPr>
          <w:spacing w:val="73"/>
          <w:w w:val="95"/>
        </w:rPr>
        <w:t xml:space="preserve"> </w:t>
      </w:r>
      <w:r>
        <w:rPr>
          <w:w w:val="95"/>
        </w:rPr>
        <w:t>体广泛宣传工作进展，积极做好企业宣传，充分发挥企业的主</w:t>
      </w:r>
      <w:r>
        <w:rPr>
          <w:spacing w:val="57"/>
          <w:w w:val="95"/>
        </w:rPr>
        <w:t xml:space="preserve"> </w:t>
      </w:r>
      <w:r>
        <w:t>观能动性，认真听取企业建议，形成合力，营造良好的氛围。</w:t>
      </w:r>
    </w:p>
    <w:p>
      <w:pPr>
        <w:pStyle w:val="3"/>
        <w:spacing w:line="400" w:lineRule="exact"/>
        <w:ind w:left="747"/>
      </w:pPr>
      <w:r>
        <w:t>五、其他</w:t>
      </w:r>
    </w:p>
    <w:p>
      <w:pPr>
        <w:pStyle w:val="3"/>
        <w:spacing w:before="152"/>
        <w:ind w:left="747"/>
      </w:pPr>
      <w:r>
        <w:rPr>
          <w:w w:val="95"/>
        </w:rPr>
        <w:t>本方案自发文之日起开始施行，原《山亭区工业企业分类</w:t>
      </w:r>
    </w:p>
    <w:p>
      <w:pPr>
        <w:spacing w:after="0"/>
        <w:sectPr>
          <w:pgSz w:w="11910" w:h="16840"/>
          <w:pgMar w:top="1580" w:right="1240" w:bottom="1300" w:left="1480" w:header="0" w:footer="1118" w:gutter="0"/>
        </w:sectPr>
      </w:pPr>
    </w:p>
    <w:p>
      <w:pPr>
        <w:pStyle w:val="3"/>
        <w:rPr>
          <w:sz w:val="20"/>
        </w:rPr>
      </w:pPr>
    </w:p>
    <w:p>
      <w:pPr>
        <w:pStyle w:val="3"/>
        <w:spacing w:before="11"/>
        <w:rPr>
          <w:sz w:val="24"/>
        </w:rPr>
      </w:pPr>
    </w:p>
    <w:p>
      <w:pPr>
        <w:pStyle w:val="3"/>
        <w:spacing w:before="54" w:line="328" w:lineRule="auto"/>
        <w:ind w:left="108" w:right="346"/>
        <w:jc w:val="both"/>
      </w:pPr>
      <w:r>
        <w:rPr>
          <w:w w:val="95"/>
        </w:rPr>
        <w:t>综合评价实施方案》（山政发〔2020〕1</w:t>
      </w:r>
      <w:r>
        <w:rPr>
          <w:spacing w:val="229"/>
        </w:rPr>
        <w:t xml:space="preserve"> </w:t>
      </w:r>
      <w:r>
        <w:rPr>
          <w:w w:val="95"/>
        </w:rPr>
        <w:t>号）废止。要素资源差别化配置政策措施的实施周期以工业企业综合绩效评价的工</w:t>
      </w:r>
      <w:r>
        <w:rPr>
          <w:spacing w:val="73"/>
          <w:w w:val="95"/>
        </w:rPr>
        <w:t xml:space="preserve"> </w:t>
      </w:r>
      <w:r>
        <w:rPr>
          <w:w w:val="95"/>
        </w:rPr>
        <w:t>作周期为准，即从当年度评价结果公布之日起，至下年度评价</w:t>
      </w:r>
      <w:r>
        <w:rPr>
          <w:spacing w:val="73"/>
          <w:w w:val="95"/>
        </w:rPr>
        <w:t xml:space="preserve"> </w:t>
      </w:r>
      <w:r>
        <w:rPr>
          <w:w w:val="95"/>
        </w:rPr>
        <w:t>结果公布之日止。本实施方案由区工业企业“亩产效益”评价</w:t>
      </w:r>
      <w:r>
        <w:rPr>
          <w:spacing w:val="73"/>
          <w:w w:val="95"/>
        </w:rPr>
        <w:t xml:space="preserve"> </w:t>
      </w:r>
      <w:r>
        <w:rPr>
          <w:w w:val="95"/>
        </w:rPr>
        <w:t>改革工作领导小组负责解释，并根据省、市政策变化及我区实</w:t>
      </w:r>
      <w:r>
        <w:rPr>
          <w:spacing w:val="57"/>
          <w:w w:val="95"/>
        </w:rPr>
        <w:t xml:space="preserve"> </w:t>
      </w:r>
      <w:r>
        <w:t>际予以修订完善。</w:t>
      </w:r>
    </w:p>
    <w:p>
      <w:pPr>
        <w:pStyle w:val="3"/>
        <w:spacing w:before="11"/>
        <w:rPr>
          <w:sz w:val="42"/>
        </w:rPr>
      </w:pPr>
    </w:p>
    <w:p>
      <w:pPr>
        <w:pStyle w:val="3"/>
        <w:spacing w:line="326" w:lineRule="auto"/>
        <w:ind w:left="1714" w:right="353" w:hanging="968"/>
      </w:pPr>
      <w:r>
        <w:rPr>
          <w:w w:val="95"/>
        </w:rPr>
        <w:t>附件：1</w:t>
      </w:r>
      <w:r>
        <w:rPr>
          <w:spacing w:val="-65"/>
          <w:w w:val="95"/>
        </w:rPr>
        <w:t>.山亭区工业企业“亩产效益”评价改革工作领导小组成员名单</w:t>
      </w:r>
      <w:r>
        <w:rPr>
          <w:spacing w:val="1"/>
          <w:w w:val="95"/>
        </w:rPr>
        <w:t xml:space="preserve"> </w:t>
      </w:r>
      <w:r>
        <w:rPr>
          <w:spacing w:val="-15"/>
        </w:rPr>
        <w:t>2</w:t>
      </w:r>
      <w:r>
        <w:rPr>
          <w:spacing w:val="-28"/>
        </w:rPr>
        <w:t>.山亭区工业企业“亩产效益”评价改革部门工作内容</w:t>
      </w:r>
    </w:p>
    <w:p>
      <w:pPr>
        <w:spacing w:after="0" w:line="326" w:lineRule="auto"/>
        <w:sectPr>
          <w:pgSz w:w="11910" w:h="16840"/>
          <w:pgMar w:top="1580" w:right="1240" w:bottom="1300" w:left="1480" w:header="0" w:footer="1118" w:gutter="0"/>
        </w:sectPr>
      </w:pPr>
    </w:p>
    <w:p>
      <w:pPr>
        <w:pStyle w:val="3"/>
        <w:rPr>
          <w:sz w:val="20"/>
        </w:rPr>
      </w:pPr>
    </w:p>
    <w:p>
      <w:pPr>
        <w:pStyle w:val="3"/>
        <w:rPr>
          <w:sz w:val="20"/>
        </w:rPr>
      </w:pPr>
    </w:p>
    <w:p>
      <w:pPr>
        <w:pStyle w:val="3"/>
        <w:rPr>
          <w:sz w:val="20"/>
        </w:rPr>
      </w:pPr>
    </w:p>
    <w:p>
      <w:pPr>
        <w:pStyle w:val="3"/>
        <w:spacing w:before="9"/>
        <w:rPr>
          <w:sz w:val="27"/>
        </w:rPr>
      </w:pPr>
    </w:p>
    <w:p>
      <w:pPr>
        <w:pStyle w:val="3"/>
        <w:spacing w:before="65"/>
        <w:ind w:left="108"/>
        <w:rPr>
          <w:rFonts w:ascii="Times New Roman" w:eastAsia="Times New Roman"/>
        </w:rPr>
      </w:pPr>
      <w:r>
        <w:rPr>
          <w:color w:val="000033"/>
          <w:spacing w:val="-12"/>
          <w:w w:val="95"/>
        </w:rPr>
        <w:t xml:space="preserve">附件 </w:t>
      </w:r>
      <w:r>
        <w:rPr>
          <w:rFonts w:ascii="Times New Roman" w:eastAsia="Times New Roman"/>
          <w:color w:val="000033"/>
          <w:w w:val="95"/>
        </w:rPr>
        <w:t>1</w:t>
      </w:r>
    </w:p>
    <w:p>
      <w:pPr>
        <w:pStyle w:val="3"/>
        <w:rPr>
          <w:rFonts w:ascii="Times New Roman"/>
          <w:sz w:val="34"/>
        </w:rPr>
      </w:pPr>
    </w:p>
    <w:p>
      <w:pPr>
        <w:pStyle w:val="2"/>
        <w:spacing w:before="201" w:line="237" w:lineRule="auto"/>
        <w:ind w:left="2712" w:hanging="2420"/>
      </w:pPr>
      <w:r>
        <w:rPr>
          <w:w w:val="95"/>
        </w:rPr>
        <w:t>山亭区工业企业“亩产效益”评价改革工作</w:t>
      </w:r>
      <w:r>
        <w:t>领导小组成员名单</w:t>
      </w:r>
    </w:p>
    <w:p>
      <w:pPr>
        <w:pStyle w:val="3"/>
        <w:spacing w:before="3"/>
        <w:rPr>
          <w:sz w:val="53"/>
        </w:rPr>
      </w:pPr>
    </w:p>
    <w:p>
      <w:pPr>
        <w:pStyle w:val="3"/>
        <w:ind w:left="747"/>
        <w:jc w:val="both"/>
      </w:pPr>
      <w:r>
        <w:rPr>
          <w:spacing w:val="18"/>
        </w:rPr>
        <w:t>组 长：王德海 区委副书记、区政府党组书记</w:t>
      </w:r>
    </w:p>
    <w:p>
      <w:pPr>
        <w:pStyle w:val="3"/>
        <w:spacing w:before="149"/>
        <w:ind w:left="751"/>
        <w:jc w:val="both"/>
      </w:pPr>
      <w:r>
        <w:rPr>
          <w:spacing w:val="31"/>
        </w:rPr>
        <w:t>副组长：李 峰 区政府副区长</w:t>
      </w:r>
    </w:p>
    <w:p>
      <w:pPr>
        <w:pStyle w:val="3"/>
        <w:spacing w:before="150" w:line="328" w:lineRule="auto"/>
        <w:ind w:left="2026" w:right="1875" w:hanging="1280"/>
        <w:jc w:val="both"/>
      </w:pPr>
      <w:r>
        <w:rPr>
          <w:spacing w:val="11"/>
        </w:rPr>
        <w:t>成 员：褚福涛 山亭经济开发区党工委委员</w:t>
      </w:r>
      <w:r>
        <w:rPr>
          <w:spacing w:val="14"/>
        </w:rPr>
        <w:t>刘 翔 区发改局局长</w:t>
      </w:r>
    </w:p>
    <w:p>
      <w:pPr>
        <w:pStyle w:val="3"/>
        <w:spacing w:line="328" w:lineRule="auto"/>
        <w:ind w:left="2026" w:right="3795" w:firstLine="2"/>
        <w:jc w:val="both"/>
      </w:pPr>
      <w:r>
        <w:rPr>
          <w:spacing w:val="12"/>
        </w:rPr>
        <w:t>张开耀 区科技局局长周忠辉 区工信局局长王洪斌 区财政局局长</w:t>
      </w:r>
      <w:r>
        <w:rPr>
          <w:spacing w:val="28"/>
        </w:rPr>
        <w:t>李永平 区人社局局长</w:t>
      </w:r>
    </w:p>
    <w:p>
      <w:pPr>
        <w:pStyle w:val="3"/>
        <w:spacing w:line="328" w:lineRule="auto"/>
        <w:ind w:left="2028" w:right="3157"/>
        <w:jc w:val="both"/>
      </w:pPr>
      <w:r>
        <w:rPr>
          <w:spacing w:val="22"/>
        </w:rPr>
        <w:t>张 亚 区自然资源局局长</w:t>
      </w:r>
      <w:r>
        <w:rPr>
          <w:spacing w:val="9"/>
        </w:rPr>
        <w:t>杨国华 区城乡水务局局长</w:t>
      </w:r>
      <w:r>
        <w:rPr>
          <w:spacing w:val="22"/>
        </w:rPr>
        <w:t>张永龙 区应急管理局局长</w:t>
      </w:r>
    </w:p>
    <w:p>
      <w:pPr>
        <w:pStyle w:val="3"/>
        <w:tabs>
          <w:tab w:val="left" w:pos="3468"/>
        </w:tabs>
        <w:spacing w:line="328" w:lineRule="auto"/>
        <w:ind w:left="2028" w:right="2518"/>
      </w:pPr>
      <w:r>
        <w:t>王海龙</w:t>
      </w:r>
      <w:r>
        <w:tab/>
      </w:r>
      <w:r>
        <w:rPr>
          <w:spacing w:val="-1"/>
        </w:rPr>
        <w:t>区行政审批</w:t>
      </w:r>
      <w:r>
        <w:t>服务局局长张延鹏</w:t>
      </w:r>
      <w:r>
        <w:tab/>
      </w:r>
      <w:r>
        <w:t>区市场监管局局长</w:t>
      </w:r>
    </w:p>
    <w:p>
      <w:pPr>
        <w:pStyle w:val="3"/>
        <w:tabs>
          <w:tab w:val="left" w:pos="3468"/>
        </w:tabs>
        <w:spacing w:line="407" w:lineRule="exact"/>
        <w:ind w:left="2028"/>
      </w:pPr>
      <w:r>
        <w:t>李</w:t>
      </w:r>
      <w:r>
        <w:rPr>
          <w:spacing w:val="157"/>
        </w:rPr>
        <w:t xml:space="preserve"> </w:t>
      </w:r>
      <w:r>
        <w:t>平</w:t>
      </w:r>
      <w:r>
        <w:tab/>
      </w:r>
      <w:r>
        <w:rPr>
          <w:w w:val="95"/>
        </w:rPr>
        <w:t>区统计局局长</w:t>
      </w:r>
    </w:p>
    <w:p>
      <w:pPr>
        <w:pStyle w:val="3"/>
        <w:tabs>
          <w:tab w:val="left" w:pos="3468"/>
        </w:tabs>
        <w:spacing w:before="133" w:line="328" w:lineRule="auto"/>
        <w:ind w:left="2028" w:right="2835"/>
      </w:pPr>
      <w:r>
        <w:t>王</w:t>
      </w:r>
      <w:r>
        <w:rPr>
          <w:spacing w:val="157"/>
        </w:rPr>
        <w:t xml:space="preserve"> </w:t>
      </w:r>
      <w:r>
        <w:t>斌</w:t>
      </w:r>
      <w:r>
        <w:tab/>
      </w:r>
      <w:r>
        <w:rPr>
          <w:spacing w:val="-1"/>
        </w:rPr>
        <w:t>区生</w:t>
      </w:r>
      <w:r>
        <w:t>态环境分局局长倪祥平</w:t>
      </w:r>
      <w:r>
        <w:tab/>
      </w:r>
      <w:r>
        <w:t>区税务局局长</w:t>
      </w:r>
    </w:p>
    <w:p>
      <w:pPr>
        <w:spacing w:after="0" w:line="328" w:lineRule="auto"/>
        <w:sectPr>
          <w:pgSz w:w="11910" w:h="16840"/>
          <w:pgMar w:top="1580" w:right="1240" w:bottom="1300" w:left="1480" w:header="0" w:footer="1118" w:gutter="0"/>
        </w:sectPr>
      </w:pPr>
    </w:p>
    <w:p>
      <w:pPr>
        <w:pStyle w:val="3"/>
        <w:rPr>
          <w:sz w:val="20"/>
        </w:rPr>
      </w:pPr>
    </w:p>
    <w:p>
      <w:pPr>
        <w:pStyle w:val="3"/>
        <w:spacing w:before="2"/>
        <w:rPr>
          <w:sz w:val="23"/>
        </w:rPr>
      </w:pPr>
    </w:p>
    <w:p>
      <w:pPr>
        <w:pStyle w:val="3"/>
        <w:tabs>
          <w:tab w:val="left" w:pos="3468"/>
        </w:tabs>
        <w:spacing w:before="55" w:line="376" w:lineRule="auto"/>
        <w:ind w:left="2028" w:right="3157"/>
      </w:pPr>
      <w:r>
        <w:t>田</w:t>
      </w:r>
      <w:r>
        <w:rPr>
          <w:spacing w:val="157"/>
        </w:rPr>
        <w:t xml:space="preserve"> </w:t>
      </w:r>
      <w:r>
        <w:t>伟</w:t>
      </w:r>
      <w:r>
        <w:tab/>
      </w:r>
      <w:r>
        <w:rPr>
          <w:spacing w:val="-1"/>
        </w:rPr>
        <w:t>区公安分</w:t>
      </w:r>
      <w:r>
        <w:t>局副局长付清文</w:t>
      </w:r>
      <w:r>
        <w:tab/>
      </w:r>
      <w:r>
        <w:t>区法院副院长</w:t>
      </w:r>
    </w:p>
    <w:p>
      <w:pPr>
        <w:pStyle w:val="3"/>
        <w:tabs>
          <w:tab w:val="left" w:pos="3468"/>
        </w:tabs>
        <w:spacing w:line="327" w:lineRule="exact"/>
        <w:ind w:left="2028"/>
      </w:pPr>
      <w:r>
        <w:t>楚</w:t>
      </w:r>
      <w:r>
        <w:rPr>
          <w:spacing w:val="157"/>
        </w:rPr>
        <w:t xml:space="preserve"> </w:t>
      </w:r>
      <w:r>
        <w:t>斐</w:t>
      </w:r>
      <w:r>
        <w:tab/>
      </w:r>
      <w:r>
        <w:t>区金融服务中心主任</w:t>
      </w:r>
    </w:p>
    <w:p>
      <w:pPr>
        <w:pStyle w:val="3"/>
        <w:tabs>
          <w:tab w:val="left" w:pos="3468"/>
        </w:tabs>
        <w:spacing w:before="149"/>
        <w:ind w:left="2028"/>
      </w:pPr>
      <w:r>
        <w:t>施宏图</w:t>
      </w:r>
      <w:r>
        <w:tab/>
      </w:r>
      <w:r>
        <w:t>山亭供电部主任</w:t>
      </w:r>
    </w:p>
    <w:p>
      <w:pPr>
        <w:pStyle w:val="3"/>
        <w:tabs>
          <w:tab w:val="left" w:pos="3468"/>
        </w:tabs>
        <w:spacing w:before="151" w:line="326" w:lineRule="auto"/>
        <w:ind w:left="2028" w:right="2837"/>
      </w:pPr>
      <w:r>
        <w:t>贾继勇</w:t>
      </w:r>
      <w:r>
        <w:tab/>
      </w:r>
      <w:r>
        <w:rPr>
          <w:spacing w:val="-1"/>
        </w:rPr>
        <w:t>山城街道</w:t>
      </w:r>
      <w:r>
        <w:t>办事处主任徐</w:t>
      </w:r>
      <w:r>
        <w:rPr>
          <w:spacing w:val="157"/>
        </w:rPr>
        <w:t xml:space="preserve"> </w:t>
      </w:r>
      <w:r>
        <w:t>伟</w:t>
      </w:r>
      <w:r>
        <w:tab/>
      </w:r>
      <w:r>
        <w:t>西集镇镇长</w:t>
      </w:r>
    </w:p>
    <w:p>
      <w:pPr>
        <w:pStyle w:val="3"/>
        <w:spacing w:before="4" w:line="328" w:lineRule="auto"/>
        <w:ind w:left="2028" w:right="4117"/>
        <w:jc w:val="both"/>
      </w:pPr>
      <w:r>
        <w:rPr>
          <w:spacing w:val="14"/>
        </w:rPr>
        <w:t>陈荣阔 桑村镇镇长</w:t>
      </w:r>
      <w:r>
        <w:rPr>
          <w:spacing w:val="32"/>
        </w:rPr>
        <w:t>刘 敏 城头镇镇长</w:t>
      </w:r>
      <w:r>
        <w:rPr>
          <w:spacing w:val="14"/>
        </w:rPr>
        <w:t>颜世鹏 冯卯镇镇长</w:t>
      </w:r>
      <w:r>
        <w:rPr>
          <w:spacing w:val="32"/>
        </w:rPr>
        <w:t>王 涛 店子镇镇长李 岩 水泉镇镇长</w:t>
      </w:r>
      <w:r>
        <w:rPr>
          <w:spacing w:val="14"/>
        </w:rPr>
        <w:t>刘建华 徐庄镇镇长</w:t>
      </w:r>
      <w:r>
        <w:rPr>
          <w:spacing w:val="32"/>
        </w:rPr>
        <w:t>白 涛 北庄镇镇长姚东伟 凫城镇镇长</w:t>
      </w:r>
    </w:p>
    <w:p>
      <w:pPr>
        <w:pStyle w:val="3"/>
        <w:spacing w:line="397" w:lineRule="exact"/>
        <w:ind w:left="747"/>
      </w:pPr>
      <w:r>
        <w:rPr>
          <w:w w:val="95"/>
        </w:rPr>
        <w:t>领导小组下设办公室，办公室设在区工信局，周忠辉同志</w:t>
      </w:r>
    </w:p>
    <w:p>
      <w:pPr>
        <w:pStyle w:val="3"/>
        <w:spacing w:before="149"/>
        <w:ind w:left="108"/>
      </w:pPr>
      <w:r>
        <w:t>兼任办公室主任，负责领导小组日常工作。</w:t>
      </w:r>
    </w:p>
    <w:p>
      <w:pPr>
        <w:spacing w:after="0"/>
        <w:sectPr>
          <w:pgSz w:w="11910" w:h="16840"/>
          <w:pgMar w:top="1580" w:right="1240" w:bottom="1300" w:left="1480" w:header="0" w:footer="1118" w:gutter="0"/>
        </w:sectPr>
      </w:pPr>
    </w:p>
    <w:p>
      <w:pPr>
        <w:pStyle w:val="3"/>
        <w:rPr>
          <w:sz w:val="20"/>
        </w:rPr>
      </w:pPr>
    </w:p>
    <w:p>
      <w:pPr>
        <w:pStyle w:val="3"/>
        <w:rPr>
          <w:sz w:val="25"/>
        </w:rPr>
      </w:pPr>
    </w:p>
    <w:p>
      <w:pPr>
        <w:spacing w:after="0"/>
        <w:rPr>
          <w:sz w:val="25"/>
        </w:rPr>
        <w:sectPr>
          <w:footerReference r:id="rId4" w:type="default"/>
          <w:pgSz w:w="16840" w:h="11910" w:orient="landscape"/>
          <w:pgMar w:top="1100" w:right="800" w:bottom="1080" w:left="800" w:header="0" w:footer="897" w:gutter="0"/>
        </w:sectPr>
      </w:pPr>
    </w:p>
    <w:p>
      <w:pPr>
        <w:pStyle w:val="3"/>
        <w:spacing w:before="65"/>
        <w:ind w:left="640"/>
        <w:rPr>
          <w:rFonts w:ascii="Times New Roman" w:eastAsia="Times New Roman"/>
        </w:rPr>
      </w:pPr>
      <w:r>
        <w:rPr>
          <w:color w:val="000033"/>
          <w:spacing w:val="-12"/>
          <w:w w:val="95"/>
        </w:rPr>
        <w:t xml:space="preserve">附件 </w:t>
      </w:r>
      <w:r>
        <w:rPr>
          <w:rFonts w:ascii="Times New Roman" w:eastAsia="Times New Roman"/>
          <w:color w:val="000033"/>
          <w:w w:val="95"/>
        </w:rPr>
        <w:t>2</w:t>
      </w:r>
    </w:p>
    <w:p>
      <w:pPr>
        <w:pStyle w:val="3"/>
        <w:spacing w:before="1"/>
        <w:rPr>
          <w:rFonts w:ascii="Times New Roman"/>
          <w:sz w:val="47"/>
        </w:rPr>
      </w:pPr>
      <w:r>
        <w:br w:type="column"/>
      </w:r>
    </w:p>
    <w:p>
      <w:pPr>
        <w:pStyle w:val="2"/>
        <w:ind w:right="0" w:firstLine="0"/>
      </w:pPr>
      <w:r>
        <w:t>山亭区工业企业“亩产效益”评价改革部门工作内容</w:t>
      </w:r>
    </w:p>
    <w:p>
      <w:pPr>
        <w:spacing w:after="0"/>
        <w:sectPr>
          <w:type w:val="continuous"/>
          <w:pgSz w:w="16840" w:h="11910" w:orient="landscape"/>
          <w:pgMar w:top="1580" w:right="800" w:bottom="280" w:left="800" w:header="720" w:footer="720" w:gutter="0"/>
          <w:cols w:equalWidth="0" w:num="2">
            <w:col w:w="1560" w:space="360"/>
            <w:col w:w="13320"/>
          </w:cols>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5"/>
        <w:gridCol w:w="1530"/>
        <w:gridCol w:w="5437"/>
        <w:gridCol w:w="6463"/>
        <w:gridCol w:w="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5" w:hRule="atLeast"/>
        </w:trPr>
        <w:tc>
          <w:tcPr>
            <w:tcW w:w="605" w:type="dxa"/>
          </w:tcPr>
          <w:p>
            <w:pPr>
              <w:pStyle w:val="8"/>
              <w:spacing w:before="150" w:line="180" w:lineRule="auto"/>
              <w:ind w:left="180" w:right="162"/>
              <w:rPr>
                <w:rFonts w:hint="eastAsia" w:ascii="Microsoft YaHei UI" w:eastAsia="Microsoft YaHei UI"/>
                <w:b/>
                <w:sz w:val="24"/>
              </w:rPr>
            </w:pPr>
            <w:r>
              <w:rPr>
                <w:rFonts w:hint="eastAsia" w:ascii="Microsoft YaHei UI" w:eastAsia="Microsoft YaHei UI"/>
                <w:b/>
                <w:sz w:val="24"/>
              </w:rPr>
              <w:t>序号</w:t>
            </w:r>
          </w:p>
        </w:tc>
        <w:tc>
          <w:tcPr>
            <w:tcW w:w="1530" w:type="dxa"/>
          </w:tcPr>
          <w:p>
            <w:pPr>
              <w:pStyle w:val="8"/>
              <w:spacing w:before="74" w:line="373" w:lineRule="exact"/>
              <w:ind w:left="223"/>
              <w:rPr>
                <w:rFonts w:hint="eastAsia" w:ascii="Microsoft YaHei UI" w:eastAsia="Microsoft YaHei UI"/>
                <w:b/>
                <w:sz w:val="24"/>
              </w:rPr>
            </w:pPr>
            <w:r>
              <w:rPr>
                <w:rFonts w:hint="eastAsia" w:ascii="Microsoft YaHei UI" w:eastAsia="Microsoft YaHei UI"/>
                <w:b/>
                <w:sz w:val="24"/>
              </w:rPr>
              <w:t>部门/乡镇</w:t>
            </w:r>
          </w:p>
          <w:p>
            <w:pPr>
              <w:pStyle w:val="8"/>
              <w:spacing w:line="373" w:lineRule="exact"/>
              <w:ind w:left="283"/>
              <w:rPr>
                <w:rFonts w:hint="eastAsia" w:ascii="Microsoft YaHei UI" w:eastAsia="Microsoft YaHei UI"/>
                <w:b/>
                <w:sz w:val="24"/>
              </w:rPr>
            </w:pPr>
            <w:r>
              <w:rPr>
                <w:rFonts w:hint="eastAsia" w:ascii="Microsoft YaHei UI" w:eastAsia="Microsoft YaHei UI"/>
                <w:b/>
                <w:sz w:val="24"/>
              </w:rPr>
              <w:t>（街道）</w:t>
            </w:r>
          </w:p>
        </w:tc>
        <w:tc>
          <w:tcPr>
            <w:tcW w:w="5437" w:type="dxa"/>
          </w:tcPr>
          <w:p>
            <w:pPr>
              <w:pStyle w:val="8"/>
              <w:spacing w:before="4"/>
              <w:rPr>
                <w:sz w:val="18"/>
              </w:rPr>
            </w:pPr>
          </w:p>
          <w:p>
            <w:pPr>
              <w:pStyle w:val="8"/>
              <w:ind w:left="2219" w:right="2198"/>
              <w:jc w:val="center"/>
              <w:rPr>
                <w:rFonts w:hint="eastAsia" w:ascii="Microsoft YaHei UI" w:eastAsia="Microsoft YaHei UI"/>
                <w:b/>
                <w:sz w:val="24"/>
              </w:rPr>
            </w:pPr>
            <w:r>
              <w:rPr>
                <w:rFonts w:hint="eastAsia" w:ascii="Microsoft YaHei UI" w:eastAsia="Microsoft YaHei UI"/>
                <w:b/>
                <w:sz w:val="24"/>
              </w:rPr>
              <w:t>工作职责</w:t>
            </w:r>
          </w:p>
        </w:tc>
        <w:tc>
          <w:tcPr>
            <w:tcW w:w="6463" w:type="dxa"/>
          </w:tcPr>
          <w:p>
            <w:pPr>
              <w:pStyle w:val="8"/>
              <w:spacing w:before="4"/>
              <w:rPr>
                <w:sz w:val="18"/>
              </w:rPr>
            </w:pPr>
          </w:p>
          <w:p>
            <w:pPr>
              <w:pStyle w:val="8"/>
              <w:ind w:left="2731" w:right="2711"/>
              <w:jc w:val="center"/>
              <w:rPr>
                <w:rFonts w:hint="eastAsia" w:ascii="Microsoft YaHei UI" w:eastAsia="Microsoft YaHei UI"/>
                <w:b/>
                <w:sz w:val="24"/>
              </w:rPr>
            </w:pPr>
            <w:r>
              <w:rPr>
                <w:rFonts w:hint="eastAsia" w:ascii="Microsoft YaHei UI" w:eastAsia="Microsoft YaHei UI"/>
                <w:b/>
                <w:sz w:val="24"/>
              </w:rPr>
              <w:t>具体内容</w:t>
            </w:r>
          </w:p>
        </w:tc>
        <w:tc>
          <w:tcPr>
            <w:tcW w:w="947" w:type="dxa"/>
          </w:tcPr>
          <w:p>
            <w:pPr>
              <w:pStyle w:val="8"/>
              <w:spacing w:before="4"/>
              <w:rPr>
                <w:sz w:val="18"/>
              </w:rPr>
            </w:pPr>
          </w:p>
          <w:p>
            <w:pPr>
              <w:pStyle w:val="8"/>
              <w:ind w:left="233"/>
              <w:rPr>
                <w:rFonts w:hint="eastAsia" w:ascii="Microsoft YaHei UI" w:eastAsia="Microsoft YaHei UI"/>
                <w:b/>
                <w:sz w:val="24"/>
              </w:rPr>
            </w:pPr>
            <w:r>
              <w:rPr>
                <w:rFonts w:hint="eastAsia" w:ascii="Microsoft YaHei UI" w:eastAsia="Microsoft YaHei UI"/>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2" w:hRule="atLeast"/>
        </w:trPr>
        <w:tc>
          <w:tcPr>
            <w:tcW w:w="605" w:type="dxa"/>
          </w:tcPr>
          <w:p>
            <w:pPr>
              <w:pStyle w:val="8"/>
              <w:rPr>
                <w:sz w:val="24"/>
              </w:rPr>
            </w:pPr>
          </w:p>
          <w:p>
            <w:pPr>
              <w:pStyle w:val="8"/>
              <w:spacing w:before="9"/>
              <w:rPr>
                <w:sz w:val="22"/>
              </w:rPr>
            </w:pPr>
          </w:p>
          <w:p>
            <w:pPr>
              <w:pStyle w:val="8"/>
              <w:ind w:left="15"/>
              <w:jc w:val="center"/>
              <w:rPr>
                <w:sz w:val="24"/>
              </w:rPr>
            </w:pPr>
            <w:r>
              <w:rPr>
                <w:sz w:val="24"/>
              </w:rPr>
              <w:t>1</w:t>
            </w:r>
          </w:p>
        </w:tc>
        <w:tc>
          <w:tcPr>
            <w:tcW w:w="1530" w:type="dxa"/>
          </w:tcPr>
          <w:p>
            <w:pPr>
              <w:pStyle w:val="8"/>
              <w:rPr>
                <w:sz w:val="24"/>
              </w:rPr>
            </w:pPr>
          </w:p>
          <w:p>
            <w:pPr>
              <w:pStyle w:val="8"/>
              <w:spacing w:before="9"/>
              <w:rPr>
                <w:sz w:val="22"/>
              </w:rPr>
            </w:pPr>
          </w:p>
          <w:p>
            <w:pPr>
              <w:pStyle w:val="8"/>
              <w:ind w:right="264"/>
              <w:jc w:val="right"/>
              <w:rPr>
                <w:sz w:val="24"/>
              </w:rPr>
            </w:pPr>
            <w:r>
              <w:rPr>
                <w:sz w:val="24"/>
              </w:rPr>
              <w:t>区工信局</w:t>
            </w:r>
          </w:p>
        </w:tc>
        <w:tc>
          <w:tcPr>
            <w:tcW w:w="5437" w:type="dxa"/>
          </w:tcPr>
          <w:p>
            <w:pPr>
              <w:pStyle w:val="8"/>
              <w:spacing w:before="2"/>
              <w:rPr>
                <w:sz w:val="34"/>
              </w:rPr>
            </w:pPr>
          </w:p>
          <w:p>
            <w:pPr>
              <w:pStyle w:val="8"/>
              <w:spacing w:line="249" w:lineRule="auto"/>
              <w:ind w:left="106" w:right="269"/>
              <w:rPr>
                <w:sz w:val="24"/>
              </w:rPr>
            </w:pPr>
            <w:r>
              <w:rPr>
                <w:spacing w:val="-1"/>
                <w:sz w:val="24"/>
              </w:rPr>
              <w:t>负责汇总、计算、分类，并将评价结果提供各有</w:t>
            </w:r>
            <w:r>
              <w:rPr>
                <w:sz w:val="24"/>
              </w:rPr>
              <w:t>关部门</w:t>
            </w:r>
          </w:p>
        </w:tc>
        <w:tc>
          <w:tcPr>
            <w:tcW w:w="6463" w:type="dxa"/>
          </w:tcPr>
          <w:p>
            <w:pPr>
              <w:pStyle w:val="8"/>
              <w:spacing w:before="10"/>
              <w:rPr>
                <w:sz w:val="21"/>
              </w:rPr>
            </w:pPr>
          </w:p>
          <w:p>
            <w:pPr>
              <w:pStyle w:val="8"/>
              <w:spacing w:line="249" w:lineRule="auto"/>
              <w:ind w:left="108" w:right="92"/>
              <w:jc w:val="both"/>
              <w:rPr>
                <w:sz w:val="24"/>
              </w:rPr>
            </w:pPr>
            <w:r>
              <w:rPr>
                <w:spacing w:val="-1"/>
                <w:sz w:val="24"/>
              </w:rPr>
              <w:t>负责汇总各部门提供的数据、“一企一技术”研发中心、实施“机器换人”“零增地”技术改造项目的、被认定为“瞪</w:t>
            </w:r>
            <w:r>
              <w:rPr>
                <w:sz w:val="24"/>
              </w:rPr>
              <w:t>羚企业” “专精特新”中小企业、“隐形冠军”企业</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3" w:hRule="atLeast"/>
        </w:trPr>
        <w:tc>
          <w:tcPr>
            <w:tcW w:w="605" w:type="dxa"/>
          </w:tcPr>
          <w:p>
            <w:pPr>
              <w:pStyle w:val="8"/>
              <w:rPr>
                <w:sz w:val="24"/>
              </w:rPr>
            </w:pPr>
          </w:p>
          <w:p>
            <w:pPr>
              <w:pStyle w:val="8"/>
              <w:spacing w:before="4"/>
              <w:rPr>
                <w:sz w:val="24"/>
              </w:rPr>
            </w:pPr>
          </w:p>
          <w:p>
            <w:pPr>
              <w:pStyle w:val="8"/>
              <w:ind w:left="15"/>
              <w:jc w:val="center"/>
              <w:rPr>
                <w:sz w:val="24"/>
              </w:rPr>
            </w:pPr>
            <w:r>
              <w:rPr>
                <w:sz w:val="24"/>
              </w:rPr>
              <w:t>2</w:t>
            </w:r>
          </w:p>
        </w:tc>
        <w:tc>
          <w:tcPr>
            <w:tcW w:w="1530" w:type="dxa"/>
          </w:tcPr>
          <w:p>
            <w:pPr>
              <w:pStyle w:val="8"/>
              <w:rPr>
                <w:sz w:val="24"/>
              </w:rPr>
            </w:pPr>
          </w:p>
          <w:p>
            <w:pPr>
              <w:pStyle w:val="8"/>
              <w:spacing w:before="4"/>
              <w:rPr>
                <w:sz w:val="24"/>
              </w:rPr>
            </w:pPr>
          </w:p>
          <w:p>
            <w:pPr>
              <w:pStyle w:val="8"/>
              <w:ind w:right="264"/>
              <w:jc w:val="right"/>
              <w:rPr>
                <w:sz w:val="24"/>
              </w:rPr>
            </w:pPr>
            <w:r>
              <w:rPr>
                <w:sz w:val="24"/>
              </w:rPr>
              <w:t>区组织部</w:t>
            </w:r>
          </w:p>
        </w:tc>
        <w:tc>
          <w:tcPr>
            <w:tcW w:w="5437" w:type="dxa"/>
          </w:tcPr>
          <w:p>
            <w:pPr>
              <w:pStyle w:val="8"/>
              <w:rPr>
                <w:sz w:val="24"/>
              </w:rPr>
            </w:pPr>
          </w:p>
          <w:p>
            <w:pPr>
              <w:pStyle w:val="8"/>
              <w:spacing w:before="4"/>
              <w:rPr>
                <w:sz w:val="24"/>
              </w:rPr>
            </w:pPr>
          </w:p>
          <w:p>
            <w:pPr>
              <w:pStyle w:val="8"/>
              <w:ind w:left="106"/>
              <w:rPr>
                <w:sz w:val="24"/>
              </w:rPr>
            </w:pPr>
            <w:r>
              <w:rPr>
                <w:sz w:val="24"/>
              </w:rPr>
              <w:t>人才引进方面的认定</w:t>
            </w:r>
          </w:p>
        </w:tc>
        <w:tc>
          <w:tcPr>
            <w:tcW w:w="6463" w:type="dxa"/>
          </w:tcPr>
          <w:p>
            <w:pPr>
              <w:pStyle w:val="8"/>
              <w:rPr>
                <w:sz w:val="24"/>
              </w:rPr>
            </w:pPr>
          </w:p>
          <w:p>
            <w:pPr>
              <w:pStyle w:val="8"/>
              <w:spacing w:before="4"/>
              <w:rPr>
                <w:sz w:val="24"/>
              </w:rPr>
            </w:pPr>
          </w:p>
          <w:p>
            <w:pPr>
              <w:pStyle w:val="8"/>
              <w:ind w:left="108"/>
              <w:rPr>
                <w:sz w:val="24"/>
              </w:rPr>
            </w:pPr>
            <w:r>
              <w:rPr>
                <w:sz w:val="24"/>
              </w:rPr>
              <w:t>引进国家级、省级、市级领军人才（团队）的企业</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5" w:hRule="atLeast"/>
        </w:trPr>
        <w:tc>
          <w:tcPr>
            <w:tcW w:w="605" w:type="dxa"/>
          </w:tcPr>
          <w:p>
            <w:pPr>
              <w:pStyle w:val="8"/>
              <w:rPr>
                <w:sz w:val="24"/>
              </w:rPr>
            </w:pPr>
          </w:p>
          <w:p>
            <w:pPr>
              <w:pStyle w:val="8"/>
              <w:spacing w:before="1"/>
              <w:rPr>
                <w:sz w:val="34"/>
              </w:rPr>
            </w:pPr>
          </w:p>
          <w:p>
            <w:pPr>
              <w:pStyle w:val="8"/>
              <w:ind w:left="15"/>
              <w:jc w:val="center"/>
              <w:rPr>
                <w:sz w:val="24"/>
              </w:rPr>
            </w:pPr>
            <w:r>
              <w:rPr>
                <w:sz w:val="24"/>
              </w:rPr>
              <w:t>3</w:t>
            </w:r>
          </w:p>
        </w:tc>
        <w:tc>
          <w:tcPr>
            <w:tcW w:w="1530" w:type="dxa"/>
          </w:tcPr>
          <w:p>
            <w:pPr>
              <w:pStyle w:val="8"/>
              <w:rPr>
                <w:sz w:val="24"/>
              </w:rPr>
            </w:pPr>
          </w:p>
          <w:p>
            <w:pPr>
              <w:pStyle w:val="8"/>
              <w:spacing w:before="1"/>
              <w:rPr>
                <w:sz w:val="34"/>
              </w:rPr>
            </w:pPr>
          </w:p>
          <w:p>
            <w:pPr>
              <w:pStyle w:val="8"/>
              <w:ind w:right="264"/>
              <w:jc w:val="right"/>
              <w:rPr>
                <w:sz w:val="24"/>
              </w:rPr>
            </w:pPr>
            <w:r>
              <w:rPr>
                <w:sz w:val="24"/>
              </w:rPr>
              <w:t>区发改局</w:t>
            </w:r>
          </w:p>
        </w:tc>
        <w:tc>
          <w:tcPr>
            <w:tcW w:w="5437" w:type="dxa"/>
          </w:tcPr>
          <w:p>
            <w:pPr>
              <w:pStyle w:val="8"/>
              <w:spacing w:before="2"/>
              <w:rPr>
                <w:sz w:val="33"/>
              </w:rPr>
            </w:pPr>
          </w:p>
          <w:p>
            <w:pPr>
              <w:pStyle w:val="8"/>
              <w:spacing w:line="249" w:lineRule="auto"/>
              <w:ind w:left="106" w:right="269"/>
              <w:jc w:val="both"/>
              <w:rPr>
                <w:sz w:val="24"/>
              </w:rPr>
            </w:pPr>
            <w:r>
              <w:rPr>
                <w:spacing w:val="-1"/>
                <w:sz w:val="24"/>
              </w:rPr>
              <w:t>负责制定差别化价格、用能政策；制定有序用电方案；在企业认定、项目备案核准等方面提供信</w:t>
            </w:r>
            <w:r>
              <w:rPr>
                <w:sz w:val="24"/>
              </w:rPr>
              <w:t>息及方案</w:t>
            </w:r>
          </w:p>
        </w:tc>
        <w:tc>
          <w:tcPr>
            <w:tcW w:w="6463" w:type="dxa"/>
          </w:tcPr>
          <w:p>
            <w:pPr>
              <w:pStyle w:val="8"/>
              <w:spacing w:before="106" w:line="249" w:lineRule="auto"/>
              <w:ind w:left="108" w:right="92"/>
              <w:rPr>
                <w:sz w:val="24"/>
              </w:rPr>
            </w:pPr>
            <w:r>
              <w:rPr>
                <w:spacing w:val="-1"/>
                <w:sz w:val="24"/>
              </w:rPr>
              <w:t>提供评价年度节能任务未达标的企业，存在其他严重失信行为的企业，列入各级政府明确淘汰计划的企业，实际占用土地但没有产出的企业</w:t>
            </w:r>
            <w:r>
              <w:rPr>
                <w:sz w:val="24"/>
              </w:rPr>
              <w:t>（包括已关停企业、超过约定竣工日期18</w:t>
            </w:r>
            <w:r>
              <w:rPr>
                <w:spacing w:val="-8"/>
                <w:sz w:val="24"/>
              </w:rPr>
              <w:t xml:space="preserve"> 个月以上仍未完工的、建立国家级、省级、枣庄市级研</w:t>
            </w:r>
            <w:r>
              <w:rPr>
                <w:sz w:val="24"/>
              </w:rPr>
              <w:t>发、技术、设计机构的企业</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6" w:hRule="atLeast"/>
        </w:trPr>
        <w:tc>
          <w:tcPr>
            <w:tcW w:w="605" w:type="dxa"/>
          </w:tcPr>
          <w:p>
            <w:pPr>
              <w:pStyle w:val="8"/>
              <w:rPr>
                <w:sz w:val="24"/>
              </w:rPr>
            </w:pPr>
          </w:p>
          <w:p>
            <w:pPr>
              <w:pStyle w:val="8"/>
              <w:spacing w:before="9"/>
              <w:rPr>
                <w:sz w:val="18"/>
              </w:rPr>
            </w:pPr>
          </w:p>
          <w:p>
            <w:pPr>
              <w:pStyle w:val="8"/>
              <w:ind w:left="15"/>
              <w:jc w:val="center"/>
              <w:rPr>
                <w:sz w:val="24"/>
              </w:rPr>
            </w:pPr>
            <w:r>
              <w:rPr>
                <w:sz w:val="24"/>
              </w:rPr>
              <w:t>4</w:t>
            </w:r>
          </w:p>
        </w:tc>
        <w:tc>
          <w:tcPr>
            <w:tcW w:w="1530" w:type="dxa"/>
          </w:tcPr>
          <w:p>
            <w:pPr>
              <w:pStyle w:val="8"/>
              <w:rPr>
                <w:sz w:val="24"/>
              </w:rPr>
            </w:pPr>
          </w:p>
          <w:p>
            <w:pPr>
              <w:pStyle w:val="8"/>
              <w:spacing w:before="9"/>
              <w:rPr>
                <w:sz w:val="18"/>
              </w:rPr>
            </w:pPr>
          </w:p>
          <w:p>
            <w:pPr>
              <w:pStyle w:val="8"/>
              <w:ind w:right="264"/>
              <w:jc w:val="right"/>
              <w:rPr>
                <w:sz w:val="24"/>
              </w:rPr>
            </w:pPr>
            <w:r>
              <w:rPr>
                <w:sz w:val="24"/>
              </w:rPr>
              <w:t>区统计局</w:t>
            </w:r>
          </w:p>
        </w:tc>
        <w:tc>
          <w:tcPr>
            <w:tcW w:w="5437" w:type="dxa"/>
          </w:tcPr>
          <w:p>
            <w:pPr>
              <w:pStyle w:val="8"/>
              <w:spacing w:before="10"/>
              <w:rPr>
                <w:sz w:val="17"/>
              </w:rPr>
            </w:pPr>
          </w:p>
          <w:p>
            <w:pPr>
              <w:pStyle w:val="8"/>
              <w:spacing w:line="247" w:lineRule="auto"/>
              <w:ind w:left="106" w:right="269"/>
              <w:jc w:val="both"/>
              <w:rPr>
                <w:sz w:val="24"/>
              </w:rPr>
            </w:pPr>
            <w:r>
              <w:rPr>
                <w:spacing w:val="-1"/>
                <w:sz w:val="24"/>
              </w:rPr>
              <w:t>负责提供规上工业企业名单及所在县</w:t>
            </w:r>
            <w:r>
              <w:rPr>
                <w:sz w:val="24"/>
              </w:rPr>
              <w:t>（市、区）</w:t>
            </w:r>
            <w:r>
              <w:rPr>
                <w:spacing w:val="-118"/>
                <w:sz w:val="24"/>
              </w:rPr>
              <w:t xml:space="preserve"> </w:t>
            </w:r>
            <w:r>
              <w:rPr>
                <w:spacing w:val="-1"/>
                <w:sz w:val="24"/>
              </w:rPr>
              <w:t>统计用区划代码及所属行业分类代码等基础性统</w:t>
            </w:r>
            <w:r>
              <w:rPr>
                <w:sz w:val="24"/>
              </w:rPr>
              <w:t>计资料；配合做好相关数据审核工作</w:t>
            </w:r>
          </w:p>
        </w:tc>
        <w:tc>
          <w:tcPr>
            <w:tcW w:w="6463" w:type="dxa"/>
          </w:tcPr>
          <w:p>
            <w:pPr>
              <w:pStyle w:val="8"/>
              <w:spacing w:before="10"/>
              <w:rPr>
                <w:sz w:val="17"/>
              </w:rPr>
            </w:pPr>
          </w:p>
          <w:p>
            <w:pPr>
              <w:pStyle w:val="8"/>
              <w:spacing w:line="247" w:lineRule="auto"/>
              <w:ind w:left="108" w:right="92"/>
              <w:jc w:val="both"/>
              <w:rPr>
                <w:sz w:val="24"/>
              </w:rPr>
            </w:pPr>
            <w:r>
              <w:rPr>
                <w:spacing w:val="-1"/>
                <w:sz w:val="24"/>
              </w:rPr>
              <w:t>提供全区规上工业企业名单及所在县</w:t>
            </w:r>
            <w:r>
              <w:rPr>
                <w:sz w:val="24"/>
              </w:rPr>
              <w:t>（市、区）统计用区划</w:t>
            </w:r>
            <w:r>
              <w:rPr>
                <w:spacing w:val="-1"/>
                <w:sz w:val="24"/>
              </w:rPr>
              <w:t>代码及所属行业分类代码等基础性统计资料，配合做好相关</w:t>
            </w:r>
            <w:r>
              <w:rPr>
                <w:sz w:val="24"/>
              </w:rPr>
              <w:t>数据审核工作</w:t>
            </w:r>
          </w:p>
        </w:tc>
        <w:tc>
          <w:tcPr>
            <w:tcW w:w="947" w:type="dxa"/>
          </w:tcPr>
          <w:p>
            <w:pPr>
              <w:pStyle w:val="8"/>
              <w:rPr>
                <w:rFonts w:ascii="Times New Roman"/>
                <w:sz w:val="24"/>
              </w:rPr>
            </w:pPr>
          </w:p>
        </w:tc>
      </w:tr>
    </w:tbl>
    <w:p>
      <w:pPr>
        <w:spacing w:after="0"/>
        <w:rPr>
          <w:rFonts w:ascii="Times New Roman"/>
          <w:sz w:val="24"/>
        </w:rPr>
        <w:sectPr>
          <w:type w:val="continuous"/>
          <w:pgSz w:w="16840" w:h="11910" w:orient="landscape"/>
          <w:pgMar w:top="1580" w:right="800" w:bottom="280" w:left="800" w:header="720" w:footer="720" w:gutter="0"/>
        </w:sectPr>
      </w:pPr>
    </w:p>
    <w:p>
      <w:pPr>
        <w:pStyle w:val="3"/>
        <w:rPr>
          <w:sz w:val="20"/>
        </w:rPr>
      </w:pPr>
    </w:p>
    <w:p>
      <w:pPr>
        <w:pStyle w:val="3"/>
        <w:spacing w:before="6" w:after="1"/>
        <w:rPr>
          <w:sz w:val="17"/>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5"/>
        <w:gridCol w:w="1530"/>
        <w:gridCol w:w="5437"/>
        <w:gridCol w:w="6463"/>
        <w:gridCol w:w="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605" w:type="dxa"/>
          </w:tcPr>
          <w:p>
            <w:pPr>
              <w:pStyle w:val="8"/>
              <w:spacing w:before="150" w:line="180" w:lineRule="auto"/>
              <w:ind w:left="180" w:right="162"/>
              <w:rPr>
                <w:rFonts w:hint="eastAsia" w:ascii="Microsoft YaHei UI" w:eastAsia="Microsoft YaHei UI"/>
                <w:b/>
                <w:sz w:val="24"/>
              </w:rPr>
            </w:pPr>
            <w:r>
              <w:rPr>
                <w:rFonts w:hint="eastAsia" w:ascii="Microsoft YaHei UI" w:eastAsia="Microsoft YaHei UI"/>
                <w:b/>
                <w:sz w:val="24"/>
              </w:rPr>
              <w:t>序号</w:t>
            </w:r>
          </w:p>
        </w:tc>
        <w:tc>
          <w:tcPr>
            <w:tcW w:w="1530" w:type="dxa"/>
          </w:tcPr>
          <w:p>
            <w:pPr>
              <w:pStyle w:val="8"/>
              <w:spacing w:before="74" w:line="373" w:lineRule="exact"/>
              <w:ind w:left="223"/>
              <w:rPr>
                <w:rFonts w:hint="eastAsia" w:ascii="Microsoft YaHei UI" w:eastAsia="Microsoft YaHei UI"/>
                <w:b/>
                <w:sz w:val="24"/>
              </w:rPr>
            </w:pPr>
            <w:r>
              <w:rPr>
                <w:rFonts w:hint="eastAsia" w:ascii="Microsoft YaHei UI" w:eastAsia="Microsoft YaHei UI"/>
                <w:b/>
                <w:sz w:val="24"/>
              </w:rPr>
              <w:t>部门/乡镇</w:t>
            </w:r>
          </w:p>
          <w:p>
            <w:pPr>
              <w:pStyle w:val="8"/>
              <w:spacing w:line="373" w:lineRule="exact"/>
              <w:ind w:left="283"/>
              <w:rPr>
                <w:rFonts w:hint="eastAsia" w:ascii="Microsoft YaHei UI" w:eastAsia="Microsoft YaHei UI"/>
                <w:b/>
                <w:sz w:val="24"/>
              </w:rPr>
            </w:pPr>
            <w:r>
              <w:rPr>
                <w:rFonts w:hint="eastAsia" w:ascii="Microsoft YaHei UI" w:eastAsia="Microsoft YaHei UI"/>
                <w:b/>
                <w:sz w:val="24"/>
              </w:rPr>
              <w:t>（街道）</w:t>
            </w:r>
          </w:p>
        </w:tc>
        <w:tc>
          <w:tcPr>
            <w:tcW w:w="5437" w:type="dxa"/>
          </w:tcPr>
          <w:p>
            <w:pPr>
              <w:pStyle w:val="8"/>
              <w:spacing w:before="4"/>
              <w:rPr>
                <w:sz w:val="18"/>
              </w:rPr>
            </w:pPr>
          </w:p>
          <w:p>
            <w:pPr>
              <w:pStyle w:val="8"/>
              <w:ind w:left="2219" w:right="2198"/>
              <w:jc w:val="center"/>
              <w:rPr>
                <w:rFonts w:hint="eastAsia" w:ascii="Microsoft YaHei UI" w:eastAsia="Microsoft YaHei UI"/>
                <w:b/>
                <w:sz w:val="24"/>
              </w:rPr>
            </w:pPr>
            <w:r>
              <w:rPr>
                <w:rFonts w:hint="eastAsia" w:ascii="Microsoft YaHei UI" w:eastAsia="Microsoft YaHei UI"/>
                <w:b/>
                <w:sz w:val="24"/>
              </w:rPr>
              <w:t>工作职责</w:t>
            </w:r>
          </w:p>
        </w:tc>
        <w:tc>
          <w:tcPr>
            <w:tcW w:w="6463" w:type="dxa"/>
          </w:tcPr>
          <w:p>
            <w:pPr>
              <w:pStyle w:val="8"/>
              <w:spacing w:before="4"/>
              <w:rPr>
                <w:sz w:val="18"/>
              </w:rPr>
            </w:pPr>
          </w:p>
          <w:p>
            <w:pPr>
              <w:pStyle w:val="8"/>
              <w:ind w:left="2731" w:right="2711"/>
              <w:jc w:val="center"/>
              <w:rPr>
                <w:rFonts w:hint="eastAsia" w:ascii="Microsoft YaHei UI" w:eastAsia="Microsoft YaHei UI"/>
                <w:b/>
                <w:sz w:val="24"/>
              </w:rPr>
            </w:pPr>
            <w:r>
              <w:rPr>
                <w:rFonts w:hint="eastAsia" w:ascii="Microsoft YaHei UI" w:eastAsia="Microsoft YaHei UI"/>
                <w:b/>
                <w:sz w:val="24"/>
              </w:rPr>
              <w:t>具体内容</w:t>
            </w:r>
          </w:p>
        </w:tc>
        <w:tc>
          <w:tcPr>
            <w:tcW w:w="947" w:type="dxa"/>
          </w:tcPr>
          <w:p>
            <w:pPr>
              <w:pStyle w:val="8"/>
              <w:spacing w:before="4"/>
              <w:rPr>
                <w:sz w:val="18"/>
              </w:rPr>
            </w:pPr>
          </w:p>
          <w:p>
            <w:pPr>
              <w:pStyle w:val="8"/>
              <w:ind w:left="233"/>
              <w:rPr>
                <w:rFonts w:hint="eastAsia" w:ascii="Microsoft YaHei UI" w:eastAsia="Microsoft YaHei UI"/>
                <w:b/>
                <w:sz w:val="24"/>
              </w:rPr>
            </w:pPr>
            <w:r>
              <w:rPr>
                <w:rFonts w:hint="eastAsia" w:ascii="Microsoft YaHei UI" w:eastAsia="Microsoft YaHei UI"/>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3" w:hRule="atLeast"/>
        </w:trPr>
        <w:tc>
          <w:tcPr>
            <w:tcW w:w="605" w:type="dxa"/>
          </w:tcPr>
          <w:p>
            <w:pPr>
              <w:pStyle w:val="8"/>
              <w:rPr>
                <w:sz w:val="24"/>
              </w:rPr>
            </w:pPr>
          </w:p>
          <w:p>
            <w:pPr>
              <w:pStyle w:val="8"/>
              <w:spacing w:before="200"/>
              <w:ind w:left="15"/>
              <w:jc w:val="center"/>
              <w:rPr>
                <w:sz w:val="24"/>
              </w:rPr>
            </w:pPr>
            <w:r>
              <w:rPr>
                <w:sz w:val="24"/>
              </w:rPr>
              <w:t>5</w:t>
            </w:r>
          </w:p>
        </w:tc>
        <w:tc>
          <w:tcPr>
            <w:tcW w:w="1530" w:type="dxa"/>
          </w:tcPr>
          <w:p>
            <w:pPr>
              <w:pStyle w:val="8"/>
              <w:rPr>
                <w:sz w:val="24"/>
              </w:rPr>
            </w:pPr>
          </w:p>
          <w:p>
            <w:pPr>
              <w:pStyle w:val="8"/>
              <w:spacing w:before="200"/>
              <w:ind w:right="264"/>
              <w:jc w:val="right"/>
              <w:rPr>
                <w:sz w:val="24"/>
              </w:rPr>
            </w:pPr>
            <w:r>
              <w:rPr>
                <w:sz w:val="24"/>
              </w:rPr>
              <w:t>区科技局</w:t>
            </w:r>
          </w:p>
        </w:tc>
        <w:tc>
          <w:tcPr>
            <w:tcW w:w="5437" w:type="dxa"/>
          </w:tcPr>
          <w:p>
            <w:pPr>
              <w:pStyle w:val="8"/>
              <w:spacing w:before="3"/>
              <w:rPr>
                <w:sz w:val="27"/>
              </w:rPr>
            </w:pPr>
          </w:p>
          <w:p>
            <w:pPr>
              <w:pStyle w:val="8"/>
              <w:spacing w:line="249" w:lineRule="auto"/>
              <w:ind w:left="106" w:right="269"/>
              <w:rPr>
                <w:sz w:val="24"/>
              </w:rPr>
            </w:pPr>
            <w:r>
              <w:rPr>
                <w:spacing w:val="-1"/>
                <w:sz w:val="24"/>
              </w:rPr>
              <w:t>负责提供高新技术企业名单；获省级重大专项或</w:t>
            </w:r>
            <w:r>
              <w:rPr>
                <w:sz w:val="24"/>
              </w:rPr>
              <w:t>国家重点以上专项的企业名单等信息</w:t>
            </w:r>
          </w:p>
        </w:tc>
        <w:tc>
          <w:tcPr>
            <w:tcW w:w="6463" w:type="dxa"/>
          </w:tcPr>
          <w:p>
            <w:pPr>
              <w:pStyle w:val="8"/>
              <w:spacing w:before="3"/>
              <w:rPr>
                <w:sz w:val="27"/>
              </w:rPr>
            </w:pPr>
          </w:p>
          <w:p>
            <w:pPr>
              <w:pStyle w:val="8"/>
              <w:spacing w:line="249" w:lineRule="auto"/>
              <w:ind w:left="108" w:right="92"/>
              <w:rPr>
                <w:sz w:val="24"/>
              </w:rPr>
            </w:pPr>
            <w:r>
              <w:rPr>
                <w:spacing w:val="-1"/>
                <w:sz w:val="24"/>
              </w:rPr>
              <w:t>根据综合评价相关工作要求，负责提供高新技术企业名单；</w:t>
            </w:r>
            <w:r>
              <w:rPr>
                <w:spacing w:val="-117"/>
                <w:sz w:val="24"/>
              </w:rPr>
              <w:t xml:space="preserve"> </w:t>
            </w:r>
            <w:r>
              <w:rPr>
                <w:sz w:val="24"/>
              </w:rPr>
              <w:t>获省级重大专项或国家重点以上专项的企业名单等信息</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7" w:hRule="atLeast"/>
        </w:trPr>
        <w:tc>
          <w:tcPr>
            <w:tcW w:w="605" w:type="dxa"/>
          </w:tcPr>
          <w:p>
            <w:pPr>
              <w:pStyle w:val="8"/>
              <w:rPr>
                <w:sz w:val="24"/>
              </w:rPr>
            </w:pPr>
          </w:p>
          <w:p>
            <w:pPr>
              <w:pStyle w:val="8"/>
              <w:spacing w:before="207"/>
              <w:ind w:left="15"/>
              <w:jc w:val="center"/>
              <w:rPr>
                <w:sz w:val="24"/>
              </w:rPr>
            </w:pPr>
            <w:r>
              <w:rPr>
                <w:sz w:val="24"/>
              </w:rPr>
              <w:t>6</w:t>
            </w:r>
          </w:p>
        </w:tc>
        <w:tc>
          <w:tcPr>
            <w:tcW w:w="1530" w:type="dxa"/>
          </w:tcPr>
          <w:p>
            <w:pPr>
              <w:pStyle w:val="8"/>
              <w:spacing w:before="8"/>
              <w:rPr>
                <w:sz w:val="27"/>
              </w:rPr>
            </w:pPr>
          </w:p>
          <w:p>
            <w:pPr>
              <w:pStyle w:val="8"/>
              <w:spacing w:line="249" w:lineRule="auto"/>
              <w:ind w:left="643" w:right="144" w:hanging="480"/>
              <w:rPr>
                <w:sz w:val="24"/>
              </w:rPr>
            </w:pPr>
            <w:r>
              <w:rPr>
                <w:spacing w:val="-1"/>
                <w:sz w:val="24"/>
              </w:rPr>
              <w:t>区市场监管</w:t>
            </w:r>
            <w:r>
              <w:rPr>
                <w:sz w:val="24"/>
              </w:rPr>
              <w:t>局</w:t>
            </w:r>
          </w:p>
        </w:tc>
        <w:tc>
          <w:tcPr>
            <w:tcW w:w="5437" w:type="dxa"/>
          </w:tcPr>
          <w:p>
            <w:pPr>
              <w:pStyle w:val="8"/>
              <w:spacing w:before="195" w:line="249" w:lineRule="auto"/>
              <w:ind w:left="106" w:right="269"/>
              <w:jc w:val="both"/>
              <w:rPr>
                <w:sz w:val="24"/>
              </w:rPr>
            </w:pPr>
            <w:r>
              <w:rPr>
                <w:spacing w:val="-1"/>
                <w:sz w:val="24"/>
              </w:rPr>
              <w:t>负责提供省级及以上名牌企业名单；负责提供评价年度发生产品质量安全事故企业名单；负责提</w:t>
            </w:r>
            <w:r>
              <w:rPr>
                <w:sz w:val="24"/>
              </w:rPr>
              <w:t>供评价年度发生重大食品安全事故企业名单</w:t>
            </w:r>
          </w:p>
        </w:tc>
        <w:tc>
          <w:tcPr>
            <w:tcW w:w="6463" w:type="dxa"/>
          </w:tcPr>
          <w:p>
            <w:pPr>
              <w:pStyle w:val="8"/>
              <w:spacing w:before="8"/>
              <w:rPr>
                <w:sz w:val="27"/>
              </w:rPr>
            </w:pPr>
          </w:p>
          <w:p>
            <w:pPr>
              <w:pStyle w:val="8"/>
              <w:spacing w:line="249" w:lineRule="auto"/>
              <w:ind w:left="108" w:right="92"/>
              <w:rPr>
                <w:sz w:val="24"/>
              </w:rPr>
            </w:pPr>
            <w:r>
              <w:rPr>
                <w:spacing w:val="-1"/>
                <w:sz w:val="24"/>
              </w:rPr>
              <w:t>企业申请各项专利情况、质量奖励、产品质量安全事故包括</w:t>
            </w:r>
            <w:r>
              <w:rPr>
                <w:sz w:val="24"/>
              </w:rPr>
              <w:t>重大和普通产品质量安全事故等</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605" w:type="dxa"/>
            <w:tcBorders>
              <w:bottom w:val="single" w:color="000000" w:sz="6" w:space="0"/>
            </w:tcBorders>
          </w:tcPr>
          <w:p>
            <w:pPr>
              <w:pStyle w:val="8"/>
              <w:rPr>
                <w:sz w:val="24"/>
              </w:rPr>
            </w:pPr>
          </w:p>
          <w:p>
            <w:pPr>
              <w:pStyle w:val="8"/>
              <w:spacing w:before="7"/>
              <w:rPr>
                <w:sz w:val="17"/>
              </w:rPr>
            </w:pPr>
          </w:p>
          <w:p>
            <w:pPr>
              <w:pStyle w:val="8"/>
              <w:spacing w:before="1"/>
              <w:ind w:left="15"/>
              <w:jc w:val="center"/>
              <w:rPr>
                <w:sz w:val="24"/>
              </w:rPr>
            </w:pPr>
            <w:r>
              <w:rPr>
                <w:sz w:val="24"/>
              </w:rPr>
              <w:t>7</w:t>
            </w:r>
          </w:p>
        </w:tc>
        <w:tc>
          <w:tcPr>
            <w:tcW w:w="1530" w:type="dxa"/>
            <w:tcBorders>
              <w:bottom w:val="single" w:color="000000" w:sz="6" w:space="0"/>
            </w:tcBorders>
          </w:tcPr>
          <w:p>
            <w:pPr>
              <w:pStyle w:val="8"/>
              <w:rPr>
                <w:sz w:val="24"/>
              </w:rPr>
            </w:pPr>
          </w:p>
          <w:p>
            <w:pPr>
              <w:pStyle w:val="8"/>
              <w:spacing w:before="7"/>
              <w:rPr>
                <w:sz w:val="17"/>
              </w:rPr>
            </w:pPr>
          </w:p>
          <w:p>
            <w:pPr>
              <w:pStyle w:val="8"/>
              <w:spacing w:before="1"/>
              <w:ind w:right="264"/>
              <w:jc w:val="right"/>
              <w:rPr>
                <w:sz w:val="24"/>
              </w:rPr>
            </w:pPr>
            <w:r>
              <w:rPr>
                <w:sz w:val="24"/>
              </w:rPr>
              <w:t>区税务局</w:t>
            </w:r>
          </w:p>
        </w:tc>
        <w:tc>
          <w:tcPr>
            <w:tcW w:w="5437" w:type="dxa"/>
            <w:tcBorders>
              <w:bottom w:val="single" w:color="000000" w:sz="6" w:space="0"/>
            </w:tcBorders>
          </w:tcPr>
          <w:p>
            <w:pPr>
              <w:pStyle w:val="8"/>
              <w:rPr>
                <w:sz w:val="24"/>
              </w:rPr>
            </w:pPr>
          </w:p>
          <w:p>
            <w:pPr>
              <w:pStyle w:val="8"/>
              <w:spacing w:before="7"/>
              <w:rPr>
                <w:sz w:val="17"/>
              </w:rPr>
            </w:pPr>
          </w:p>
          <w:p>
            <w:pPr>
              <w:pStyle w:val="8"/>
              <w:spacing w:before="1"/>
              <w:ind w:left="106"/>
              <w:rPr>
                <w:sz w:val="24"/>
              </w:rPr>
            </w:pPr>
            <w:r>
              <w:rPr>
                <w:sz w:val="24"/>
              </w:rPr>
              <w:t>负责提供与企业实缴税费及相关的生产经营数据</w:t>
            </w:r>
          </w:p>
        </w:tc>
        <w:tc>
          <w:tcPr>
            <w:tcW w:w="6463" w:type="dxa"/>
          </w:tcPr>
          <w:p>
            <w:pPr>
              <w:pStyle w:val="8"/>
              <w:rPr>
                <w:sz w:val="29"/>
              </w:rPr>
            </w:pPr>
          </w:p>
          <w:p>
            <w:pPr>
              <w:pStyle w:val="8"/>
              <w:spacing w:before="1" w:line="249" w:lineRule="auto"/>
              <w:ind w:left="108" w:right="92"/>
              <w:rPr>
                <w:sz w:val="24"/>
              </w:rPr>
            </w:pPr>
            <w:r>
              <w:rPr>
                <w:spacing w:val="-1"/>
                <w:sz w:val="24"/>
              </w:rPr>
              <w:t>提供与企业实缴税费，税收实际贡献指纳税企业评价年度自</w:t>
            </w:r>
            <w:r>
              <w:rPr>
                <w:sz w:val="24"/>
              </w:rPr>
              <w:t>1</w:t>
            </w:r>
            <w:r>
              <w:rPr>
                <w:spacing w:val="-40"/>
                <w:sz w:val="24"/>
              </w:rPr>
              <w:t xml:space="preserve"> 月 </w:t>
            </w:r>
            <w:r>
              <w:rPr>
                <w:sz w:val="24"/>
              </w:rPr>
              <w:t>1</w:t>
            </w:r>
            <w:r>
              <w:rPr>
                <w:spacing w:val="-30"/>
                <w:sz w:val="24"/>
              </w:rPr>
              <w:t xml:space="preserve"> 日至 </w:t>
            </w:r>
            <w:r>
              <w:rPr>
                <w:sz w:val="24"/>
              </w:rPr>
              <w:t>12</w:t>
            </w:r>
            <w:r>
              <w:rPr>
                <w:spacing w:val="-40"/>
                <w:sz w:val="24"/>
              </w:rPr>
              <w:t xml:space="preserve"> 月 </w:t>
            </w:r>
            <w:r>
              <w:rPr>
                <w:sz w:val="24"/>
              </w:rPr>
              <w:t>31</w:t>
            </w:r>
            <w:r>
              <w:rPr>
                <w:spacing w:val="-8"/>
                <w:sz w:val="24"/>
              </w:rPr>
              <w:t xml:space="preserve"> 日止税费实际入库数</w:t>
            </w:r>
          </w:p>
        </w:tc>
        <w:tc>
          <w:tcPr>
            <w:tcW w:w="947" w:type="dxa"/>
            <w:tcBorders>
              <w:bottom w:val="single" w:color="000000" w:sz="6"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5" w:type="dxa"/>
            <w:tcBorders>
              <w:top w:val="single" w:color="000000" w:sz="6" w:space="0"/>
            </w:tcBorders>
          </w:tcPr>
          <w:p>
            <w:pPr>
              <w:pStyle w:val="8"/>
              <w:rPr>
                <w:sz w:val="24"/>
              </w:rPr>
            </w:pPr>
          </w:p>
          <w:p>
            <w:pPr>
              <w:pStyle w:val="8"/>
              <w:rPr>
                <w:sz w:val="17"/>
              </w:rPr>
            </w:pPr>
          </w:p>
          <w:p>
            <w:pPr>
              <w:pStyle w:val="8"/>
              <w:ind w:left="15"/>
              <w:jc w:val="center"/>
              <w:rPr>
                <w:sz w:val="24"/>
              </w:rPr>
            </w:pPr>
            <w:r>
              <w:rPr>
                <w:sz w:val="24"/>
              </w:rPr>
              <w:t>8</w:t>
            </w:r>
          </w:p>
        </w:tc>
        <w:tc>
          <w:tcPr>
            <w:tcW w:w="1530" w:type="dxa"/>
            <w:tcBorders>
              <w:top w:val="single" w:color="000000" w:sz="6" w:space="0"/>
            </w:tcBorders>
          </w:tcPr>
          <w:p>
            <w:pPr>
              <w:pStyle w:val="8"/>
              <w:rPr>
                <w:sz w:val="24"/>
              </w:rPr>
            </w:pPr>
          </w:p>
          <w:p>
            <w:pPr>
              <w:pStyle w:val="8"/>
              <w:rPr>
                <w:sz w:val="17"/>
              </w:rPr>
            </w:pPr>
          </w:p>
          <w:p>
            <w:pPr>
              <w:pStyle w:val="8"/>
              <w:ind w:right="264"/>
              <w:jc w:val="right"/>
              <w:rPr>
                <w:sz w:val="24"/>
              </w:rPr>
            </w:pPr>
            <w:r>
              <w:rPr>
                <w:sz w:val="24"/>
              </w:rPr>
              <w:t>区财政局</w:t>
            </w:r>
          </w:p>
        </w:tc>
        <w:tc>
          <w:tcPr>
            <w:tcW w:w="5437" w:type="dxa"/>
            <w:tcBorders>
              <w:top w:val="single" w:color="000000" w:sz="6" w:space="0"/>
            </w:tcBorders>
          </w:tcPr>
          <w:p>
            <w:pPr>
              <w:pStyle w:val="8"/>
              <w:rPr>
                <w:sz w:val="24"/>
              </w:rPr>
            </w:pPr>
          </w:p>
          <w:p>
            <w:pPr>
              <w:pStyle w:val="8"/>
              <w:rPr>
                <w:sz w:val="17"/>
              </w:rPr>
            </w:pPr>
          </w:p>
          <w:p>
            <w:pPr>
              <w:pStyle w:val="8"/>
              <w:ind w:left="106"/>
              <w:rPr>
                <w:sz w:val="24"/>
              </w:rPr>
            </w:pPr>
            <w:r>
              <w:rPr>
                <w:sz w:val="24"/>
              </w:rPr>
              <w:t>兑付各类专项扶持资金政策</w:t>
            </w:r>
          </w:p>
        </w:tc>
        <w:tc>
          <w:tcPr>
            <w:tcW w:w="6463" w:type="dxa"/>
          </w:tcPr>
          <w:p>
            <w:pPr>
              <w:pStyle w:val="8"/>
              <w:rPr>
                <w:sz w:val="24"/>
              </w:rPr>
            </w:pPr>
          </w:p>
          <w:p>
            <w:pPr>
              <w:pStyle w:val="8"/>
              <w:rPr>
                <w:sz w:val="17"/>
              </w:rPr>
            </w:pPr>
          </w:p>
          <w:p>
            <w:pPr>
              <w:pStyle w:val="8"/>
              <w:ind w:left="108"/>
              <w:rPr>
                <w:sz w:val="24"/>
              </w:rPr>
            </w:pPr>
            <w:r>
              <w:rPr>
                <w:sz w:val="24"/>
              </w:rPr>
              <w:t>根据综合评价相关工作要求，兑付各类专项扶持资金政策</w:t>
            </w:r>
          </w:p>
        </w:tc>
        <w:tc>
          <w:tcPr>
            <w:tcW w:w="947" w:type="dxa"/>
            <w:tcBorders>
              <w:top w:val="single" w:color="000000" w:sz="6"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3" w:hRule="atLeast"/>
        </w:trPr>
        <w:tc>
          <w:tcPr>
            <w:tcW w:w="605" w:type="dxa"/>
          </w:tcPr>
          <w:p>
            <w:pPr>
              <w:pStyle w:val="8"/>
              <w:rPr>
                <w:sz w:val="24"/>
              </w:rPr>
            </w:pPr>
          </w:p>
          <w:p>
            <w:pPr>
              <w:pStyle w:val="8"/>
              <w:spacing w:before="6"/>
              <w:rPr>
                <w:sz w:val="21"/>
              </w:rPr>
            </w:pPr>
          </w:p>
          <w:p>
            <w:pPr>
              <w:pStyle w:val="8"/>
              <w:ind w:left="15"/>
              <w:jc w:val="center"/>
              <w:rPr>
                <w:sz w:val="24"/>
              </w:rPr>
            </w:pPr>
            <w:r>
              <w:rPr>
                <w:sz w:val="24"/>
              </w:rPr>
              <w:t>9</w:t>
            </w:r>
          </w:p>
        </w:tc>
        <w:tc>
          <w:tcPr>
            <w:tcW w:w="1530" w:type="dxa"/>
          </w:tcPr>
          <w:p>
            <w:pPr>
              <w:pStyle w:val="8"/>
              <w:spacing w:before="1"/>
              <w:rPr>
                <w:sz w:val="33"/>
              </w:rPr>
            </w:pPr>
          </w:p>
          <w:p>
            <w:pPr>
              <w:pStyle w:val="8"/>
              <w:spacing w:before="1" w:line="249" w:lineRule="auto"/>
              <w:ind w:left="523" w:right="144" w:hanging="360"/>
              <w:rPr>
                <w:sz w:val="24"/>
              </w:rPr>
            </w:pPr>
            <w:r>
              <w:rPr>
                <w:spacing w:val="-1"/>
                <w:sz w:val="24"/>
              </w:rPr>
              <w:t>区生态环境</w:t>
            </w:r>
            <w:r>
              <w:rPr>
                <w:sz w:val="24"/>
              </w:rPr>
              <w:t>分局</w:t>
            </w:r>
          </w:p>
        </w:tc>
        <w:tc>
          <w:tcPr>
            <w:tcW w:w="5437" w:type="dxa"/>
          </w:tcPr>
          <w:p>
            <w:pPr>
              <w:pStyle w:val="8"/>
              <w:spacing w:before="105" w:line="249" w:lineRule="auto"/>
              <w:ind w:left="106" w:right="269"/>
              <w:jc w:val="both"/>
              <w:rPr>
                <w:sz w:val="24"/>
              </w:rPr>
            </w:pPr>
            <w:r>
              <w:rPr>
                <w:spacing w:val="-1"/>
                <w:sz w:val="24"/>
              </w:rPr>
              <w:t>负责提供企业主要污染物排放量等数据；负责提供评价年度发生环境责任事故企业名单；减排未达标、环保不达标的企业名单和环境信用评价数</w:t>
            </w:r>
            <w:r>
              <w:rPr>
                <w:sz w:val="24"/>
              </w:rPr>
              <w:t>据；制定差别化排污政策</w:t>
            </w:r>
          </w:p>
        </w:tc>
        <w:tc>
          <w:tcPr>
            <w:tcW w:w="6463" w:type="dxa"/>
          </w:tcPr>
          <w:p>
            <w:pPr>
              <w:pStyle w:val="8"/>
              <w:spacing w:before="10"/>
              <w:rPr>
                <w:sz w:val="20"/>
              </w:rPr>
            </w:pPr>
          </w:p>
          <w:p>
            <w:pPr>
              <w:pStyle w:val="8"/>
              <w:spacing w:line="247" w:lineRule="auto"/>
              <w:ind w:left="108" w:right="92"/>
              <w:jc w:val="both"/>
              <w:rPr>
                <w:sz w:val="24"/>
              </w:rPr>
            </w:pPr>
            <w:r>
              <w:rPr>
                <w:spacing w:val="-1"/>
                <w:sz w:val="24"/>
              </w:rPr>
              <w:t>企业主要污染物排放量的数据按相关统计口径予以核算；环境责任事故包括重大环境责任事故和较大环境责任事故；环</w:t>
            </w:r>
            <w:r>
              <w:rPr>
                <w:sz w:val="24"/>
              </w:rPr>
              <w:t>境信用评价数据包括环保不良企业和环保警示企业名单</w:t>
            </w:r>
          </w:p>
        </w:tc>
        <w:tc>
          <w:tcPr>
            <w:tcW w:w="947" w:type="dxa"/>
          </w:tcPr>
          <w:p>
            <w:pPr>
              <w:pStyle w:val="8"/>
              <w:rPr>
                <w:rFonts w:ascii="Times New Roman"/>
                <w:sz w:val="24"/>
              </w:rPr>
            </w:pPr>
          </w:p>
        </w:tc>
      </w:tr>
    </w:tbl>
    <w:p>
      <w:pPr>
        <w:spacing w:after="0"/>
        <w:rPr>
          <w:rFonts w:ascii="Times New Roman"/>
          <w:sz w:val="24"/>
        </w:rPr>
        <w:sectPr>
          <w:pgSz w:w="16840" w:h="11910" w:orient="landscape"/>
          <w:pgMar w:top="1100" w:right="800" w:bottom="1080" w:left="800" w:header="0" w:footer="897" w:gutter="0"/>
        </w:sectPr>
      </w:pPr>
    </w:p>
    <w:p>
      <w:pPr>
        <w:pStyle w:val="3"/>
        <w:rPr>
          <w:sz w:val="20"/>
        </w:rPr>
      </w:pPr>
    </w:p>
    <w:p>
      <w:pPr>
        <w:pStyle w:val="3"/>
        <w:spacing w:before="6" w:after="1"/>
        <w:rPr>
          <w:sz w:val="17"/>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5"/>
        <w:gridCol w:w="1530"/>
        <w:gridCol w:w="5437"/>
        <w:gridCol w:w="6463"/>
        <w:gridCol w:w="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605" w:type="dxa"/>
          </w:tcPr>
          <w:p>
            <w:pPr>
              <w:pStyle w:val="8"/>
              <w:spacing w:before="150" w:line="180" w:lineRule="auto"/>
              <w:ind w:left="180" w:right="162"/>
              <w:rPr>
                <w:rFonts w:hint="eastAsia" w:ascii="Microsoft YaHei UI" w:eastAsia="Microsoft YaHei UI"/>
                <w:b/>
                <w:sz w:val="24"/>
              </w:rPr>
            </w:pPr>
            <w:r>
              <w:rPr>
                <w:rFonts w:hint="eastAsia" w:ascii="Microsoft YaHei UI" w:eastAsia="Microsoft YaHei UI"/>
                <w:b/>
                <w:sz w:val="24"/>
              </w:rPr>
              <w:t>序号</w:t>
            </w:r>
          </w:p>
        </w:tc>
        <w:tc>
          <w:tcPr>
            <w:tcW w:w="1530" w:type="dxa"/>
          </w:tcPr>
          <w:p>
            <w:pPr>
              <w:pStyle w:val="8"/>
              <w:spacing w:before="74" w:line="373" w:lineRule="exact"/>
              <w:ind w:left="223"/>
              <w:rPr>
                <w:rFonts w:hint="eastAsia" w:ascii="Microsoft YaHei UI" w:eastAsia="Microsoft YaHei UI"/>
                <w:b/>
                <w:sz w:val="24"/>
              </w:rPr>
            </w:pPr>
            <w:r>
              <w:rPr>
                <w:rFonts w:hint="eastAsia" w:ascii="Microsoft YaHei UI" w:eastAsia="Microsoft YaHei UI"/>
                <w:b/>
                <w:sz w:val="24"/>
              </w:rPr>
              <w:t>部门/乡镇</w:t>
            </w:r>
          </w:p>
          <w:p>
            <w:pPr>
              <w:pStyle w:val="8"/>
              <w:spacing w:line="373" w:lineRule="exact"/>
              <w:ind w:left="283"/>
              <w:rPr>
                <w:rFonts w:hint="eastAsia" w:ascii="Microsoft YaHei UI" w:eastAsia="Microsoft YaHei UI"/>
                <w:b/>
                <w:sz w:val="24"/>
              </w:rPr>
            </w:pPr>
            <w:r>
              <w:rPr>
                <w:rFonts w:hint="eastAsia" w:ascii="Microsoft YaHei UI" w:eastAsia="Microsoft YaHei UI"/>
                <w:b/>
                <w:sz w:val="24"/>
              </w:rPr>
              <w:t>（街道）</w:t>
            </w:r>
          </w:p>
        </w:tc>
        <w:tc>
          <w:tcPr>
            <w:tcW w:w="5437" w:type="dxa"/>
          </w:tcPr>
          <w:p>
            <w:pPr>
              <w:pStyle w:val="8"/>
              <w:spacing w:before="4"/>
              <w:rPr>
                <w:sz w:val="18"/>
              </w:rPr>
            </w:pPr>
          </w:p>
          <w:p>
            <w:pPr>
              <w:pStyle w:val="8"/>
              <w:ind w:left="2219" w:right="2198"/>
              <w:jc w:val="center"/>
              <w:rPr>
                <w:rFonts w:hint="eastAsia" w:ascii="Microsoft YaHei UI" w:eastAsia="Microsoft YaHei UI"/>
                <w:b/>
                <w:sz w:val="24"/>
              </w:rPr>
            </w:pPr>
            <w:r>
              <w:rPr>
                <w:rFonts w:hint="eastAsia" w:ascii="Microsoft YaHei UI" w:eastAsia="Microsoft YaHei UI"/>
                <w:b/>
                <w:sz w:val="24"/>
              </w:rPr>
              <w:t>工作职责</w:t>
            </w:r>
          </w:p>
        </w:tc>
        <w:tc>
          <w:tcPr>
            <w:tcW w:w="6463" w:type="dxa"/>
          </w:tcPr>
          <w:p>
            <w:pPr>
              <w:pStyle w:val="8"/>
              <w:spacing w:before="4"/>
              <w:rPr>
                <w:sz w:val="18"/>
              </w:rPr>
            </w:pPr>
          </w:p>
          <w:p>
            <w:pPr>
              <w:pStyle w:val="8"/>
              <w:ind w:left="2731" w:right="2711"/>
              <w:jc w:val="center"/>
              <w:rPr>
                <w:rFonts w:hint="eastAsia" w:ascii="Microsoft YaHei UI" w:eastAsia="Microsoft YaHei UI"/>
                <w:b/>
                <w:sz w:val="24"/>
              </w:rPr>
            </w:pPr>
            <w:r>
              <w:rPr>
                <w:rFonts w:hint="eastAsia" w:ascii="Microsoft YaHei UI" w:eastAsia="Microsoft YaHei UI"/>
                <w:b/>
                <w:sz w:val="24"/>
              </w:rPr>
              <w:t>具体内容</w:t>
            </w:r>
          </w:p>
        </w:tc>
        <w:tc>
          <w:tcPr>
            <w:tcW w:w="947" w:type="dxa"/>
          </w:tcPr>
          <w:p>
            <w:pPr>
              <w:pStyle w:val="8"/>
              <w:spacing w:before="4"/>
              <w:rPr>
                <w:sz w:val="18"/>
              </w:rPr>
            </w:pPr>
          </w:p>
          <w:p>
            <w:pPr>
              <w:pStyle w:val="8"/>
              <w:ind w:left="233"/>
              <w:rPr>
                <w:rFonts w:hint="eastAsia" w:ascii="Microsoft YaHei UI" w:eastAsia="Microsoft YaHei UI"/>
                <w:b/>
                <w:sz w:val="24"/>
              </w:rPr>
            </w:pPr>
            <w:r>
              <w:rPr>
                <w:rFonts w:hint="eastAsia" w:ascii="Microsoft YaHei UI" w:eastAsia="Microsoft YaHei UI"/>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5" w:hRule="atLeast"/>
        </w:trPr>
        <w:tc>
          <w:tcPr>
            <w:tcW w:w="605" w:type="dxa"/>
          </w:tcPr>
          <w:p>
            <w:pPr>
              <w:pStyle w:val="8"/>
              <w:rPr>
                <w:sz w:val="24"/>
              </w:rPr>
            </w:pPr>
          </w:p>
          <w:p>
            <w:pPr>
              <w:pStyle w:val="8"/>
              <w:spacing w:before="5"/>
              <w:rPr>
                <w:sz w:val="18"/>
              </w:rPr>
            </w:pPr>
          </w:p>
          <w:p>
            <w:pPr>
              <w:pStyle w:val="8"/>
              <w:ind w:left="160" w:right="145"/>
              <w:jc w:val="center"/>
              <w:rPr>
                <w:sz w:val="24"/>
              </w:rPr>
            </w:pPr>
            <w:r>
              <w:rPr>
                <w:sz w:val="24"/>
              </w:rPr>
              <w:t>10</w:t>
            </w:r>
          </w:p>
        </w:tc>
        <w:tc>
          <w:tcPr>
            <w:tcW w:w="1530" w:type="dxa"/>
          </w:tcPr>
          <w:p>
            <w:pPr>
              <w:pStyle w:val="8"/>
              <w:spacing w:before="1"/>
              <w:rPr>
                <w:sz w:val="30"/>
              </w:rPr>
            </w:pPr>
          </w:p>
          <w:p>
            <w:pPr>
              <w:pStyle w:val="8"/>
              <w:spacing w:line="247" w:lineRule="auto"/>
              <w:ind w:left="643" w:right="144" w:hanging="480"/>
              <w:rPr>
                <w:sz w:val="24"/>
              </w:rPr>
            </w:pPr>
            <w:r>
              <w:rPr>
                <w:spacing w:val="-1"/>
                <w:sz w:val="24"/>
              </w:rPr>
              <w:t>区应急管理</w:t>
            </w:r>
            <w:r>
              <w:rPr>
                <w:sz w:val="24"/>
              </w:rPr>
              <w:t>局</w:t>
            </w:r>
          </w:p>
        </w:tc>
        <w:tc>
          <w:tcPr>
            <w:tcW w:w="5437" w:type="dxa"/>
          </w:tcPr>
          <w:p>
            <w:pPr>
              <w:pStyle w:val="8"/>
              <w:spacing w:before="6"/>
              <w:rPr>
                <w:sz w:val="17"/>
              </w:rPr>
            </w:pPr>
          </w:p>
          <w:p>
            <w:pPr>
              <w:pStyle w:val="8"/>
              <w:spacing w:line="249" w:lineRule="auto"/>
              <w:ind w:left="106" w:right="269"/>
              <w:jc w:val="both"/>
              <w:rPr>
                <w:sz w:val="24"/>
              </w:rPr>
            </w:pPr>
            <w:r>
              <w:rPr>
                <w:spacing w:val="-1"/>
                <w:sz w:val="24"/>
              </w:rPr>
              <w:t>负责提供企业安全生产等级评定数据；负责提供评价年度发生安全生产事故企业名单；负责提供</w:t>
            </w:r>
            <w:r>
              <w:rPr>
                <w:sz w:val="24"/>
              </w:rPr>
              <w:t>评价年度安全生产不达标的企业名单</w:t>
            </w:r>
          </w:p>
        </w:tc>
        <w:tc>
          <w:tcPr>
            <w:tcW w:w="6463" w:type="dxa"/>
          </w:tcPr>
          <w:p>
            <w:pPr>
              <w:pStyle w:val="8"/>
              <w:spacing w:before="6"/>
              <w:rPr>
                <w:sz w:val="17"/>
              </w:rPr>
            </w:pPr>
          </w:p>
          <w:p>
            <w:pPr>
              <w:pStyle w:val="8"/>
              <w:spacing w:line="249" w:lineRule="auto"/>
              <w:ind w:left="108" w:right="92"/>
              <w:jc w:val="both"/>
              <w:rPr>
                <w:sz w:val="24"/>
              </w:rPr>
            </w:pPr>
            <w:r>
              <w:rPr>
                <w:spacing w:val="-1"/>
                <w:sz w:val="24"/>
              </w:rPr>
              <w:t>企业安全生产等级评定数据为评价年度安全生产诚信等级评</w:t>
            </w:r>
            <w:r>
              <w:rPr>
                <w:spacing w:val="-21"/>
                <w:sz w:val="24"/>
              </w:rPr>
              <w:t xml:space="preserve">定为 </w:t>
            </w:r>
            <w:r>
              <w:rPr>
                <w:spacing w:val="-1"/>
                <w:sz w:val="24"/>
              </w:rPr>
              <w:t>C</w:t>
            </w:r>
            <w:r>
              <w:rPr>
                <w:spacing w:val="-9"/>
                <w:sz w:val="24"/>
              </w:rPr>
              <w:t xml:space="preserve"> 类以下的和被列入安全生产黑名单的企业名单；安全</w:t>
            </w:r>
            <w:r>
              <w:rPr>
                <w:sz w:val="24"/>
              </w:rPr>
              <w:t>生产事故包括重大安全生产事故、较大安全生产事故</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05" w:type="dxa"/>
          </w:tcPr>
          <w:p>
            <w:pPr>
              <w:pStyle w:val="8"/>
              <w:rPr>
                <w:sz w:val="24"/>
              </w:rPr>
            </w:pPr>
          </w:p>
          <w:p>
            <w:pPr>
              <w:pStyle w:val="8"/>
              <w:spacing w:before="8"/>
              <w:rPr>
                <w:sz w:val="19"/>
              </w:rPr>
            </w:pPr>
          </w:p>
          <w:p>
            <w:pPr>
              <w:pStyle w:val="8"/>
              <w:ind w:left="160" w:right="145"/>
              <w:jc w:val="center"/>
              <w:rPr>
                <w:sz w:val="24"/>
              </w:rPr>
            </w:pPr>
            <w:r>
              <w:rPr>
                <w:sz w:val="24"/>
              </w:rPr>
              <w:t>11</w:t>
            </w:r>
          </w:p>
        </w:tc>
        <w:tc>
          <w:tcPr>
            <w:tcW w:w="1530" w:type="dxa"/>
          </w:tcPr>
          <w:p>
            <w:pPr>
              <w:pStyle w:val="8"/>
              <w:spacing w:before="1"/>
              <w:rPr>
                <w:sz w:val="31"/>
              </w:rPr>
            </w:pPr>
          </w:p>
          <w:p>
            <w:pPr>
              <w:pStyle w:val="8"/>
              <w:spacing w:line="249" w:lineRule="auto"/>
              <w:ind w:left="643" w:right="144" w:hanging="480"/>
              <w:rPr>
                <w:sz w:val="24"/>
              </w:rPr>
            </w:pPr>
            <w:r>
              <w:rPr>
                <w:spacing w:val="-1"/>
                <w:sz w:val="24"/>
              </w:rPr>
              <w:t>区自然资源</w:t>
            </w:r>
            <w:r>
              <w:rPr>
                <w:sz w:val="24"/>
              </w:rPr>
              <w:t>局</w:t>
            </w:r>
          </w:p>
        </w:tc>
        <w:tc>
          <w:tcPr>
            <w:tcW w:w="5437" w:type="dxa"/>
          </w:tcPr>
          <w:p>
            <w:pPr>
              <w:pStyle w:val="8"/>
              <w:spacing w:before="9"/>
              <w:rPr>
                <w:sz w:val="18"/>
              </w:rPr>
            </w:pPr>
          </w:p>
          <w:p>
            <w:pPr>
              <w:pStyle w:val="8"/>
              <w:spacing w:line="249" w:lineRule="auto"/>
              <w:ind w:left="106" w:right="269"/>
              <w:jc w:val="both"/>
              <w:rPr>
                <w:sz w:val="24"/>
              </w:rPr>
            </w:pPr>
            <w:r>
              <w:rPr>
                <w:spacing w:val="-1"/>
                <w:sz w:val="24"/>
              </w:rPr>
              <w:t>负责提供企业的用地数据、闲置土地认定；制定差别化用地政策；认定因企业自身原因造成土地</w:t>
            </w:r>
            <w:r>
              <w:rPr>
                <w:sz w:val="24"/>
              </w:rPr>
              <w:t>闲置的企业名单</w:t>
            </w:r>
          </w:p>
        </w:tc>
        <w:tc>
          <w:tcPr>
            <w:tcW w:w="6463" w:type="dxa"/>
            <w:tcBorders>
              <w:bottom w:val="single" w:color="000000" w:sz="4" w:space="0"/>
            </w:tcBorders>
          </w:tcPr>
          <w:p>
            <w:pPr>
              <w:pStyle w:val="8"/>
              <w:spacing w:before="9"/>
              <w:rPr>
                <w:sz w:val="18"/>
              </w:rPr>
            </w:pPr>
          </w:p>
          <w:p>
            <w:pPr>
              <w:pStyle w:val="8"/>
              <w:spacing w:line="249" w:lineRule="auto"/>
              <w:ind w:left="108" w:right="92"/>
              <w:jc w:val="both"/>
              <w:rPr>
                <w:sz w:val="24"/>
              </w:rPr>
            </w:pPr>
            <w:r>
              <w:rPr>
                <w:spacing w:val="-1"/>
                <w:sz w:val="24"/>
              </w:rPr>
              <w:t>实际用地面积指企业实际使用土地的面积，分国土资源部门已登记和未登记的用地面积，包括企业自用、出租、无偿提</w:t>
            </w:r>
            <w:r>
              <w:rPr>
                <w:sz w:val="24"/>
              </w:rPr>
              <w:t>供他人使用的土地</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5" w:hRule="atLeast"/>
        </w:trPr>
        <w:tc>
          <w:tcPr>
            <w:tcW w:w="605" w:type="dxa"/>
          </w:tcPr>
          <w:p>
            <w:pPr>
              <w:pStyle w:val="8"/>
              <w:rPr>
                <w:sz w:val="24"/>
              </w:rPr>
            </w:pPr>
          </w:p>
          <w:p>
            <w:pPr>
              <w:pStyle w:val="8"/>
              <w:rPr>
                <w:sz w:val="34"/>
              </w:rPr>
            </w:pPr>
          </w:p>
          <w:p>
            <w:pPr>
              <w:pStyle w:val="8"/>
              <w:ind w:left="160" w:right="145"/>
              <w:jc w:val="center"/>
              <w:rPr>
                <w:sz w:val="24"/>
              </w:rPr>
            </w:pPr>
            <w:r>
              <w:rPr>
                <w:sz w:val="24"/>
              </w:rPr>
              <w:t>12</w:t>
            </w:r>
          </w:p>
        </w:tc>
        <w:tc>
          <w:tcPr>
            <w:tcW w:w="1530" w:type="dxa"/>
          </w:tcPr>
          <w:p>
            <w:pPr>
              <w:pStyle w:val="8"/>
              <w:rPr>
                <w:sz w:val="24"/>
              </w:rPr>
            </w:pPr>
          </w:p>
          <w:p>
            <w:pPr>
              <w:pStyle w:val="8"/>
              <w:rPr>
                <w:sz w:val="34"/>
              </w:rPr>
            </w:pPr>
          </w:p>
          <w:p>
            <w:pPr>
              <w:pStyle w:val="8"/>
              <w:ind w:left="163"/>
              <w:rPr>
                <w:sz w:val="24"/>
              </w:rPr>
            </w:pPr>
            <w:r>
              <w:rPr>
                <w:sz w:val="24"/>
              </w:rPr>
              <w:t>各镇（街）</w:t>
            </w:r>
          </w:p>
        </w:tc>
        <w:tc>
          <w:tcPr>
            <w:tcW w:w="5437" w:type="dxa"/>
          </w:tcPr>
          <w:p>
            <w:pPr>
              <w:pStyle w:val="8"/>
              <w:rPr>
                <w:sz w:val="24"/>
              </w:rPr>
            </w:pPr>
          </w:p>
          <w:p>
            <w:pPr>
              <w:pStyle w:val="8"/>
              <w:rPr>
                <w:sz w:val="34"/>
              </w:rPr>
            </w:pPr>
          </w:p>
          <w:p>
            <w:pPr>
              <w:pStyle w:val="8"/>
              <w:ind w:left="106"/>
              <w:rPr>
                <w:sz w:val="24"/>
              </w:rPr>
            </w:pPr>
            <w:r>
              <w:rPr>
                <w:sz w:val="24"/>
              </w:rPr>
              <w:t>负责按要求核实新办企业和“小升规”企业</w:t>
            </w:r>
          </w:p>
        </w:tc>
        <w:tc>
          <w:tcPr>
            <w:tcW w:w="6463" w:type="dxa"/>
            <w:tcBorders>
              <w:top w:val="single" w:color="000000" w:sz="4" w:space="0"/>
            </w:tcBorders>
          </w:tcPr>
          <w:p>
            <w:pPr>
              <w:pStyle w:val="8"/>
              <w:spacing w:before="107" w:line="249" w:lineRule="auto"/>
              <w:ind w:left="108" w:right="92"/>
              <w:rPr>
                <w:sz w:val="24"/>
              </w:rPr>
            </w:pPr>
            <w:r>
              <w:rPr>
                <w:spacing w:val="-1"/>
                <w:sz w:val="24"/>
              </w:rPr>
              <w:t>配合国土部门做好企业用地数据，提报；经批准的项目新增</w:t>
            </w:r>
            <w:r>
              <w:rPr>
                <w:spacing w:val="-10"/>
                <w:sz w:val="24"/>
              </w:rPr>
              <w:t xml:space="preserve">土地面积在 </w:t>
            </w:r>
            <w:r>
              <w:rPr>
                <w:sz w:val="24"/>
              </w:rPr>
              <w:t>2</w:t>
            </w:r>
            <w:r>
              <w:rPr>
                <w:spacing w:val="-10"/>
                <w:sz w:val="24"/>
              </w:rPr>
              <w:t xml:space="preserve"> 年建设期、</w:t>
            </w:r>
            <w:r>
              <w:rPr>
                <w:sz w:val="24"/>
              </w:rPr>
              <w:t>1</w:t>
            </w:r>
            <w:r>
              <w:rPr>
                <w:spacing w:val="-8"/>
                <w:sz w:val="24"/>
              </w:rPr>
              <w:t xml:space="preserve"> 年过渡期内可不计入用地面积。</w:t>
            </w:r>
            <w:r>
              <w:rPr>
                <w:sz w:val="24"/>
              </w:rPr>
              <w:t>企业实际用地面积=已登记用地面积+未登记用地面积+承租用地面积-出租用地面积，未登记用地面积、租用面积（含出租、承租）的占地面积=建筑面积/建筑物容积率</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5" w:hRule="atLeast"/>
        </w:trPr>
        <w:tc>
          <w:tcPr>
            <w:tcW w:w="605" w:type="dxa"/>
          </w:tcPr>
          <w:p>
            <w:pPr>
              <w:pStyle w:val="8"/>
              <w:rPr>
                <w:sz w:val="24"/>
              </w:rPr>
            </w:pPr>
          </w:p>
          <w:p>
            <w:pPr>
              <w:pStyle w:val="8"/>
              <w:spacing w:before="202"/>
              <w:ind w:left="160" w:right="145"/>
              <w:jc w:val="center"/>
              <w:rPr>
                <w:sz w:val="24"/>
              </w:rPr>
            </w:pPr>
            <w:r>
              <w:rPr>
                <w:sz w:val="24"/>
              </w:rPr>
              <w:t>13</w:t>
            </w:r>
          </w:p>
        </w:tc>
        <w:tc>
          <w:tcPr>
            <w:tcW w:w="1530" w:type="dxa"/>
          </w:tcPr>
          <w:p>
            <w:pPr>
              <w:pStyle w:val="8"/>
              <w:spacing w:before="3"/>
              <w:rPr>
                <w:sz w:val="27"/>
              </w:rPr>
            </w:pPr>
          </w:p>
          <w:p>
            <w:pPr>
              <w:pStyle w:val="8"/>
              <w:spacing w:line="249" w:lineRule="auto"/>
              <w:ind w:left="523" w:right="144" w:hanging="360"/>
              <w:rPr>
                <w:sz w:val="24"/>
              </w:rPr>
            </w:pPr>
            <w:r>
              <w:rPr>
                <w:spacing w:val="-1"/>
                <w:sz w:val="24"/>
              </w:rPr>
              <w:t>区金融服务</w:t>
            </w:r>
            <w:r>
              <w:rPr>
                <w:sz w:val="24"/>
              </w:rPr>
              <w:t>中心</w:t>
            </w:r>
          </w:p>
        </w:tc>
        <w:tc>
          <w:tcPr>
            <w:tcW w:w="5437" w:type="dxa"/>
          </w:tcPr>
          <w:p>
            <w:pPr>
              <w:pStyle w:val="8"/>
              <w:rPr>
                <w:sz w:val="24"/>
              </w:rPr>
            </w:pPr>
          </w:p>
          <w:p>
            <w:pPr>
              <w:pStyle w:val="8"/>
              <w:spacing w:before="202"/>
              <w:ind w:left="106"/>
              <w:rPr>
                <w:sz w:val="24"/>
              </w:rPr>
            </w:pPr>
            <w:r>
              <w:rPr>
                <w:sz w:val="24"/>
              </w:rPr>
              <w:t>负责提供股改、上市相关情况</w:t>
            </w:r>
          </w:p>
        </w:tc>
        <w:tc>
          <w:tcPr>
            <w:tcW w:w="6463" w:type="dxa"/>
          </w:tcPr>
          <w:p>
            <w:pPr>
              <w:pStyle w:val="8"/>
              <w:spacing w:before="3"/>
              <w:rPr>
                <w:sz w:val="27"/>
              </w:rPr>
            </w:pPr>
          </w:p>
          <w:p>
            <w:pPr>
              <w:pStyle w:val="8"/>
              <w:spacing w:line="249" w:lineRule="auto"/>
              <w:ind w:left="108" w:right="92"/>
              <w:rPr>
                <w:sz w:val="24"/>
              </w:rPr>
            </w:pPr>
            <w:r>
              <w:rPr>
                <w:spacing w:val="-1"/>
                <w:sz w:val="24"/>
              </w:rPr>
              <w:t>在主板、中小板、创业板上市的、在新三板上市的、在场外</w:t>
            </w:r>
            <w:r>
              <w:rPr>
                <w:sz w:val="24"/>
              </w:rPr>
              <w:t>市场上市的、完成股份制改制的企业</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5" w:hRule="atLeast"/>
        </w:trPr>
        <w:tc>
          <w:tcPr>
            <w:tcW w:w="605" w:type="dxa"/>
          </w:tcPr>
          <w:p>
            <w:pPr>
              <w:pStyle w:val="8"/>
              <w:rPr>
                <w:sz w:val="24"/>
              </w:rPr>
            </w:pPr>
          </w:p>
          <w:p>
            <w:pPr>
              <w:pStyle w:val="8"/>
              <w:spacing w:before="208"/>
              <w:ind w:left="160" w:right="145"/>
              <w:jc w:val="center"/>
              <w:rPr>
                <w:sz w:val="24"/>
              </w:rPr>
            </w:pPr>
            <w:r>
              <w:rPr>
                <w:sz w:val="24"/>
              </w:rPr>
              <w:t>14</w:t>
            </w:r>
          </w:p>
        </w:tc>
        <w:tc>
          <w:tcPr>
            <w:tcW w:w="1530" w:type="dxa"/>
          </w:tcPr>
          <w:p>
            <w:pPr>
              <w:pStyle w:val="8"/>
              <w:spacing w:before="9"/>
              <w:rPr>
                <w:sz w:val="27"/>
              </w:rPr>
            </w:pPr>
          </w:p>
          <w:p>
            <w:pPr>
              <w:pStyle w:val="8"/>
              <w:spacing w:line="249" w:lineRule="auto"/>
              <w:ind w:left="403" w:right="144" w:hanging="240"/>
              <w:rPr>
                <w:sz w:val="24"/>
              </w:rPr>
            </w:pPr>
            <w:r>
              <w:rPr>
                <w:spacing w:val="-1"/>
                <w:sz w:val="24"/>
              </w:rPr>
              <w:t>区行政审批</w:t>
            </w:r>
            <w:r>
              <w:rPr>
                <w:sz w:val="24"/>
              </w:rPr>
              <w:t>服务局</w:t>
            </w:r>
          </w:p>
        </w:tc>
        <w:tc>
          <w:tcPr>
            <w:tcW w:w="5437" w:type="dxa"/>
          </w:tcPr>
          <w:p>
            <w:pPr>
              <w:pStyle w:val="8"/>
              <w:rPr>
                <w:sz w:val="24"/>
              </w:rPr>
            </w:pPr>
          </w:p>
          <w:p>
            <w:pPr>
              <w:pStyle w:val="8"/>
              <w:spacing w:before="208"/>
              <w:ind w:left="106"/>
              <w:rPr>
                <w:sz w:val="24"/>
              </w:rPr>
            </w:pPr>
            <w:r>
              <w:rPr>
                <w:sz w:val="24"/>
              </w:rPr>
              <w:t>负责提供所有工业企业名单</w:t>
            </w:r>
          </w:p>
        </w:tc>
        <w:tc>
          <w:tcPr>
            <w:tcW w:w="6463" w:type="dxa"/>
          </w:tcPr>
          <w:p>
            <w:pPr>
              <w:pStyle w:val="8"/>
              <w:spacing w:before="9"/>
              <w:rPr>
                <w:sz w:val="27"/>
              </w:rPr>
            </w:pPr>
          </w:p>
          <w:p>
            <w:pPr>
              <w:pStyle w:val="8"/>
              <w:spacing w:line="249" w:lineRule="auto"/>
              <w:ind w:left="108" w:right="92"/>
              <w:rPr>
                <w:sz w:val="24"/>
              </w:rPr>
            </w:pPr>
            <w:r>
              <w:rPr>
                <w:spacing w:val="-1"/>
                <w:sz w:val="24"/>
              </w:rPr>
              <w:t>提供所有工业企业名单、法人信息、联系方式、企业注册地</w:t>
            </w:r>
            <w:r>
              <w:rPr>
                <w:sz w:val="24"/>
              </w:rPr>
              <w:t>址、企业性质等</w:t>
            </w:r>
          </w:p>
        </w:tc>
        <w:tc>
          <w:tcPr>
            <w:tcW w:w="947" w:type="dxa"/>
          </w:tcPr>
          <w:p>
            <w:pPr>
              <w:pStyle w:val="8"/>
              <w:rPr>
                <w:rFonts w:ascii="Times New Roman"/>
                <w:sz w:val="24"/>
              </w:rPr>
            </w:pPr>
          </w:p>
        </w:tc>
      </w:tr>
    </w:tbl>
    <w:p>
      <w:pPr>
        <w:spacing w:after="0"/>
        <w:rPr>
          <w:rFonts w:ascii="Times New Roman"/>
          <w:sz w:val="24"/>
        </w:rPr>
        <w:sectPr>
          <w:pgSz w:w="16840" w:h="11910" w:orient="landscape"/>
          <w:pgMar w:top="1100" w:right="800" w:bottom="1080" w:left="800" w:header="0" w:footer="897" w:gutter="0"/>
        </w:sectPr>
      </w:pPr>
    </w:p>
    <w:p>
      <w:pPr>
        <w:pStyle w:val="3"/>
        <w:rPr>
          <w:sz w:val="20"/>
        </w:rPr>
      </w:pPr>
    </w:p>
    <w:p>
      <w:pPr>
        <w:pStyle w:val="3"/>
        <w:spacing w:before="6" w:after="1"/>
        <w:rPr>
          <w:sz w:val="17"/>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5"/>
        <w:gridCol w:w="1530"/>
        <w:gridCol w:w="5437"/>
        <w:gridCol w:w="6463"/>
        <w:gridCol w:w="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605" w:type="dxa"/>
          </w:tcPr>
          <w:p>
            <w:pPr>
              <w:pStyle w:val="8"/>
              <w:spacing w:before="150" w:line="180" w:lineRule="auto"/>
              <w:ind w:left="180" w:right="162"/>
              <w:rPr>
                <w:rFonts w:hint="eastAsia" w:ascii="Microsoft YaHei UI" w:eastAsia="Microsoft YaHei UI"/>
                <w:b/>
                <w:sz w:val="24"/>
              </w:rPr>
            </w:pPr>
            <w:r>
              <w:rPr>
                <w:rFonts w:hint="eastAsia" w:ascii="Microsoft YaHei UI" w:eastAsia="Microsoft YaHei UI"/>
                <w:b/>
                <w:sz w:val="24"/>
              </w:rPr>
              <w:t>序号</w:t>
            </w:r>
          </w:p>
        </w:tc>
        <w:tc>
          <w:tcPr>
            <w:tcW w:w="1530" w:type="dxa"/>
          </w:tcPr>
          <w:p>
            <w:pPr>
              <w:pStyle w:val="8"/>
              <w:spacing w:before="74" w:line="373" w:lineRule="exact"/>
              <w:ind w:left="223"/>
              <w:rPr>
                <w:rFonts w:hint="eastAsia" w:ascii="Microsoft YaHei UI" w:eastAsia="Microsoft YaHei UI"/>
                <w:b/>
                <w:sz w:val="24"/>
              </w:rPr>
            </w:pPr>
            <w:r>
              <w:rPr>
                <w:rFonts w:hint="eastAsia" w:ascii="Microsoft YaHei UI" w:eastAsia="Microsoft YaHei UI"/>
                <w:b/>
                <w:sz w:val="24"/>
              </w:rPr>
              <w:t>部门/乡镇</w:t>
            </w:r>
          </w:p>
          <w:p>
            <w:pPr>
              <w:pStyle w:val="8"/>
              <w:spacing w:line="373" w:lineRule="exact"/>
              <w:ind w:left="283"/>
              <w:rPr>
                <w:rFonts w:hint="eastAsia" w:ascii="Microsoft YaHei UI" w:eastAsia="Microsoft YaHei UI"/>
                <w:b/>
                <w:sz w:val="24"/>
              </w:rPr>
            </w:pPr>
            <w:r>
              <w:rPr>
                <w:rFonts w:hint="eastAsia" w:ascii="Microsoft YaHei UI" w:eastAsia="Microsoft YaHei UI"/>
                <w:b/>
                <w:sz w:val="24"/>
              </w:rPr>
              <w:t>（街道）</w:t>
            </w:r>
          </w:p>
        </w:tc>
        <w:tc>
          <w:tcPr>
            <w:tcW w:w="5437" w:type="dxa"/>
          </w:tcPr>
          <w:p>
            <w:pPr>
              <w:pStyle w:val="8"/>
              <w:spacing w:before="4"/>
              <w:rPr>
                <w:sz w:val="18"/>
              </w:rPr>
            </w:pPr>
          </w:p>
          <w:p>
            <w:pPr>
              <w:pStyle w:val="8"/>
              <w:ind w:left="2219" w:right="2198"/>
              <w:jc w:val="center"/>
              <w:rPr>
                <w:rFonts w:hint="eastAsia" w:ascii="Microsoft YaHei UI" w:eastAsia="Microsoft YaHei UI"/>
                <w:b/>
                <w:sz w:val="24"/>
              </w:rPr>
            </w:pPr>
            <w:r>
              <w:rPr>
                <w:rFonts w:hint="eastAsia" w:ascii="Microsoft YaHei UI" w:eastAsia="Microsoft YaHei UI"/>
                <w:b/>
                <w:sz w:val="24"/>
              </w:rPr>
              <w:t>工作职责</w:t>
            </w:r>
          </w:p>
        </w:tc>
        <w:tc>
          <w:tcPr>
            <w:tcW w:w="6463" w:type="dxa"/>
          </w:tcPr>
          <w:p>
            <w:pPr>
              <w:pStyle w:val="8"/>
              <w:spacing w:before="4"/>
              <w:rPr>
                <w:sz w:val="18"/>
              </w:rPr>
            </w:pPr>
          </w:p>
          <w:p>
            <w:pPr>
              <w:pStyle w:val="8"/>
              <w:ind w:left="2731" w:right="2711"/>
              <w:jc w:val="center"/>
              <w:rPr>
                <w:rFonts w:hint="eastAsia" w:ascii="Microsoft YaHei UI" w:eastAsia="Microsoft YaHei UI"/>
                <w:b/>
                <w:sz w:val="24"/>
              </w:rPr>
            </w:pPr>
            <w:r>
              <w:rPr>
                <w:rFonts w:hint="eastAsia" w:ascii="Microsoft YaHei UI" w:eastAsia="Microsoft YaHei UI"/>
                <w:b/>
                <w:sz w:val="24"/>
              </w:rPr>
              <w:t>具体内容</w:t>
            </w:r>
          </w:p>
        </w:tc>
        <w:tc>
          <w:tcPr>
            <w:tcW w:w="947" w:type="dxa"/>
          </w:tcPr>
          <w:p>
            <w:pPr>
              <w:pStyle w:val="8"/>
              <w:spacing w:before="4"/>
              <w:rPr>
                <w:sz w:val="18"/>
              </w:rPr>
            </w:pPr>
          </w:p>
          <w:p>
            <w:pPr>
              <w:pStyle w:val="8"/>
              <w:ind w:left="233"/>
              <w:rPr>
                <w:rFonts w:hint="eastAsia" w:ascii="Microsoft YaHei UI" w:eastAsia="Microsoft YaHei UI"/>
                <w:b/>
                <w:sz w:val="24"/>
              </w:rPr>
            </w:pPr>
            <w:r>
              <w:rPr>
                <w:rFonts w:hint="eastAsia" w:ascii="Microsoft YaHei UI" w:eastAsia="Microsoft YaHei UI"/>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5" w:hRule="atLeast"/>
        </w:trPr>
        <w:tc>
          <w:tcPr>
            <w:tcW w:w="605" w:type="dxa"/>
          </w:tcPr>
          <w:p>
            <w:pPr>
              <w:pStyle w:val="8"/>
              <w:rPr>
                <w:sz w:val="24"/>
              </w:rPr>
            </w:pPr>
          </w:p>
          <w:p>
            <w:pPr>
              <w:pStyle w:val="8"/>
              <w:spacing w:before="212"/>
              <w:ind w:left="160" w:right="145"/>
              <w:jc w:val="center"/>
              <w:rPr>
                <w:sz w:val="24"/>
              </w:rPr>
            </w:pPr>
            <w:r>
              <w:rPr>
                <w:sz w:val="24"/>
              </w:rPr>
              <w:t>15</w:t>
            </w:r>
          </w:p>
        </w:tc>
        <w:tc>
          <w:tcPr>
            <w:tcW w:w="1530" w:type="dxa"/>
          </w:tcPr>
          <w:p>
            <w:pPr>
              <w:pStyle w:val="8"/>
              <w:rPr>
                <w:sz w:val="24"/>
              </w:rPr>
            </w:pPr>
          </w:p>
          <w:p>
            <w:pPr>
              <w:pStyle w:val="8"/>
              <w:spacing w:before="212"/>
              <w:ind w:left="143" w:right="127"/>
              <w:jc w:val="center"/>
              <w:rPr>
                <w:sz w:val="24"/>
              </w:rPr>
            </w:pPr>
            <w:r>
              <w:rPr>
                <w:sz w:val="24"/>
              </w:rPr>
              <w:t>山亭供电部</w:t>
            </w:r>
          </w:p>
        </w:tc>
        <w:tc>
          <w:tcPr>
            <w:tcW w:w="5437" w:type="dxa"/>
          </w:tcPr>
          <w:p>
            <w:pPr>
              <w:pStyle w:val="8"/>
              <w:rPr>
                <w:sz w:val="28"/>
              </w:rPr>
            </w:pPr>
          </w:p>
          <w:p>
            <w:pPr>
              <w:pStyle w:val="8"/>
              <w:spacing w:line="249" w:lineRule="auto"/>
              <w:ind w:left="106" w:right="269"/>
              <w:rPr>
                <w:sz w:val="24"/>
              </w:rPr>
            </w:pPr>
            <w:r>
              <w:rPr>
                <w:spacing w:val="-1"/>
                <w:sz w:val="24"/>
              </w:rPr>
              <w:t>执行差别化电价政策；协助发改局制定有序用电</w:t>
            </w:r>
            <w:r>
              <w:rPr>
                <w:sz w:val="24"/>
              </w:rPr>
              <w:t>方案并执行；负责提供企业评价年度用电数据</w:t>
            </w:r>
          </w:p>
        </w:tc>
        <w:tc>
          <w:tcPr>
            <w:tcW w:w="6463" w:type="dxa"/>
          </w:tcPr>
          <w:p>
            <w:pPr>
              <w:pStyle w:val="8"/>
              <w:spacing w:before="200" w:line="249" w:lineRule="auto"/>
              <w:ind w:left="108" w:right="92"/>
              <w:jc w:val="both"/>
              <w:rPr>
                <w:sz w:val="24"/>
              </w:rPr>
            </w:pPr>
            <w:r>
              <w:rPr>
                <w:spacing w:val="-1"/>
                <w:sz w:val="24"/>
              </w:rPr>
              <w:t>企业实际用电总量，若企业有多个电表的，按每个电表加总数填报；若多个企业共用一户电表的，每个企业按实际用电</w:t>
            </w:r>
            <w:r>
              <w:rPr>
                <w:sz w:val="24"/>
              </w:rPr>
              <w:t>量填报，加总电量应该等于该户电表的用电量</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5" w:hRule="atLeast"/>
        </w:trPr>
        <w:tc>
          <w:tcPr>
            <w:tcW w:w="605" w:type="dxa"/>
          </w:tcPr>
          <w:p>
            <w:pPr>
              <w:pStyle w:val="8"/>
              <w:rPr>
                <w:sz w:val="24"/>
              </w:rPr>
            </w:pPr>
          </w:p>
          <w:p>
            <w:pPr>
              <w:pStyle w:val="8"/>
              <w:spacing w:before="9"/>
              <w:rPr>
                <w:sz w:val="17"/>
              </w:rPr>
            </w:pPr>
          </w:p>
          <w:p>
            <w:pPr>
              <w:pStyle w:val="8"/>
              <w:ind w:left="160" w:right="145"/>
              <w:jc w:val="center"/>
              <w:rPr>
                <w:sz w:val="24"/>
              </w:rPr>
            </w:pPr>
            <w:r>
              <w:rPr>
                <w:sz w:val="24"/>
              </w:rPr>
              <w:t>16</w:t>
            </w:r>
          </w:p>
        </w:tc>
        <w:tc>
          <w:tcPr>
            <w:tcW w:w="1530" w:type="dxa"/>
          </w:tcPr>
          <w:p>
            <w:pPr>
              <w:pStyle w:val="8"/>
              <w:rPr>
                <w:sz w:val="24"/>
              </w:rPr>
            </w:pPr>
          </w:p>
          <w:p>
            <w:pPr>
              <w:pStyle w:val="8"/>
              <w:spacing w:before="9"/>
              <w:rPr>
                <w:sz w:val="17"/>
              </w:rPr>
            </w:pPr>
          </w:p>
          <w:p>
            <w:pPr>
              <w:pStyle w:val="8"/>
              <w:ind w:left="143" w:right="127"/>
              <w:jc w:val="center"/>
              <w:rPr>
                <w:sz w:val="24"/>
              </w:rPr>
            </w:pPr>
            <w:r>
              <w:rPr>
                <w:sz w:val="24"/>
              </w:rPr>
              <w:t>区法院</w:t>
            </w:r>
          </w:p>
        </w:tc>
        <w:tc>
          <w:tcPr>
            <w:tcW w:w="5437" w:type="dxa"/>
          </w:tcPr>
          <w:p>
            <w:pPr>
              <w:pStyle w:val="8"/>
              <w:spacing w:before="4"/>
              <w:rPr>
                <w:sz w:val="29"/>
              </w:rPr>
            </w:pPr>
          </w:p>
          <w:p>
            <w:pPr>
              <w:pStyle w:val="8"/>
              <w:spacing w:before="1" w:line="247" w:lineRule="auto"/>
              <w:ind w:left="106" w:right="269"/>
              <w:rPr>
                <w:sz w:val="24"/>
              </w:rPr>
            </w:pPr>
            <w:r>
              <w:rPr>
                <w:spacing w:val="-1"/>
                <w:sz w:val="24"/>
              </w:rPr>
              <w:t>提供被列入失信被执行人、“黑名单”等企业信</w:t>
            </w:r>
            <w:r>
              <w:rPr>
                <w:sz w:val="24"/>
              </w:rPr>
              <w:t>息</w:t>
            </w:r>
          </w:p>
        </w:tc>
        <w:tc>
          <w:tcPr>
            <w:tcW w:w="6463" w:type="dxa"/>
          </w:tcPr>
          <w:p>
            <w:pPr>
              <w:pStyle w:val="8"/>
              <w:spacing w:before="4"/>
              <w:rPr>
                <w:sz w:val="29"/>
              </w:rPr>
            </w:pPr>
          </w:p>
          <w:p>
            <w:pPr>
              <w:pStyle w:val="8"/>
              <w:spacing w:before="1" w:line="247" w:lineRule="auto"/>
              <w:ind w:left="108" w:right="332"/>
              <w:rPr>
                <w:sz w:val="24"/>
              </w:rPr>
            </w:pPr>
            <w:r>
              <w:rPr>
                <w:spacing w:val="-1"/>
                <w:sz w:val="24"/>
              </w:rPr>
              <w:t>根据综合评价相关工作要求，提供被列入失信被执行人、</w:t>
            </w:r>
            <w:r>
              <w:rPr>
                <w:sz w:val="24"/>
              </w:rPr>
              <w:t>“黑名单”等企业信息</w:t>
            </w:r>
          </w:p>
        </w:tc>
        <w:tc>
          <w:tcPr>
            <w:tcW w:w="94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05" w:type="dxa"/>
            <w:tcBorders>
              <w:bottom w:val="single" w:color="000000" w:sz="4" w:space="0"/>
            </w:tcBorders>
          </w:tcPr>
          <w:p>
            <w:pPr>
              <w:pStyle w:val="8"/>
              <w:rPr>
                <w:sz w:val="24"/>
              </w:rPr>
            </w:pPr>
          </w:p>
          <w:p>
            <w:pPr>
              <w:pStyle w:val="8"/>
              <w:spacing w:before="3"/>
              <w:rPr>
                <w:sz w:val="17"/>
              </w:rPr>
            </w:pPr>
          </w:p>
          <w:p>
            <w:pPr>
              <w:pStyle w:val="8"/>
              <w:ind w:left="160" w:right="145"/>
              <w:jc w:val="center"/>
              <w:rPr>
                <w:sz w:val="24"/>
              </w:rPr>
            </w:pPr>
            <w:r>
              <w:rPr>
                <w:sz w:val="24"/>
              </w:rPr>
              <w:t>17</w:t>
            </w:r>
          </w:p>
        </w:tc>
        <w:tc>
          <w:tcPr>
            <w:tcW w:w="1530" w:type="dxa"/>
            <w:tcBorders>
              <w:bottom w:val="single" w:color="000000" w:sz="4" w:space="0"/>
            </w:tcBorders>
          </w:tcPr>
          <w:p>
            <w:pPr>
              <w:pStyle w:val="8"/>
              <w:spacing w:before="8"/>
              <w:rPr>
                <w:sz w:val="28"/>
              </w:rPr>
            </w:pPr>
          </w:p>
          <w:p>
            <w:pPr>
              <w:pStyle w:val="8"/>
              <w:spacing w:before="1" w:line="249" w:lineRule="auto"/>
              <w:ind w:left="108" w:right="199"/>
              <w:rPr>
                <w:sz w:val="24"/>
              </w:rPr>
            </w:pPr>
            <w:r>
              <w:rPr>
                <w:spacing w:val="-1"/>
                <w:sz w:val="24"/>
              </w:rPr>
              <w:t>山亭经济开发区管委会</w:t>
            </w:r>
          </w:p>
        </w:tc>
        <w:tc>
          <w:tcPr>
            <w:tcW w:w="5437" w:type="dxa"/>
            <w:tcBorders>
              <w:bottom w:val="single" w:color="000000" w:sz="4" w:space="0"/>
            </w:tcBorders>
          </w:tcPr>
          <w:p>
            <w:pPr>
              <w:pStyle w:val="8"/>
              <w:rPr>
                <w:sz w:val="24"/>
              </w:rPr>
            </w:pPr>
          </w:p>
          <w:p>
            <w:pPr>
              <w:pStyle w:val="8"/>
              <w:spacing w:before="3"/>
              <w:rPr>
                <w:sz w:val="17"/>
              </w:rPr>
            </w:pPr>
          </w:p>
          <w:p>
            <w:pPr>
              <w:pStyle w:val="8"/>
              <w:ind w:left="106"/>
              <w:rPr>
                <w:sz w:val="24"/>
              </w:rPr>
            </w:pPr>
            <w:r>
              <w:rPr>
                <w:sz w:val="24"/>
              </w:rPr>
              <w:t>按要求核实园区内新办企业和“小升规”企业</w:t>
            </w:r>
          </w:p>
        </w:tc>
        <w:tc>
          <w:tcPr>
            <w:tcW w:w="6463" w:type="dxa"/>
            <w:tcBorders>
              <w:bottom w:val="single" w:color="000000" w:sz="4" w:space="0"/>
            </w:tcBorders>
          </w:tcPr>
          <w:p>
            <w:pPr>
              <w:pStyle w:val="8"/>
              <w:rPr>
                <w:sz w:val="24"/>
              </w:rPr>
            </w:pPr>
          </w:p>
          <w:p>
            <w:pPr>
              <w:pStyle w:val="8"/>
              <w:spacing w:before="3"/>
              <w:rPr>
                <w:sz w:val="17"/>
              </w:rPr>
            </w:pPr>
          </w:p>
          <w:p>
            <w:pPr>
              <w:pStyle w:val="8"/>
              <w:ind w:left="108"/>
              <w:rPr>
                <w:sz w:val="24"/>
              </w:rPr>
            </w:pPr>
            <w:r>
              <w:rPr>
                <w:sz w:val="24"/>
              </w:rPr>
              <w:t>与各镇（街）共同认定园区内新办企业和“小升规”企业</w:t>
            </w:r>
          </w:p>
        </w:tc>
        <w:tc>
          <w:tcPr>
            <w:tcW w:w="947" w:type="dxa"/>
            <w:tcBorders>
              <w:bottom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0" w:hRule="atLeast"/>
        </w:trPr>
        <w:tc>
          <w:tcPr>
            <w:tcW w:w="605" w:type="dxa"/>
            <w:tcBorders>
              <w:top w:val="single" w:color="000000" w:sz="4" w:space="0"/>
              <w:left w:val="single" w:color="000000" w:sz="4" w:space="0"/>
              <w:bottom w:val="single" w:color="000000" w:sz="4" w:space="0"/>
            </w:tcBorders>
          </w:tcPr>
          <w:p>
            <w:pPr>
              <w:pStyle w:val="8"/>
              <w:rPr>
                <w:sz w:val="24"/>
              </w:rPr>
            </w:pPr>
          </w:p>
          <w:p>
            <w:pPr>
              <w:pStyle w:val="8"/>
              <w:spacing w:before="11"/>
              <w:rPr>
                <w:sz w:val="17"/>
              </w:rPr>
            </w:pPr>
          </w:p>
          <w:p>
            <w:pPr>
              <w:pStyle w:val="8"/>
              <w:spacing w:before="1"/>
              <w:ind w:left="165" w:right="145"/>
              <w:jc w:val="center"/>
              <w:rPr>
                <w:sz w:val="24"/>
              </w:rPr>
            </w:pPr>
            <w:r>
              <w:rPr>
                <w:sz w:val="24"/>
              </w:rPr>
              <w:t>18</w:t>
            </w:r>
          </w:p>
        </w:tc>
        <w:tc>
          <w:tcPr>
            <w:tcW w:w="1530" w:type="dxa"/>
            <w:tcBorders>
              <w:top w:val="single" w:color="000000" w:sz="4" w:space="0"/>
              <w:bottom w:val="single" w:color="000000" w:sz="4" w:space="0"/>
            </w:tcBorders>
          </w:tcPr>
          <w:p>
            <w:pPr>
              <w:pStyle w:val="8"/>
              <w:rPr>
                <w:sz w:val="24"/>
              </w:rPr>
            </w:pPr>
          </w:p>
          <w:p>
            <w:pPr>
              <w:pStyle w:val="8"/>
              <w:spacing w:before="11"/>
              <w:rPr>
                <w:sz w:val="17"/>
              </w:rPr>
            </w:pPr>
          </w:p>
          <w:p>
            <w:pPr>
              <w:pStyle w:val="8"/>
              <w:spacing w:before="1"/>
              <w:ind w:left="143" w:right="127"/>
              <w:jc w:val="center"/>
              <w:rPr>
                <w:sz w:val="24"/>
              </w:rPr>
            </w:pPr>
            <w:r>
              <w:rPr>
                <w:sz w:val="24"/>
              </w:rPr>
              <w:t>区人社局</w:t>
            </w:r>
          </w:p>
        </w:tc>
        <w:tc>
          <w:tcPr>
            <w:tcW w:w="5437" w:type="dxa"/>
            <w:tcBorders>
              <w:top w:val="single" w:color="000000" w:sz="4" w:space="0"/>
              <w:bottom w:val="single" w:color="000000" w:sz="4" w:space="0"/>
            </w:tcBorders>
          </w:tcPr>
          <w:p>
            <w:pPr>
              <w:pStyle w:val="8"/>
              <w:spacing w:before="4"/>
              <w:rPr>
                <w:sz w:val="29"/>
              </w:rPr>
            </w:pPr>
          </w:p>
          <w:p>
            <w:pPr>
              <w:pStyle w:val="8"/>
              <w:spacing w:before="1" w:line="249" w:lineRule="auto"/>
              <w:ind w:left="106" w:right="269"/>
              <w:rPr>
                <w:sz w:val="24"/>
              </w:rPr>
            </w:pPr>
            <w:r>
              <w:rPr>
                <w:spacing w:val="-1"/>
                <w:sz w:val="24"/>
              </w:rPr>
              <w:t>负责提供评价年度发生重大劳动保障违法行为的企业名单；同组织部共同认定领军人才相关事宜</w:t>
            </w:r>
          </w:p>
        </w:tc>
        <w:tc>
          <w:tcPr>
            <w:tcW w:w="6463" w:type="dxa"/>
            <w:tcBorders>
              <w:top w:val="single" w:color="000000" w:sz="4" w:space="0"/>
              <w:bottom w:val="single" w:color="000000" w:sz="4" w:space="0"/>
              <w:right w:val="single" w:color="000000" w:sz="4" w:space="0"/>
            </w:tcBorders>
          </w:tcPr>
          <w:p>
            <w:pPr>
              <w:pStyle w:val="8"/>
              <w:rPr>
                <w:sz w:val="17"/>
              </w:rPr>
            </w:pPr>
          </w:p>
          <w:p>
            <w:pPr>
              <w:pStyle w:val="8"/>
              <w:spacing w:line="247" w:lineRule="auto"/>
              <w:ind w:left="108" w:right="97"/>
              <w:jc w:val="both"/>
              <w:rPr>
                <w:sz w:val="24"/>
              </w:rPr>
            </w:pPr>
            <w:r>
              <w:rPr>
                <w:spacing w:val="-1"/>
                <w:sz w:val="24"/>
              </w:rPr>
              <w:t>根据综合评价相关工作要求，负责提供评价年度发生重大劳动保障违法行为的企业名单；同组织部共同认定领军人才相</w:t>
            </w:r>
            <w:r>
              <w:rPr>
                <w:sz w:val="24"/>
              </w:rPr>
              <w:t>关事宜；认定职工人数</w:t>
            </w:r>
          </w:p>
        </w:tc>
        <w:tc>
          <w:tcPr>
            <w:tcW w:w="947"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r>
    </w:tbl>
    <w:p>
      <w:pPr>
        <w:spacing w:before="81" w:line="312" w:lineRule="auto"/>
        <w:ind w:left="640" w:right="637" w:firstLine="0"/>
        <w:jc w:val="left"/>
        <w:rPr>
          <w:sz w:val="24"/>
        </w:rPr>
      </w:pPr>
      <w:r>
        <w:rPr>
          <w:sz w:val="24"/>
        </w:rPr>
        <w:t>注：表格中未提及的评价指标所需事项，在区工业企业“亩产效益”评价改革工作领导小组办公室调度安排下，按照</w:t>
      </w:r>
      <w:r>
        <w:rPr>
          <w:rFonts w:ascii="Times New Roman" w:hAnsi="Times New Roman" w:eastAsia="Times New Roman"/>
          <w:sz w:val="24"/>
        </w:rPr>
        <w:t>“</w:t>
      </w:r>
      <w:r>
        <w:rPr>
          <w:sz w:val="24"/>
        </w:rPr>
        <w:t>谁主管、谁统计、谁负责</w:t>
      </w:r>
      <w:r>
        <w:rPr>
          <w:rFonts w:ascii="Times New Roman" w:hAnsi="Times New Roman" w:eastAsia="Times New Roman"/>
          <w:sz w:val="24"/>
        </w:rPr>
        <w:t>”</w:t>
      </w:r>
      <w:r>
        <w:rPr>
          <w:sz w:val="24"/>
        </w:rPr>
        <w:t>的原则，由各主管部门负责提供数据。</w:t>
      </w:r>
    </w:p>
    <w:p>
      <w:pPr>
        <w:spacing w:after="0" w:line="312" w:lineRule="auto"/>
        <w:jc w:val="left"/>
        <w:rPr>
          <w:sz w:val="24"/>
        </w:rPr>
        <w:sectPr>
          <w:pgSz w:w="16840" w:h="11910" w:orient="landscape"/>
          <w:pgMar w:top="1100" w:right="800" w:bottom="1080" w:left="800" w:header="0" w:footer="897"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0"/>
        </w:rPr>
      </w:pPr>
    </w:p>
    <w:p>
      <w:pPr>
        <w:pStyle w:val="3"/>
        <w:spacing w:line="20" w:lineRule="exact"/>
        <w:ind w:left="123"/>
        <w:rPr>
          <w:sz w:val="2"/>
        </w:rPr>
      </w:pPr>
      <w:r>
        <w:rPr>
          <w:sz w:val="2"/>
        </w:rPr>
        <w:pict>
          <v:group id="_x0000_s1026" o:spid="_x0000_s1026" o:spt="203" style="height:0.5pt;width:415pt;" coordsize="8300,10">
            <o:lock v:ext="edit"/>
            <v:rect id="_x0000_s1027" o:spid="_x0000_s1027" o:spt="1" style="position:absolute;left:0;top:0;height:10;width:8300;" fillcolor="#000000" filled="t" stroked="f" coordsize="21600,21600">
              <v:path/>
              <v:fill on="t" focussize="0,0"/>
              <v:stroke on="f"/>
              <v:imagedata o:title=""/>
              <o:lock v:ext="edit"/>
            </v:rect>
            <w10:wrap type="none"/>
            <w10:anchorlock/>
          </v:group>
        </w:pict>
      </w:r>
    </w:p>
    <w:p>
      <w:pPr>
        <w:pStyle w:val="3"/>
        <w:spacing w:before="12"/>
        <w:rPr>
          <w:sz w:val="7"/>
        </w:rPr>
      </w:pPr>
    </w:p>
    <w:p>
      <w:pPr>
        <w:tabs>
          <w:tab w:val="left" w:pos="5582"/>
        </w:tabs>
        <w:spacing w:before="62"/>
        <w:ind w:left="264" w:right="0" w:firstLine="0"/>
        <w:jc w:val="left"/>
        <w:rPr>
          <w:sz w:val="28"/>
        </w:rPr>
      </w:pPr>
      <w:r>
        <w:pict>
          <v:rect id="_x0000_s1028" o:spid="_x0000_s1028" o:spt="1" style="position:absolute;left:0pt;margin-left:90.15pt;margin-top:23.4pt;height:0.45pt;width:415pt;mso-position-horizontal-relative:page;mso-wrap-distance-bottom:0pt;mso-wrap-distance-top:0pt;z-index:-15727616;mso-width-relative:page;mso-height-relative:page;" fillcolor="#000000" filled="t" stroked="f" coordsize="21600,21600">
            <v:path/>
            <v:fill on="t" focussize="0,0"/>
            <v:stroke on="f"/>
            <v:imagedata o:title=""/>
            <o:lock v:ext="edit"/>
            <w10:wrap type="topAndBottom"/>
          </v:rect>
        </w:pict>
      </w:r>
      <w:r>
        <w:rPr>
          <w:sz w:val="28"/>
        </w:rPr>
        <w:t>山亭区人民政府办公室</w:t>
      </w:r>
      <w:r>
        <w:rPr>
          <w:sz w:val="28"/>
        </w:rPr>
        <w:tab/>
      </w:r>
      <w:r>
        <w:rPr>
          <w:sz w:val="28"/>
        </w:rPr>
        <w:t>2021</w:t>
      </w:r>
      <w:r>
        <w:rPr>
          <w:spacing w:val="-70"/>
          <w:sz w:val="28"/>
        </w:rPr>
        <w:t xml:space="preserve"> </w:t>
      </w:r>
      <w:r>
        <w:rPr>
          <w:sz w:val="28"/>
        </w:rPr>
        <w:t>年</w:t>
      </w:r>
      <w:r>
        <w:rPr>
          <w:spacing w:val="-71"/>
          <w:sz w:val="28"/>
        </w:rPr>
        <w:t xml:space="preserve"> </w:t>
      </w:r>
      <w:r>
        <w:rPr>
          <w:sz w:val="28"/>
        </w:rPr>
        <w:t>5</w:t>
      </w:r>
      <w:r>
        <w:rPr>
          <w:spacing w:val="-71"/>
          <w:sz w:val="28"/>
        </w:rPr>
        <w:t xml:space="preserve"> </w:t>
      </w:r>
      <w:r>
        <w:rPr>
          <w:sz w:val="28"/>
        </w:rPr>
        <w:t>月</w:t>
      </w:r>
      <w:r>
        <w:rPr>
          <w:spacing w:val="-71"/>
          <w:sz w:val="28"/>
        </w:rPr>
        <w:t xml:space="preserve"> </w:t>
      </w:r>
      <w:r>
        <w:rPr>
          <w:sz w:val="28"/>
        </w:rPr>
        <w:t>24</w:t>
      </w:r>
      <w:r>
        <w:rPr>
          <w:spacing w:val="-72"/>
          <w:sz w:val="28"/>
        </w:rPr>
        <w:t xml:space="preserve"> </w:t>
      </w:r>
      <w:r>
        <w:rPr>
          <w:sz w:val="28"/>
        </w:rPr>
        <w:t>日印发</w:t>
      </w:r>
    </w:p>
    <w:p>
      <w:pPr>
        <w:pStyle w:val="3"/>
        <w:rPr>
          <w:sz w:val="20"/>
        </w:rPr>
      </w:pPr>
    </w:p>
    <w:p>
      <w:pPr>
        <w:spacing w:before="195"/>
        <w:ind w:left="4134" w:right="4135" w:firstLine="0"/>
        <w:jc w:val="center"/>
        <w:rPr>
          <w:sz w:val="24"/>
        </w:rPr>
      </w:pPr>
      <w:r>
        <w:rPr>
          <w:sz w:val="24"/>
        </w:rPr>
        <w:t>20</w:t>
      </w:r>
    </w:p>
    <w:sectPr>
      <w:footerReference r:id="rId5" w:type="default"/>
      <w:pgSz w:w="11910" w:h="16840"/>
      <w:pgMar w:top="1580" w:right="1680" w:bottom="280" w:left="16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YaHei UI">
    <w:altName w:val="Segoe Print"/>
    <w:panose1 w:val="00000000000000000000"/>
    <w:charset w:val="01"/>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swiss"/>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88.6pt;margin-top:774.95pt;height:14pt;width:18pt;mso-position-horizontal-relative:page;mso-position-vertical-relative:page;z-index:-16130048;mso-width-relative:page;mso-height-relative:page;" filled="f" stroked="f" coordsize="21600,21600">
          <v:path/>
          <v:fill on="f" focussize="0,0"/>
          <v:stroke on="f" joinstyle="miter"/>
          <v:imagedata o:title=""/>
          <o:lock v:ext="edit"/>
          <v:textbox inset="0mm,0mm,0mm,0mm">
            <w:txbxContent>
              <w:p>
                <w:pPr>
                  <w:spacing w:before="0" w:line="280" w:lineRule="exact"/>
                  <w:ind w:left="6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11.95pt;margin-top:535.45pt;height:14pt;width:18pt;mso-position-horizontal-relative:page;mso-position-vertical-relative:page;z-index:-16129024;mso-width-relative:page;mso-height-relative:page;" filled="f" stroked="f" coordsize="21600,21600">
          <v:path/>
          <v:fill on="f" focussize="0,0"/>
          <v:stroke on="f" joinstyle="miter"/>
          <v:imagedata o:title=""/>
          <o:lock v:ext="edit"/>
          <v:textbox inset="0mm,0mm,0mm,0mm">
            <w:txbxContent>
              <w:p>
                <w:pPr>
                  <w:spacing w:before="0" w:line="280" w:lineRule="exact"/>
                  <w:ind w:left="60" w:right="0" w:firstLine="0"/>
                  <w:jc w:val="left"/>
                  <w:rPr>
                    <w:sz w:val="24"/>
                  </w:rPr>
                </w:pPr>
                <w:r>
                  <w:fldChar w:fldCharType="begin"/>
                </w:r>
                <w:r>
                  <w:rPr>
                    <w:sz w:val="24"/>
                  </w:rPr>
                  <w:instrText xml:space="preserve"> PAGE </w:instrText>
                </w:r>
                <w:r>
                  <w:fldChar w:fldCharType="separate"/>
                </w:r>
                <w:r>
                  <w:t>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08" w:hanging="833"/>
        <w:jc w:val="left"/>
      </w:pPr>
      <w:rPr>
        <w:rFonts w:hint="default" w:ascii="宋体" w:hAnsi="宋体" w:eastAsia="宋体" w:cs="宋体"/>
        <w:spacing w:val="10"/>
        <w:w w:val="99"/>
        <w:sz w:val="30"/>
        <w:szCs w:val="30"/>
        <w:lang w:val="en-US" w:eastAsia="zh-CN" w:bidi="ar-SA"/>
      </w:rPr>
    </w:lvl>
    <w:lvl w:ilvl="1" w:tentative="0">
      <w:start w:val="0"/>
      <w:numFmt w:val="bullet"/>
      <w:lvlText w:val="•"/>
      <w:lvlJc w:val="left"/>
      <w:pPr>
        <w:ind w:left="1008" w:hanging="833"/>
      </w:pPr>
      <w:rPr>
        <w:rFonts w:hint="default"/>
        <w:lang w:val="en-US" w:eastAsia="zh-CN" w:bidi="ar-SA"/>
      </w:rPr>
    </w:lvl>
    <w:lvl w:ilvl="2" w:tentative="0">
      <w:start w:val="0"/>
      <w:numFmt w:val="bullet"/>
      <w:lvlText w:val="•"/>
      <w:lvlJc w:val="left"/>
      <w:pPr>
        <w:ind w:left="1917" w:hanging="833"/>
      </w:pPr>
      <w:rPr>
        <w:rFonts w:hint="default"/>
        <w:lang w:val="en-US" w:eastAsia="zh-CN" w:bidi="ar-SA"/>
      </w:rPr>
    </w:lvl>
    <w:lvl w:ilvl="3" w:tentative="0">
      <w:start w:val="0"/>
      <w:numFmt w:val="bullet"/>
      <w:lvlText w:val="•"/>
      <w:lvlJc w:val="left"/>
      <w:pPr>
        <w:ind w:left="2825" w:hanging="833"/>
      </w:pPr>
      <w:rPr>
        <w:rFonts w:hint="default"/>
        <w:lang w:val="en-US" w:eastAsia="zh-CN" w:bidi="ar-SA"/>
      </w:rPr>
    </w:lvl>
    <w:lvl w:ilvl="4" w:tentative="0">
      <w:start w:val="0"/>
      <w:numFmt w:val="bullet"/>
      <w:lvlText w:val="•"/>
      <w:lvlJc w:val="left"/>
      <w:pPr>
        <w:ind w:left="3734" w:hanging="833"/>
      </w:pPr>
      <w:rPr>
        <w:rFonts w:hint="default"/>
        <w:lang w:val="en-US" w:eastAsia="zh-CN" w:bidi="ar-SA"/>
      </w:rPr>
    </w:lvl>
    <w:lvl w:ilvl="5" w:tentative="0">
      <w:start w:val="0"/>
      <w:numFmt w:val="bullet"/>
      <w:lvlText w:val="•"/>
      <w:lvlJc w:val="left"/>
      <w:pPr>
        <w:ind w:left="4643" w:hanging="833"/>
      </w:pPr>
      <w:rPr>
        <w:rFonts w:hint="default"/>
        <w:lang w:val="en-US" w:eastAsia="zh-CN" w:bidi="ar-SA"/>
      </w:rPr>
    </w:lvl>
    <w:lvl w:ilvl="6" w:tentative="0">
      <w:start w:val="0"/>
      <w:numFmt w:val="bullet"/>
      <w:lvlText w:val="•"/>
      <w:lvlJc w:val="left"/>
      <w:pPr>
        <w:ind w:left="5551" w:hanging="833"/>
      </w:pPr>
      <w:rPr>
        <w:rFonts w:hint="default"/>
        <w:lang w:val="en-US" w:eastAsia="zh-CN" w:bidi="ar-SA"/>
      </w:rPr>
    </w:lvl>
    <w:lvl w:ilvl="7" w:tentative="0">
      <w:start w:val="0"/>
      <w:numFmt w:val="bullet"/>
      <w:lvlText w:val="•"/>
      <w:lvlJc w:val="left"/>
      <w:pPr>
        <w:ind w:left="6460" w:hanging="833"/>
      </w:pPr>
      <w:rPr>
        <w:rFonts w:hint="default"/>
        <w:lang w:val="en-US" w:eastAsia="zh-CN" w:bidi="ar-SA"/>
      </w:rPr>
    </w:lvl>
    <w:lvl w:ilvl="8" w:tentative="0">
      <w:start w:val="0"/>
      <w:numFmt w:val="bullet"/>
      <w:lvlText w:val="•"/>
      <w:lvlJc w:val="left"/>
      <w:pPr>
        <w:ind w:left="7368" w:hanging="833"/>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08" w:hanging="833"/>
        <w:jc w:val="left"/>
      </w:pPr>
      <w:rPr>
        <w:rFonts w:hint="default" w:ascii="宋体" w:hAnsi="宋体" w:eastAsia="宋体" w:cs="宋体"/>
        <w:spacing w:val="10"/>
        <w:w w:val="99"/>
        <w:sz w:val="30"/>
        <w:szCs w:val="30"/>
        <w:lang w:val="en-US" w:eastAsia="zh-CN" w:bidi="ar-SA"/>
      </w:rPr>
    </w:lvl>
    <w:lvl w:ilvl="1" w:tentative="0">
      <w:start w:val="0"/>
      <w:numFmt w:val="bullet"/>
      <w:lvlText w:val="•"/>
      <w:lvlJc w:val="left"/>
      <w:pPr>
        <w:ind w:left="1008" w:hanging="833"/>
      </w:pPr>
      <w:rPr>
        <w:rFonts w:hint="default"/>
        <w:lang w:val="en-US" w:eastAsia="zh-CN" w:bidi="ar-SA"/>
      </w:rPr>
    </w:lvl>
    <w:lvl w:ilvl="2" w:tentative="0">
      <w:start w:val="0"/>
      <w:numFmt w:val="bullet"/>
      <w:lvlText w:val="•"/>
      <w:lvlJc w:val="left"/>
      <w:pPr>
        <w:ind w:left="1917" w:hanging="833"/>
      </w:pPr>
      <w:rPr>
        <w:rFonts w:hint="default"/>
        <w:lang w:val="en-US" w:eastAsia="zh-CN" w:bidi="ar-SA"/>
      </w:rPr>
    </w:lvl>
    <w:lvl w:ilvl="3" w:tentative="0">
      <w:start w:val="0"/>
      <w:numFmt w:val="bullet"/>
      <w:lvlText w:val="•"/>
      <w:lvlJc w:val="left"/>
      <w:pPr>
        <w:ind w:left="2825" w:hanging="833"/>
      </w:pPr>
      <w:rPr>
        <w:rFonts w:hint="default"/>
        <w:lang w:val="en-US" w:eastAsia="zh-CN" w:bidi="ar-SA"/>
      </w:rPr>
    </w:lvl>
    <w:lvl w:ilvl="4" w:tentative="0">
      <w:start w:val="0"/>
      <w:numFmt w:val="bullet"/>
      <w:lvlText w:val="•"/>
      <w:lvlJc w:val="left"/>
      <w:pPr>
        <w:ind w:left="3734" w:hanging="833"/>
      </w:pPr>
      <w:rPr>
        <w:rFonts w:hint="default"/>
        <w:lang w:val="en-US" w:eastAsia="zh-CN" w:bidi="ar-SA"/>
      </w:rPr>
    </w:lvl>
    <w:lvl w:ilvl="5" w:tentative="0">
      <w:start w:val="0"/>
      <w:numFmt w:val="bullet"/>
      <w:lvlText w:val="•"/>
      <w:lvlJc w:val="left"/>
      <w:pPr>
        <w:ind w:left="4643" w:hanging="833"/>
      </w:pPr>
      <w:rPr>
        <w:rFonts w:hint="default"/>
        <w:lang w:val="en-US" w:eastAsia="zh-CN" w:bidi="ar-SA"/>
      </w:rPr>
    </w:lvl>
    <w:lvl w:ilvl="6" w:tentative="0">
      <w:start w:val="0"/>
      <w:numFmt w:val="bullet"/>
      <w:lvlText w:val="•"/>
      <w:lvlJc w:val="left"/>
      <w:pPr>
        <w:ind w:left="5551" w:hanging="833"/>
      </w:pPr>
      <w:rPr>
        <w:rFonts w:hint="default"/>
        <w:lang w:val="en-US" w:eastAsia="zh-CN" w:bidi="ar-SA"/>
      </w:rPr>
    </w:lvl>
    <w:lvl w:ilvl="7" w:tentative="0">
      <w:start w:val="0"/>
      <w:numFmt w:val="bullet"/>
      <w:lvlText w:val="•"/>
      <w:lvlJc w:val="left"/>
      <w:pPr>
        <w:ind w:left="6460" w:hanging="833"/>
      </w:pPr>
      <w:rPr>
        <w:rFonts w:hint="default"/>
        <w:lang w:val="en-US" w:eastAsia="zh-CN" w:bidi="ar-SA"/>
      </w:rPr>
    </w:lvl>
    <w:lvl w:ilvl="8" w:tentative="0">
      <w:start w:val="0"/>
      <w:numFmt w:val="bullet"/>
      <w:lvlText w:val="•"/>
      <w:lvlJc w:val="left"/>
      <w:pPr>
        <w:ind w:left="7368" w:hanging="833"/>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08" w:hanging="833"/>
        <w:jc w:val="left"/>
      </w:pPr>
      <w:rPr>
        <w:rFonts w:hint="default" w:ascii="宋体" w:hAnsi="宋体" w:eastAsia="宋体" w:cs="宋体"/>
        <w:spacing w:val="10"/>
        <w:w w:val="99"/>
        <w:sz w:val="30"/>
        <w:szCs w:val="30"/>
        <w:lang w:val="en-US" w:eastAsia="zh-CN" w:bidi="ar-SA"/>
      </w:rPr>
    </w:lvl>
    <w:lvl w:ilvl="1" w:tentative="0">
      <w:start w:val="0"/>
      <w:numFmt w:val="bullet"/>
      <w:lvlText w:val="•"/>
      <w:lvlJc w:val="left"/>
      <w:pPr>
        <w:ind w:left="1008" w:hanging="833"/>
      </w:pPr>
      <w:rPr>
        <w:rFonts w:hint="default"/>
        <w:lang w:val="en-US" w:eastAsia="zh-CN" w:bidi="ar-SA"/>
      </w:rPr>
    </w:lvl>
    <w:lvl w:ilvl="2" w:tentative="0">
      <w:start w:val="0"/>
      <w:numFmt w:val="bullet"/>
      <w:lvlText w:val="•"/>
      <w:lvlJc w:val="left"/>
      <w:pPr>
        <w:ind w:left="1917" w:hanging="833"/>
      </w:pPr>
      <w:rPr>
        <w:rFonts w:hint="default"/>
        <w:lang w:val="en-US" w:eastAsia="zh-CN" w:bidi="ar-SA"/>
      </w:rPr>
    </w:lvl>
    <w:lvl w:ilvl="3" w:tentative="0">
      <w:start w:val="0"/>
      <w:numFmt w:val="bullet"/>
      <w:lvlText w:val="•"/>
      <w:lvlJc w:val="left"/>
      <w:pPr>
        <w:ind w:left="2825" w:hanging="833"/>
      </w:pPr>
      <w:rPr>
        <w:rFonts w:hint="default"/>
        <w:lang w:val="en-US" w:eastAsia="zh-CN" w:bidi="ar-SA"/>
      </w:rPr>
    </w:lvl>
    <w:lvl w:ilvl="4" w:tentative="0">
      <w:start w:val="0"/>
      <w:numFmt w:val="bullet"/>
      <w:lvlText w:val="•"/>
      <w:lvlJc w:val="left"/>
      <w:pPr>
        <w:ind w:left="3734" w:hanging="833"/>
      </w:pPr>
      <w:rPr>
        <w:rFonts w:hint="default"/>
        <w:lang w:val="en-US" w:eastAsia="zh-CN" w:bidi="ar-SA"/>
      </w:rPr>
    </w:lvl>
    <w:lvl w:ilvl="5" w:tentative="0">
      <w:start w:val="0"/>
      <w:numFmt w:val="bullet"/>
      <w:lvlText w:val="•"/>
      <w:lvlJc w:val="left"/>
      <w:pPr>
        <w:ind w:left="4643" w:hanging="833"/>
      </w:pPr>
      <w:rPr>
        <w:rFonts w:hint="default"/>
        <w:lang w:val="en-US" w:eastAsia="zh-CN" w:bidi="ar-SA"/>
      </w:rPr>
    </w:lvl>
    <w:lvl w:ilvl="6" w:tentative="0">
      <w:start w:val="0"/>
      <w:numFmt w:val="bullet"/>
      <w:lvlText w:val="•"/>
      <w:lvlJc w:val="left"/>
      <w:pPr>
        <w:ind w:left="5551" w:hanging="833"/>
      </w:pPr>
      <w:rPr>
        <w:rFonts w:hint="default"/>
        <w:lang w:val="en-US" w:eastAsia="zh-CN" w:bidi="ar-SA"/>
      </w:rPr>
    </w:lvl>
    <w:lvl w:ilvl="7" w:tentative="0">
      <w:start w:val="0"/>
      <w:numFmt w:val="bullet"/>
      <w:lvlText w:val="•"/>
      <w:lvlJc w:val="left"/>
      <w:pPr>
        <w:ind w:left="6460" w:hanging="833"/>
      </w:pPr>
      <w:rPr>
        <w:rFonts w:hint="default"/>
        <w:lang w:val="en-US" w:eastAsia="zh-CN" w:bidi="ar-SA"/>
      </w:rPr>
    </w:lvl>
    <w:lvl w:ilvl="8" w:tentative="0">
      <w:start w:val="0"/>
      <w:numFmt w:val="bullet"/>
      <w:lvlText w:val="•"/>
      <w:lvlJc w:val="left"/>
      <w:pPr>
        <w:ind w:left="7368" w:hanging="833"/>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08" w:hanging="324"/>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008" w:hanging="324"/>
      </w:pPr>
      <w:rPr>
        <w:rFonts w:hint="default"/>
        <w:lang w:val="en-US" w:eastAsia="zh-CN" w:bidi="ar-SA"/>
      </w:rPr>
    </w:lvl>
    <w:lvl w:ilvl="2" w:tentative="0">
      <w:start w:val="0"/>
      <w:numFmt w:val="bullet"/>
      <w:lvlText w:val="•"/>
      <w:lvlJc w:val="left"/>
      <w:pPr>
        <w:ind w:left="1917" w:hanging="324"/>
      </w:pPr>
      <w:rPr>
        <w:rFonts w:hint="default"/>
        <w:lang w:val="en-US" w:eastAsia="zh-CN" w:bidi="ar-SA"/>
      </w:rPr>
    </w:lvl>
    <w:lvl w:ilvl="3" w:tentative="0">
      <w:start w:val="0"/>
      <w:numFmt w:val="bullet"/>
      <w:lvlText w:val="•"/>
      <w:lvlJc w:val="left"/>
      <w:pPr>
        <w:ind w:left="2825" w:hanging="324"/>
      </w:pPr>
      <w:rPr>
        <w:rFonts w:hint="default"/>
        <w:lang w:val="en-US" w:eastAsia="zh-CN" w:bidi="ar-SA"/>
      </w:rPr>
    </w:lvl>
    <w:lvl w:ilvl="4" w:tentative="0">
      <w:start w:val="0"/>
      <w:numFmt w:val="bullet"/>
      <w:lvlText w:val="•"/>
      <w:lvlJc w:val="left"/>
      <w:pPr>
        <w:ind w:left="3734" w:hanging="324"/>
      </w:pPr>
      <w:rPr>
        <w:rFonts w:hint="default"/>
        <w:lang w:val="en-US" w:eastAsia="zh-CN" w:bidi="ar-SA"/>
      </w:rPr>
    </w:lvl>
    <w:lvl w:ilvl="5" w:tentative="0">
      <w:start w:val="0"/>
      <w:numFmt w:val="bullet"/>
      <w:lvlText w:val="•"/>
      <w:lvlJc w:val="left"/>
      <w:pPr>
        <w:ind w:left="4643" w:hanging="324"/>
      </w:pPr>
      <w:rPr>
        <w:rFonts w:hint="default"/>
        <w:lang w:val="en-US" w:eastAsia="zh-CN" w:bidi="ar-SA"/>
      </w:rPr>
    </w:lvl>
    <w:lvl w:ilvl="6" w:tentative="0">
      <w:start w:val="0"/>
      <w:numFmt w:val="bullet"/>
      <w:lvlText w:val="•"/>
      <w:lvlJc w:val="left"/>
      <w:pPr>
        <w:ind w:left="5551" w:hanging="324"/>
      </w:pPr>
      <w:rPr>
        <w:rFonts w:hint="default"/>
        <w:lang w:val="en-US" w:eastAsia="zh-CN" w:bidi="ar-SA"/>
      </w:rPr>
    </w:lvl>
    <w:lvl w:ilvl="7" w:tentative="0">
      <w:start w:val="0"/>
      <w:numFmt w:val="bullet"/>
      <w:lvlText w:val="•"/>
      <w:lvlJc w:val="left"/>
      <w:pPr>
        <w:ind w:left="6460" w:hanging="324"/>
      </w:pPr>
      <w:rPr>
        <w:rFonts w:hint="default"/>
        <w:lang w:val="en-US" w:eastAsia="zh-CN" w:bidi="ar-SA"/>
      </w:rPr>
    </w:lvl>
    <w:lvl w:ilvl="8" w:tentative="0">
      <w:start w:val="0"/>
      <w:numFmt w:val="bullet"/>
      <w:lvlText w:val="•"/>
      <w:lvlJc w:val="left"/>
      <w:pPr>
        <w:ind w:left="7368" w:hanging="324"/>
      </w:pPr>
      <w:rPr>
        <w:rFonts w:hint="default"/>
        <w:lang w:val="en-US" w:eastAsia="zh-CN" w:bidi="ar-SA"/>
      </w:rPr>
    </w:lvl>
  </w:abstractNum>
  <w:abstractNum w:abstractNumId="4">
    <w:nsid w:val="0248C179"/>
    <w:multiLevelType w:val="multilevel"/>
    <w:tmpl w:val="0248C179"/>
    <w:lvl w:ilvl="0" w:tentative="0">
      <w:start w:val="1"/>
      <w:numFmt w:val="decimal"/>
      <w:lvlText w:val="%1."/>
      <w:lvlJc w:val="left"/>
      <w:pPr>
        <w:ind w:left="108" w:hanging="322"/>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008" w:hanging="322"/>
      </w:pPr>
      <w:rPr>
        <w:rFonts w:hint="default"/>
        <w:lang w:val="en-US" w:eastAsia="zh-CN" w:bidi="ar-SA"/>
      </w:rPr>
    </w:lvl>
    <w:lvl w:ilvl="2" w:tentative="0">
      <w:start w:val="0"/>
      <w:numFmt w:val="bullet"/>
      <w:lvlText w:val="•"/>
      <w:lvlJc w:val="left"/>
      <w:pPr>
        <w:ind w:left="1917" w:hanging="322"/>
      </w:pPr>
      <w:rPr>
        <w:rFonts w:hint="default"/>
        <w:lang w:val="en-US" w:eastAsia="zh-CN" w:bidi="ar-SA"/>
      </w:rPr>
    </w:lvl>
    <w:lvl w:ilvl="3" w:tentative="0">
      <w:start w:val="0"/>
      <w:numFmt w:val="bullet"/>
      <w:lvlText w:val="•"/>
      <w:lvlJc w:val="left"/>
      <w:pPr>
        <w:ind w:left="2825" w:hanging="322"/>
      </w:pPr>
      <w:rPr>
        <w:rFonts w:hint="default"/>
        <w:lang w:val="en-US" w:eastAsia="zh-CN" w:bidi="ar-SA"/>
      </w:rPr>
    </w:lvl>
    <w:lvl w:ilvl="4" w:tentative="0">
      <w:start w:val="0"/>
      <w:numFmt w:val="bullet"/>
      <w:lvlText w:val="•"/>
      <w:lvlJc w:val="left"/>
      <w:pPr>
        <w:ind w:left="3734" w:hanging="322"/>
      </w:pPr>
      <w:rPr>
        <w:rFonts w:hint="default"/>
        <w:lang w:val="en-US" w:eastAsia="zh-CN" w:bidi="ar-SA"/>
      </w:rPr>
    </w:lvl>
    <w:lvl w:ilvl="5" w:tentative="0">
      <w:start w:val="0"/>
      <w:numFmt w:val="bullet"/>
      <w:lvlText w:val="•"/>
      <w:lvlJc w:val="left"/>
      <w:pPr>
        <w:ind w:left="4643" w:hanging="322"/>
      </w:pPr>
      <w:rPr>
        <w:rFonts w:hint="default"/>
        <w:lang w:val="en-US" w:eastAsia="zh-CN" w:bidi="ar-SA"/>
      </w:rPr>
    </w:lvl>
    <w:lvl w:ilvl="6" w:tentative="0">
      <w:start w:val="0"/>
      <w:numFmt w:val="bullet"/>
      <w:lvlText w:val="•"/>
      <w:lvlJc w:val="left"/>
      <w:pPr>
        <w:ind w:left="5551" w:hanging="322"/>
      </w:pPr>
      <w:rPr>
        <w:rFonts w:hint="default"/>
        <w:lang w:val="en-US" w:eastAsia="zh-CN" w:bidi="ar-SA"/>
      </w:rPr>
    </w:lvl>
    <w:lvl w:ilvl="7" w:tentative="0">
      <w:start w:val="0"/>
      <w:numFmt w:val="bullet"/>
      <w:lvlText w:val="•"/>
      <w:lvlJc w:val="left"/>
      <w:pPr>
        <w:ind w:left="6460" w:hanging="322"/>
      </w:pPr>
      <w:rPr>
        <w:rFonts w:hint="default"/>
        <w:lang w:val="en-US" w:eastAsia="zh-CN" w:bidi="ar-SA"/>
      </w:rPr>
    </w:lvl>
    <w:lvl w:ilvl="8" w:tentative="0">
      <w:start w:val="0"/>
      <w:numFmt w:val="bullet"/>
      <w:lvlText w:val="•"/>
      <w:lvlJc w:val="left"/>
      <w:pPr>
        <w:ind w:left="7368" w:hanging="322"/>
      </w:pPr>
      <w:rPr>
        <w:rFonts w:hint="default"/>
        <w:lang w:val="en-US" w:eastAsia="zh-CN" w:bidi="ar-SA"/>
      </w:rPr>
    </w:lvl>
  </w:abstractNum>
  <w:abstractNum w:abstractNumId="5">
    <w:nsid w:val="03D62ECE"/>
    <w:multiLevelType w:val="multilevel"/>
    <w:tmpl w:val="03D62ECE"/>
    <w:lvl w:ilvl="0" w:tentative="0">
      <w:start w:val="1"/>
      <w:numFmt w:val="decimal"/>
      <w:lvlText w:val="%1."/>
      <w:lvlJc w:val="left"/>
      <w:pPr>
        <w:ind w:left="108" w:hanging="324"/>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008" w:hanging="324"/>
      </w:pPr>
      <w:rPr>
        <w:rFonts w:hint="default"/>
        <w:lang w:val="en-US" w:eastAsia="zh-CN" w:bidi="ar-SA"/>
      </w:rPr>
    </w:lvl>
    <w:lvl w:ilvl="2" w:tentative="0">
      <w:start w:val="0"/>
      <w:numFmt w:val="bullet"/>
      <w:lvlText w:val="•"/>
      <w:lvlJc w:val="left"/>
      <w:pPr>
        <w:ind w:left="1917" w:hanging="324"/>
      </w:pPr>
      <w:rPr>
        <w:rFonts w:hint="default"/>
        <w:lang w:val="en-US" w:eastAsia="zh-CN" w:bidi="ar-SA"/>
      </w:rPr>
    </w:lvl>
    <w:lvl w:ilvl="3" w:tentative="0">
      <w:start w:val="0"/>
      <w:numFmt w:val="bullet"/>
      <w:lvlText w:val="•"/>
      <w:lvlJc w:val="left"/>
      <w:pPr>
        <w:ind w:left="2825" w:hanging="324"/>
      </w:pPr>
      <w:rPr>
        <w:rFonts w:hint="default"/>
        <w:lang w:val="en-US" w:eastAsia="zh-CN" w:bidi="ar-SA"/>
      </w:rPr>
    </w:lvl>
    <w:lvl w:ilvl="4" w:tentative="0">
      <w:start w:val="0"/>
      <w:numFmt w:val="bullet"/>
      <w:lvlText w:val="•"/>
      <w:lvlJc w:val="left"/>
      <w:pPr>
        <w:ind w:left="3734" w:hanging="324"/>
      </w:pPr>
      <w:rPr>
        <w:rFonts w:hint="default"/>
        <w:lang w:val="en-US" w:eastAsia="zh-CN" w:bidi="ar-SA"/>
      </w:rPr>
    </w:lvl>
    <w:lvl w:ilvl="5" w:tentative="0">
      <w:start w:val="0"/>
      <w:numFmt w:val="bullet"/>
      <w:lvlText w:val="•"/>
      <w:lvlJc w:val="left"/>
      <w:pPr>
        <w:ind w:left="4643" w:hanging="324"/>
      </w:pPr>
      <w:rPr>
        <w:rFonts w:hint="default"/>
        <w:lang w:val="en-US" w:eastAsia="zh-CN" w:bidi="ar-SA"/>
      </w:rPr>
    </w:lvl>
    <w:lvl w:ilvl="6" w:tentative="0">
      <w:start w:val="0"/>
      <w:numFmt w:val="bullet"/>
      <w:lvlText w:val="•"/>
      <w:lvlJc w:val="left"/>
      <w:pPr>
        <w:ind w:left="5551" w:hanging="324"/>
      </w:pPr>
      <w:rPr>
        <w:rFonts w:hint="default"/>
        <w:lang w:val="en-US" w:eastAsia="zh-CN" w:bidi="ar-SA"/>
      </w:rPr>
    </w:lvl>
    <w:lvl w:ilvl="7" w:tentative="0">
      <w:start w:val="0"/>
      <w:numFmt w:val="bullet"/>
      <w:lvlText w:val="•"/>
      <w:lvlJc w:val="left"/>
      <w:pPr>
        <w:ind w:left="6460" w:hanging="324"/>
      </w:pPr>
      <w:rPr>
        <w:rFonts w:hint="default"/>
        <w:lang w:val="en-US" w:eastAsia="zh-CN" w:bidi="ar-SA"/>
      </w:rPr>
    </w:lvl>
    <w:lvl w:ilvl="8" w:tentative="0">
      <w:start w:val="0"/>
      <w:numFmt w:val="bullet"/>
      <w:lvlText w:val="•"/>
      <w:lvlJc w:val="left"/>
      <w:pPr>
        <w:ind w:left="7368" w:hanging="324"/>
      </w:pPr>
      <w:rPr>
        <w:rFonts w:hint="default"/>
        <w:lang w:val="en-US" w:eastAsia="zh-CN" w:bidi="ar-SA"/>
      </w:rPr>
    </w:lvl>
  </w:abstractNum>
  <w:abstractNum w:abstractNumId="6">
    <w:nsid w:val="25B654F3"/>
    <w:multiLevelType w:val="multilevel"/>
    <w:tmpl w:val="25B654F3"/>
    <w:lvl w:ilvl="0" w:tentative="0">
      <w:start w:val="1"/>
      <w:numFmt w:val="decimal"/>
      <w:lvlText w:val="%1."/>
      <w:lvlJc w:val="left"/>
      <w:pPr>
        <w:ind w:left="108" w:hanging="324"/>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008" w:hanging="324"/>
      </w:pPr>
      <w:rPr>
        <w:rFonts w:hint="default"/>
        <w:lang w:val="en-US" w:eastAsia="zh-CN" w:bidi="ar-SA"/>
      </w:rPr>
    </w:lvl>
    <w:lvl w:ilvl="2" w:tentative="0">
      <w:start w:val="0"/>
      <w:numFmt w:val="bullet"/>
      <w:lvlText w:val="•"/>
      <w:lvlJc w:val="left"/>
      <w:pPr>
        <w:ind w:left="1917" w:hanging="324"/>
      </w:pPr>
      <w:rPr>
        <w:rFonts w:hint="default"/>
        <w:lang w:val="en-US" w:eastAsia="zh-CN" w:bidi="ar-SA"/>
      </w:rPr>
    </w:lvl>
    <w:lvl w:ilvl="3" w:tentative="0">
      <w:start w:val="0"/>
      <w:numFmt w:val="bullet"/>
      <w:lvlText w:val="•"/>
      <w:lvlJc w:val="left"/>
      <w:pPr>
        <w:ind w:left="2825" w:hanging="324"/>
      </w:pPr>
      <w:rPr>
        <w:rFonts w:hint="default"/>
        <w:lang w:val="en-US" w:eastAsia="zh-CN" w:bidi="ar-SA"/>
      </w:rPr>
    </w:lvl>
    <w:lvl w:ilvl="4" w:tentative="0">
      <w:start w:val="0"/>
      <w:numFmt w:val="bullet"/>
      <w:lvlText w:val="•"/>
      <w:lvlJc w:val="left"/>
      <w:pPr>
        <w:ind w:left="3734" w:hanging="324"/>
      </w:pPr>
      <w:rPr>
        <w:rFonts w:hint="default"/>
        <w:lang w:val="en-US" w:eastAsia="zh-CN" w:bidi="ar-SA"/>
      </w:rPr>
    </w:lvl>
    <w:lvl w:ilvl="5" w:tentative="0">
      <w:start w:val="0"/>
      <w:numFmt w:val="bullet"/>
      <w:lvlText w:val="•"/>
      <w:lvlJc w:val="left"/>
      <w:pPr>
        <w:ind w:left="4643" w:hanging="324"/>
      </w:pPr>
      <w:rPr>
        <w:rFonts w:hint="default"/>
        <w:lang w:val="en-US" w:eastAsia="zh-CN" w:bidi="ar-SA"/>
      </w:rPr>
    </w:lvl>
    <w:lvl w:ilvl="6" w:tentative="0">
      <w:start w:val="0"/>
      <w:numFmt w:val="bullet"/>
      <w:lvlText w:val="•"/>
      <w:lvlJc w:val="left"/>
      <w:pPr>
        <w:ind w:left="5551" w:hanging="324"/>
      </w:pPr>
      <w:rPr>
        <w:rFonts w:hint="default"/>
        <w:lang w:val="en-US" w:eastAsia="zh-CN" w:bidi="ar-SA"/>
      </w:rPr>
    </w:lvl>
    <w:lvl w:ilvl="7" w:tentative="0">
      <w:start w:val="0"/>
      <w:numFmt w:val="bullet"/>
      <w:lvlText w:val="•"/>
      <w:lvlJc w:val="left"/>
      <w:pPr>
        <w:ind w:left="6460" w:hanging="324"/>
      </w:pPr>
      <w:rPr>
        <w:rFonts w:hint="default"/>
        <w:lang w:val="en-US" w:eastAsia="zh-CN" w:bidi="ar-SA"/>
      </w:rPr>
    </w:lvl>
    <w:lvl w:ilvl="8" w:tentative="0">
      <w:start w:val="0"/>
      <w:numFmt w:val="bullet"/>
      <w:lvlText w:val="•"/>
      <w:lvlJc w:val="left"/>
      <w:pPr>
        <w:ind w:left="7368" w:hanging="324"/>
      </w:pPr>
      <w:rPr>
        <w:rFonts w:hint="default"/>
        <w:lang w:val="en-US" w:eastAsia="zh-CN" w:bidi="ar-SA"/>
      </w:rPr>
    </w:lvl>
  </w:abstractNum>
  <w:abstractNum w:abstractNumId="7">
    <w:nsid w:val="59ADCABA"/>
    <w:multiLevelType w:val="multilevel"/>
    <w:tmpl w:val="59ADCABA"/>
    <w:lvl w:ilvl="0" w:tentative="0">
      <w:start w:val="1"/>
      <w:numFmt w:val="decimal"/>
      <w:lvlText w:val="%1."/>
      <w:lvlJc w:val="left"/>
      <w:pPr>
        <w:ind w:left="1228" w:hanging="481"/>
        <w:jc w:val="left"/>
      </w:pPr>
      <w:rPr>
        <w:rFonts w:hint="default" w:ascii="宋体" w:hAnsi="宋体" w:eastAsia="宋体" w:cs="宋体"/>
        <w:spacing w:val="0"/>
        <w:w w:val="99"/>
        <w:sz w:val="30"/>
        <w:szCs w:val="30"/>
        <w:lang w:val="en-US" w:eastAsia="zh-CN" w:bidi="ar-SA"/>
      </w:rPr>
    </w:lvl>
    <w:lvl w:ilvl="1" w:tentative="0">
      <w:start w:val="0"/>
      <w:numFmt w:val="bullet"/>
      <w:lvlText w:val="•"/>
      <w:lvlJc w:val="left"/>
      <w:pPr>
        <w:ind w:left="2016" w:hanging="481"/>
      </w:pPr>
      <w:rPr>
        <w:rFonts w:hint="default"/>
        <w:lang w:val="en-US" w:eastAsia="zh-CN" w:bidi="ar-SA"/>
      </w:rPr>
    </w:lvl>
    <w:lvl w:ilvl="2" w:tentative="0">
      <w:start w:val="0"/>
      <w:numFmt w:val="bullet"/>
      <w:lvlText w:val="•"/>
      <w:lvlJc w:val="left"/>
      <w:pPr>
        <w:ind w:left="2813" w:hanging="481"/>
      </w:pPr>
      <w:rPr>
        <w:rFonts w:hint="default"/>
        <w:lang w:val="en-US" w:eastAsia="zh-CN" w:bidi="ar-SA"/>
      </w:rPr>
    </w:lvl>
    <w:lvl w:ilvl="3" w:tentative="0">
      <w:start w:val="0"/>
      <w:numFmt w:val="bullet"/>
      <w:lvlText w:val="•"/>
      <w:lvlJc w:val="left"/>
      <w:pPr>
        <w:ind w:left="3609" w:hanging="481"/>
      </w:pPr>
      <w:rPr>
        <w:rFonts w:hint="default"/>
        <w:lang w:val="en-US" w:eastAsia="zh-CN" w:bidi="ar-SA"/>
      </w:rPr>
    </w:lvl>
    <w:lvl w:ilvl="4" w:tentative="0">
      <w:start w:val="0"/>
      <w:numFmt w:val="bullet"/>
      <w:lvlText w:val="•"/>
      <w:lvlJc w:val="left"/>
      <w:pPr>
        <w:ind w:left="4406" w:hanging="481"/>
      </w:pPr>
      <w:rPr>
        <w:rFonts w:hint="default"/>
        <w:lang w:val="en-US" w:eastAsia="zh-CN" w:bidi="ar-SA"/>
      </w:rPr>
    </w:lvl>
    <w:lvl w:ilvl="5" w:tentative="0">
      <w:start w:val="0"/>
      <w:numFmt w:val="bullet"/>
      <w:lvlText w:val="•"/>
      <w:lvlJc w:val="left"/>
      <w:pPr>
        <w:ind w:left="5203"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6796" w:hanging="481"/>
      </w:pPr>
      <w:rPr>
        <w:rFonts w:hint="default"/>
        <w:lang w:val="en-US" w:eastAsia="zh-CN" w:bidi="ar-SA"/>
      </w:rPr>
    </w:lvl>
    <w:lvl w:ilvl="8" w:tentative="0">
      <w:start w:val="0"/>
      <w:numFmt w:val="bullet"/>
      <w:lvlText w:val="•"/>
      <w:lvlJc w:val="left"/>
      <w:pPr>
        <w:ind w:left="7592" w:hanging="481"/>
      </w:pPr>
      <w:rPr>
        <w:rFonts w:hint="default"/>
        <w:lang w:val="en-US" w:eastAsia="zh-CN" w:bidi="ar-SA"/>
      </w:rPr>
    </w:lvl>
  </w:abstractNum>
  <w:abstractNum w:abstractNumId="8">
    <w:nsid w:val="72183CF9"/>
    <w:multiLevelType w:val="multilevel"/>
    <w:tmpl w:val="72183CF9"/>
    <w:lvl w:ilvl="0" w:tentative="0">
      <w:start w:val="1"/>
      <w:numFmt w:val="decimal"/>
      <w:lvlText w:val="%1."/>
      <w:lvlJc w:val="left"/>
      <w:pPr>
        <w:ind w:left="108" w:hanging="324"/>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008" w:hanging="324"/>
      </w:pPr>
      <w:rPr>
        <w:rFonts w:hint="default"/>
        <w:lang w:val="en-US" w:eastAsia="zh-CN" w:bidi="ar-SA"/>
      </w:rPr>
    </w:lvl>
    <w:lvl w:ilvl="2" w:tentative="0">
      <w:start w:val="0"/>
      <w:numFmt w:val="bullet"/>
      <w:lvlText w:val="•"/>
      <w:lvlJc w:val="left"/>
      <w:pPr>
        <w:ind w:left="1917" w:hanging="324"/>
      </w:pPr>
      <w:rPr>
        <w:rFonts w:hint="default"/>
        <w:lang w:val="en-US" w:eastAsia="zh-CN" w:bidi="ar-SA"/>
      </w:rPr>
    </w:lvl>
    <w:lvl w:ilvl="3" w:tentative="0">
      <w:start w:val="0"/>
      <w:numFmt w:val="bullet"/>
      <w:lvlText w:val="•"/>
      <w:lvlJc w:val="left"/>
      <w:pPr>
        <w:ind w:left="2825" w:hanging="324"/>
      </w:pPr>
      <w:rPr>
        <w:rFonts w:hint="default"/>
        <w:lang w:val="en-US" w:eastAsia="zh-CN" w:bidi="ar-SA"/>
      </w:rPr>
    </w:lvl>
    <w:lvl w:ilvl="4" w:tentative="0">
      <w:start w:val="0"/>
      <w:numFmt w:val="bullet"/>
      <w:lvlText w:val="•"/>
      <w:lvlJc w:val="left"/>
      <w:pPr>
        <w:ind w:left="3734" w:hanging="324"/>
      </w:pPr>
      <w:rPr>
        <w:rFonts w:hint="default"/>
        <w:lang w:val="en-US" w:eastAsia="zh-CN" w:bidi="ar-SA"/>
      </w:rPr>
    </w:lvl>
    <w:lvl w:ilvl="5" w:tentative="0">
      <w:start w:val="0"/>
      <w:numFmt w:val="bullet"/>
      <w:lvlText w:val="•"/>
      <w:lvlJc w:val="left"/>
      <w:pPr>
        <w:ind w:left="4643" w:hanging="324"/>
      </w:pPr>
      <w:rPr>
        <w:rFonts w:hint="default"/>
        <w:lang w:val="en-US" w:eastAsia="zh-CN" w:bidi="ar-SA"/>
      </w:rPr>
    </w:lvl>
    <w:lvl w:ilvl="6" w:tentative="0">
      <w:start w:val="0"/>
      <w:numFmt w:val="bullet"/>
      <w:lvlText w:val="•"/>
      <w:lvlJc w:val="left"/>
      <w:pPr>
        <w:ind w:left="5551" w:hanging="324"/>
      </w:pPr>
      <w:rPr>
        <w:rFonts w:hint="default"/>
        <w:lang w:val="en-US" w:eastAsia="zh-CN" w:bidi="ar-SA"/>
      </w:rPr>
    </w:lvl>
    <w:lvl w:ilvl="7" w:tentative="0">
      <w:start w:val="0"/>
      <w:numFmt w:val="bullet"/>
      <w:lvlText w:val="•"/>
      <w:lvlJc w:val="left"/>
      <w:pPr>
        <w:ind w:left="6460" w:hanging="324"/>
      </w:pPr>
      <w:rPr>
        <w:rFonts w:hint="default"/>
        <w:lang w:val="en-US" w:eastAsia="zh-CN" w:bidi="ar-SA"/>
      </w:rPr>
    </w:lvl>
    <w:lvl w:ilvl="8" w:tentative="0">
      <w:start w:val="0"/>
      <w:numFmt w:val="bullet"/>
      <w:lvlText w:val="•"/>
      <w:lvlJc w:val="left"/>
      <w:pPr>
        <w:ind w:left="7368" w:hanging="324"/>
      </w:pPr>
      <w:rPr>
        <w:rFonts w:hint="default"/>
        <w:lang w:val="en-US" w:eastAsia="zh-CN" w:bidi="ar-SA"/>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16E10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left="640" w:right="531" w:hanging="3300"/>
      <w:outlineLvl w:val="1"/>
    </w:pPr>
    <w:rPr>
      <w:rFonts w:ascii="宋体" w:hAnsi="宋体" w:eastAsia="宋体" w:cs="宋体"/>
      <w:sz w:val="44"/>
      <w:szCs w:val="44"/>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8" w:right="346" w:firstLine="638"/>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2021-06-02T12:43:00Z</dcterms:created>
  <dc:creator>hp</dc:creator>
  <cp:lastModifiedBy>周沫</cp:lastModifiedBy>
  <dcterms:modified xsi:type="dcterms:W3CDTF">2021-06-02T12:45:37Z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2052-11.3.0.9236</vt:lpwstr>
  </property>
</Properties>
</file>